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13  |  към чл. 7, ал. 3, т. 13</w:t>
      </w:r>
    </w:p>
    <w:p w:rsidR="00F135CE" w:rsidRDefault="007414E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F135CE" w:rsidRDefault="00AE30CB" w:rsidP="00AE30CB">
      <w:pPr>
        <w:pBdr>
          <w:bottom w:val="single" w:sz="2" w:space="2" w:color="E5E7EB"/>
        </w:pBdr>
        <w:spacing w:before="120" w:after="120"/>
      </w:pPr>
      <w:r w:rsidRPr="00AE30CB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щети, причинени от непреодолима природна сила и други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инж. {{Консултант_Управител}} — Управител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Разрешение за 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долуподписаните:</w:t>
      </w:r>
    </w:p>
    <w:p w:rsidR="00F135CE" w:rsidRDefault="00F135CE"/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________________ — представител на Възложителя;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инж. {{Управител_1и3}} — представител на строителния надзор;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{{Строител_Управител_1и3}} — представител на Строителя.</w:t>
      </w:r>
    </w:p>
    <w:p w:rsidR="00F135CE" w:rsidRDefault="00F135CE"/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са нанесени следните щети:</w:t>
      </w:r>
    </w:p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Описание н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конструктива щета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Описание на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щета по инвентар, материали и съоръжения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106903" w:rsidRPr="00106903" w:rsidRDefault="00106903" w:rsidP="00106903">
      <w:pPr>
        <w:pBdr>
          <w:bottom w:val="single" w:sz="2" w:space="2" w:color="E5E7EB"/>
        </w:pBdr>
        <w:spacing w:before="120" w:after="120"/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и състоянието на строежа, етапа или частта от</w:t>
      </w:r>
    </w:p>
    <w:p w:rsidR="00106903" w:rsidRDefault="00106903" w:rsidP="00106903">
      <w:pPr>
        <w:spacing w:before="40" w:after="40"/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него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в </w:t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да се спазват всички описани мерки и срокове за отстраняването на щетите</w:t>
      </w:r>
      <w:bookmarkStart w:id="0" w:name="_GoBack"/>
      <w:bookmarkEnd w:id="0"/>
    </w:p>
    <w:p w:rsidR="00F135CE" w:rsidRDefault="007414E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F135CE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AE30CB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06903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903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