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13  |  към чл. 7, ал. 3, т. 13</w:t>
      </w:r>
    </w:p>
    <w:p w:rsidR="00F135CE" w:rsidRDefault="007414E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F135CE" w:rsidRDefault="00AE30CB" w:rsidP="00AE30CB">
      <w:pPr>
        <w:pBdr>
          <w:bottom w:val="single" w:sz="2" w:space="2" w:color="E5E7EB"/>
        </w:pBdr>
        <w:spacing w:before="120" w:after="120"/>
      </w:pPr>
      <w:r w:rsidRPr="00AE30CB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щети, причинени от непреодолима природна сила и други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{{Консултант_Управител}} — Управител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Разрешение за 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долуподписаните:</w:t>
      </w:r>
    </w:p>
    <w:p w:rsidR="00F135CE" w:rsidRDefault="00F135CE"/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________________ — представител на Възложителя;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{{Управител_1и3}} — представител на строителния надзор;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{{Строител_Управител_1и3}} — представител на Строителя.</w:t>
      </w:r>
    </w:p>
    <w:p w:rsidR="00F135CE" w:rsidRDefault="00F135CE"/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са нанесени следните щети:</w:t>
      </w:r>
    </w:p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Описание н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конструктива щета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Описание на 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  <w:t>щета по инвентар, материали и съоръжения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Местоположение: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Причина: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Мерки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Срок за отстраняване: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F135CE" w:rsidRDefault="00F135CE"/>
    <w:p w:rsidR="00106903" w:rsidRPr="00106903" w:rsidRDefault="00106903" w:rsidP="00106903">
      <w:pPr>
        <w:pBdr>
          <w:bottom w:val="single" w:sz="2" w:space="2" w:color="E5E7EB"/>
        </w:pBdr>
        <w:spacing w:before="120" w:after="120"/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и състоянието на строежа, етапа или частта от</w:t>
      </w:r>
    </w:p>
    <w:p w:rsidR="00106903" w:rsidRDefault="00106903" w:rsidP="00106903">
      <w:pPr>
        <w:spacing w:before="40" w:after="40"/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него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в </w:t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да се спазват всички описани мерки и срокове за отстраняването на щетите</w:t>
      </w:r>
      <w:bookmarkStart w:id="0" w:name="_GoBack"/>
      <w:bookmarkEnd w:id="0"/>
    </w:p>
    <w:p w:rsidR="00F135CE" w:rsidRDefault="007414E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F135CE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AE30CB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06903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903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