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 |  към чл. 7,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{{Строител_ТехРък}} — технически ръководител;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{{СН_Конструктивна}} — СН част Конструктивна;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{{constructor_name}} — проектант по част Конструкти</w:t>
      </w:r>
      <w:r>
        <w:rPr>
          <w:rFonts w:ascii="Garamond" w:eastAsia="Garamond" w:hAnsi="Garamond" w:cs="Garamond"/>
          <w:color w:val="1F2937"/>
          <w:sz w:val="24"/>
          <w:szCs w:val="24"/>
        </w:rPr>
        <w:t>вна.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както и всички документи по изпълнението — работните проекти, сертификати, протоколи от лабораторни изпитвания, дневници за изпълнените работи, заповедната книга, съставените актове и други докуме</w:t>
      </w:r>
      <w:r>
        <w:rPr>
          <w:rFonts w:ascii="Garamond" w:eastAsia="Garamond" w:hAnsi="Garamond" w:cs="Garamond"/>
          <w:color w:val="1F2937"/>
          <w:sz w:val="24"/>
          <w:szCs w:val="24"/>
        </w:rPr>
        <w:t>нти, а именно: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строеж: Протокол обр. 2; Заповедна книга; Бетонов дневник; Акт образец 3; Актове, обр. 7; Декларации за съответствие на бетон; Декларация за съответствие на арматура; други.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Конструктивните елементи на строежа са изпълнени в съответствие с одобрените проекти и документация.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Няма частични недостатъци и пропуски при изпълнението по нива на елементите по т. 1, които увреждат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сигурността на изпълнената конструкция.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Носещата конструкция на строежа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</w:t>
      </w:r>
      <w:r>
        <w:rPr>
          <w:rFonts w:ascii="Garamond" w:eastAsia="Garamond" w:hAnsi="Garamond" w:cs="Garamond"/>
          <w:color w:val="1F2937"/>
          <w:sz w:val="24"/>
          <w:szCs w:val="24"/>
        </w:rPr>
        <w:t>на довършителните работи.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2.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}})</w:t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СН: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sectPr w:rsidR="009459FA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A089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A089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