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59FA" w:rsidRDefault="00492144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14  |  към чл. 7, ал. 3, т. 14</w:t>
      </w:r>
    </w:p>
    <w:p w:rsidR="009459FA" w:rsidRDefault="0049214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 ЗА ПРИЕМАНЕ НА КОНСТРУКЦИЯ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</w:t>
      </w:r>
      <w:r>
        <w:rPr>
          <w:rFonts w:ascii="Garamond" w:eastAsia="Garamond" w:hAnsi="Garamond" w:cs="Garamond"/>
          <w:color w:val="6B7280"/>
          <w:sz w:val="24"/>
          <w:szCs w:val="24"/>
        </w:rPr>
        <w:t>тел}}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год., подписаните представители на: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{{Строител_ТехРък}} — технически ръководител;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{{СН_Конструктивна}} — СН част Конструктивна;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{{constructor_name}} — проектант по част Конструкти</w:t>
      </w:r>
      <w:r>
        <w:rPr>
          <w:rFonts w:ascii="Garamond" w:eastAsia="Garamond" w:hAnsi="Garamond" w:cs="Garamond"/>
          <w:color w:val="1F2937"/>
          <w:sz w:val="24"/>
          <w:szCs w:val="24"/>
        </w:rPr>
        <w:t>вна.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Прегледахме изпълнението на конструкцията на строежа, както и всички документи по изпълнението — работните проекти, сертификати, протоколи от лабораторни изпитвания, дневници за изпълнените работи, заповедната книга, съставените актове и други докуме</w:t>
      </w:r>
      <w:r>
        <w:rPr>
          <w:rFonts w:ascii="Garamond" w:eastAsia="Garamond" w:hAnsi="Garamond" w:cs="Garamond"/>
          <w:color w:val="1F2937"/>
          <w:sz w:val="24"/>
          <w:szCs w:val="24"/>
        </w:rPr>
        <w:t>нти, а именно: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Разрешение за строеж: Протокол обр. 2; Заповедна книга; Бетонов дневник; Акт образец 3; Актове, обр. 7; Декларации за съответствие на бетон; Декларация за съответствие на арматура; други.</w:t>
      </w:r>
    </w:p>
    <w:p w:rsidR="009459FA" w:rsidRDefault="009459FA"/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 установихме: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Конструктивните елементи на строежа са изпълнени в съответствие с одобрените проекти и документация. Спазени са техният размер и начинът на изпълнението им.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Няма частични недостатъци и пропуски при изпълнението по нива на елементите по т. 1, които увреждат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сигурността на изпълнената конструкция.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Въз основа на горните констатации даваме следното</w:t>
      </w:r>
    </w:p>
    <w:p w:rsidR="009459FA" w:rsidRDefault="009459FA"/>
    <w:p w:rsidR="009459FA" w:rsidRDefault="00492144">
      <w:pPr>
        <w:spacing w:before="60" w:after="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 А К Л Ю Ч Е Н И Е: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Носещата конструкция на строежа е в състояние да понесе по време на последващото изпълнение на СМР, както и при експлоатацията му всички постоянни, временни и особени натоварвания съгласно проекта и действащата нормативна уредба и разрешаваме изпълнението </w:t>
      </w:r>
      <w:r>
        <w:rPr>
          <w:rFonts w:ascii="Garamond" w:eastAsia="Garamond" w:hAnsi="Garamond" w:cs="Garamond"/>
          <w:color w:val="1F2937"/>
          <w:sz w:val="24"/>
          <w:szCs w:val="24"/>
        </w:rPr>
        <w:t>на довършителните работи.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2. СН Конструктивна: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({{СН_Конструктивна}})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Проектант: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({{constructor_name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}})</w:t>
      </w:r>
    </w:p>
    <w:p w:rsidR="009459FA" w:rsidRDefault="009459FA"/>
    <w:p w:rsidR="009459FA" w:rsidRDefault="009459FA"/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Управител СН: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sectPr w:rsidR="009459FA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144" w:rsidRDefault="00492144">
      <w:r>
        <w:separator/>
      </w:r>
    </w:p>
  </w:endnote>
  <w:endnote w:type="continuationSeparator" w:id="0">
    <w:p w:rsidR="00492144" w:rsidRDefault="00492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59FA" w:rsidRDefault="0049214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5A089E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5A089E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144" w:rsidRDefault="00492144">
      <w:r>
        <w:separator/>
      </w:r>
    </w:p>
  </w:footnote>
  <w:footnote w:type="continuationSeparator" w:id="0">
    <w:p w:rsidR="00492144" w:rsidRDefault="00492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59FA" w:rsidRDefault="0049214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7307F1"/>
    <w:multiLevelType w:val="hybridMultilevel"/>
    <w:tmpl w:val="D350317E"/>
    <w:lvl w:ilvl="0" w:tplc="3B547490">
      <w:start w:val="1"/>
      <w:numFmt w:val="bullet"/>
      <w:lvlText w:val="●"/>
      <w:lvlJc w:val="left"/>
      <w:pPr>
        <w:ind w:left="720" w:hanging="360"/>
      </w:pPr>
    </w:lvl>
    <w:lvl w:ilvl="1" w:tplc="556A2130">
      <w:start w:val="1"/>
      <w:numFmt w:val="bullet"/>
      <w:lvlText w:val="○"/>
      <w:lvlJc w:val="left"/>
      <w:pPr>
        <w:ind w:left="1440" w:hanging="360"/>
      </w:pPr>
    </w:lvl>
    <w:lvl w:ilvl="2" w:tplc="A3D81BDA">
      <w:start w:val="1"/>
      <w:numFmt w:val="bullet"/>
      <w:lvlText w:val="■"/>
      <w:lvlJc w:val="left"/>
      <w:pPr>
        <w:ind w:left="2160" w:hanging="360"/>
      </w:pPr>
    </w:lvl>
    <w:lvl w:ilvl="3" w:tplc="D230FFFA">
      <w:start w:val="1"/>
      <w:numFmt w:val="bullet"/>
      <w:lvlText w:val="●"/>
      <w:lvlJc w:val="left"/>
      <w:pPr>
        <w:ind w:left="2880" w:hanging="360"/>
      </w:pPr>
    </w:lvl>
    <w:lvl w:ilvl="4" w:tplc="CB18E220">
      <w:start w:val="1"/>
      <w:numFmt w:val="bullet"/>
      <w:lvlText w:val="○"/>
      <w:lvlJc w:val="left"/>
      <w:pPr>
        <w:ind w:left="3600" w:hanging="360"/>
      </w:pPr>
    </w:lvl>
    <w:lvl w:ilvl="5" w:tplc="929258AC">
      <w:start w:val="1"/>
      <w:numFmt w:val="bullet"/>
      <w:lvlText w:val="■"/>
      <w:lvlJc w:val="left"/>
      <w:pPr>
        <w:ind w:left="4320" w:hanging="360"/>
      </w:pPr>
    </w:lvl>
    <w:lvl w:ilvl="6" w:tplc="4CB06C0C">
      <w:start w:val="1"/>
      <w:numFmt w:val="bullet"/>
      <w:lvlText w:val="●"/>
      <w:lvlJc w:val="left"/>
      <w:pPr>
        <w:ind w:left="5040" w:hanging="360"/>
      </w:pPr>
    </w:lvl>
    <w:lvl w:ilvl="7" w:tplc="A89CE864">
      <w:start w:val="1"/>
      <w:numFmt w:val="bullet"/>
      <w:lvlText w:val="●"/>
      <w:lvlJc w:val="left"/>
      <w:pPr>
        <w:ind w:left="5760" w:hanging="360"/>
      </w:pPr>
    </w:lvl>
    <w:lvl w:ilvl="8" w:tplc="FF669A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59FA"/>
    <w:rsid w:val="00492144"/>
    <w:rsid w:val="005A089E"/>
    <w:rsid w:val="00945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04E427-33E7-4C01-BF04-A4A4F3C49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