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1"/>
      </w:pPr>
      <w:r>
        <w:rPr>
          <w:rFonts w:ascii="Calibri" w:hAnsi="Calibri"/>
          <w:b/>
          <w:color w:val="1F497D"/>
          <w:sz w:val="32"/>
        </w:rPr>
        <w:t>OBJETIVOS</w:t>
      </w:r>
    </w:p>
    <w:p>
      <w:pPr>
        <w:spacing w:after="120"/>
        <w:jc w:val="both"/>
      </w:pPr>
      <w:r>
        <w:rPr>
          <w:rFonts w:ascii="Calibri" w:hAnsi="Calibri"/>
          <w:b w:val="0"/>
          <w:i w:val="0"/>
          <w:sz w:val="22"/>
        </w:rPr>
        <w:t>El análisis exploratorio dejó en evidencia dos hechos que impiden entrenar un modelo sobre la base tal como viene: más de la mitad del catálogo no registra ninguna venta, y el volumen está tan concentrado en unas pocas marcas y familias que un modelo entrenado sobre todo el conjunto aprendería el comportamiento del grupo dominante y lo aplicaría mal al resto.</w:t>
      </w:r>
    </w:p>
    <w:p>
      <w:pPr>
        <w:spacing w:after="120"/>
        <w:jc w:val="both"/>
      </w:pPr>
      <w:r>
        <w:rPr>
          <w:rFonts w:ascii="Calibri" w:hAnsi="Calibri"/>
          <w:b w:val="0"/>
          <w:i w:val="0"/>
          <w:sz w:val="22"/>
        </w:rPr>
        <w:t>Esta fase construye la base de entrenamiento aplicando cuatro reglas de filtrado, en orden, y dejando constancia de qué elimina cada una.</w:t>
      </w:r>
    </w:p>
    <w:p>
      <w:pPr>
        <w:spacing w:after="120"/>
        <w:jc w:val="both"/>
      </w:pPr>
      <w:r>
        <w:rPr>
          <w:rFonts w:ascii="Calibri" w:hAnsi="Calibri"/>
          <w:b w:val="0"/>
          <w:i w:val="0"/>
          <w:sz w:val="22"/>
        </w:rPr>
        <w:t>Los objetivos específicos son:</w:t>
      </w:r>
    </w:p>
    <w:p>
      <w:pPr>
        <w:pStyle w:val="Listaconvietas"/>
        <w:spacing w:after="60"/>
      </w:pPr>
      <w:r>
        <w:rPr>
          <w:rFonts w:ascii="Calibri" w:hAnsi="Calibri"/>
          <w:b/>
          <w:sz w:val="22"/>
        </w:rPr>
        <w:t xml:space="preserve">Depurar el catálogo: </w:t>
      </w:r>
      <w:r>
        <w:rPr>
          <w:rFonts w:ascii="Calibri" w:hAnsi="Calibri"/>
          <w:sz w:val="22"/>
        </w:rPr>
        <w:t>eliminar los códigos que no tienen historia de venta y, por lo tanto, nada que aportar al aprendizaje del modelo.</w:t>
      </w:r>
    </w:p>
    <w:p>
      <w:pPr>
        <w:pStyle w:val="Listaconvietas"/>
        <w:spacing w:after="60"/>
      </w:pPr>
      <w:r>
        <w:rPr>
          <w:rFonts w:ascii="Calibri" w:hAnsi="Calibri"/>
          <w:b/>
          <w:sz w:val="22"/>
        </w:rPr>
        <w:t xml:space="preserve">Dejar una regla que sobreviva al paso del tiempo: </w:t>
      </w:r>
      <w:r>
        <w:rPr>
          <w:rFonts w:ascii="Calibri" w:hAnsi="Calibri"/>
          <w:sz w:val="22"/>
        </w:rPr>
        <w:t>la base se recarga todos los meses, así que el corte de inactividad debe recalcularse en cada carga y no ser una lista fija de códigos.</w:t>
      </w:r>
    </w:p>
    <w:p>
      <w:pPr>
        <w:pStyle w:val="Listaconvietas"/>
        <w:spacing w:after="60"/>
      </w:pPr>
      <w:r>
        <w:rPr>
          <w:rFonts w:ascii="Calibri" w:hAnsi="Calibri"/>
          <w:b/>
          <w:sz w:val="22"/>
        </w:rPr>
        <w:t xml:space="preserve">Acotar el universo de trabajo: </w:t>
      </w:r>
      <w:r>
        <w:rPr>
          <w:rFonts w:ascii="Calibri" w:hAnsi="Calibri"/>
          <w:sz w:val="22"/>
        </w:rPr>
        <w:t>concentrar esta etapa en una marca y una familia para construir y validar el método sin sesgo.</w:t>
      </w:r>
    </w:p>
    <w:p>
      <w:pPr>
        <w:pStyle w:val="Listaconvietas"/>
        <w:spacing w:after="60"/>
      </w:pPr>
      <w:r>
        <w:rPr>
          <w:rFonts w:ascii="Calibri" w:hAnsi="Calibri"/>
          <w:b/>
          <w:sz w:val="22"/>
        </w:rPr>
        <w:t xml:space="preserve">Dejar cada paso auditable: </w:t>
      </w:r>
      <w:r>
        <w:rPr>
          <w:rFonts w:ascii="Calibri" w:hAnsi="Calibri"/>
          <w:sz w:val="22"/>
        </w:rPr>
        <w:t>generar un archivo por etapa, de modo que cualquiera pueda reproducir el resultado desde el archivo anterior.</w:t>
      </w:r>
    </w:p>
    <w:p/>
    <w:tbl>
      <w:tblPr>
        <w:tblW w:type="auto" w:w="0"/>
        <w:jc w:val="center"/>
        <w:tblLook w:firstColumn="1" w:firstRow="1" w:lastColumn="0" w:lastRow="0" w:noHBand="0" w:noVBand="1" w:val="04A0"/>
      </w:tblPr>
      <w:tblGrid>
        <w:gridCol w:w="9746"/>
      </w:tblGrid>
      <w:tr>
        <w:tc>
          <w:tcPr>
            <w:tcW w:type="dxa" w:w="9411"/>
            <w:shd w:val="clear" w:color="auto" w:fill="E2EFDA"/>
          </w:tcPr>
          <w:p>
            <w:pPr>
              <w:spacing w:before="40" w:after="40"/>
              <w:jc w:val="both"/>
            </w:pPr>
            <w:r/>
            <w:r>
              <w:rPr>
                <w:rFonts w:ascii="Calibri" w:hAnsi="Calibri"/>
                <w:b w:val="0"/>
                <w:i w:val="0"/>
                <w:color w:val="378610"/>
                <w:sz w:val="20"/>
              </w:rPr>
              <w:t>PUNTO CLAVE: esta fase no entrena ningún modelo ni analiza el comportamiento comercial. Solo define con qué datos se va a trabajar. Cada código que se elimina aquí queda fuera de todo lo que venga después, por eso cada regla se documenta con su origen y su efecto exacto.</w:t>
            </w:r>
          </w:p>
        </w:tc>
      </w:tr>
    </w:tbl>
    <w:p/>
    <w:p>
      <w:r>
        <w:br w:type="page"/>
      </w:r>
    </w:p>
    <w:p>
      <w:pPr>
        <w:pStyle w:val="Ttulo1"/>
      </w:pPr>
      <w:r>
        <w:rPr>
          <w:rFonts w:ascii="Calibri" w:hAnsi="Calibri"/>
          <w:b/>
          <w:color w:val="1F497D"/>
          <w:sz w:val="32"/>
        </w:rPr>
        <w:t>ALCANCES Y LIMITACIONES</w:t>
      </w:r>
    </w:p>
    <w:p>
      <w:r>
        <w:rPr>
          <w:b/>
          <w:color w:val="378610"/>
          <w:sz w:val="24"/>
        </w:rPr>
        <w:t>Alcances</w:t>
      </w:r>
    </w:p>
    <w:tbl>
      <w:tblPr>
        <w:tblStyle w:val="Tablaconcuadrcula"/>
        <w:tblW w:type="auto" w:w="0"/>
        <w:jc w:val="center"/>
        <w:tblLook w:firstColumn="1" w:firstRow="1" w:lastColumn="0" w:lastRow="0" w:noHBand="0" w:noVBand="1" w:val="04A0"/>
      </w:tblPr>
      <w:tblGrid>
        <w:gridCol w:w="3249"/>
        <w:gridCol w:w="3249"/>
        <w:gridCol w:w="3249"/>
      </w:tblGrid>
      <w:tr>
        <w:tc>
          <w:tcPr>
            <w:tcW w:type="dxa" w:w="2381"/>
            <w:shd w:val="clear" w:color="auto" w:fill="1F497D"/>
          </w:tcPr>
          <w:p>
            <w:pPr>
              <w:spacing w:before="40" w:after="40"/>
              <w:jc w:val="center"/>
            </w:pPr>
            <w:r/>
            <w:r>
              <w:rPr>
                <w:rFonts w:ascii="Calibri" w:hAnsi="Calibri"/>
                <w:b/>
                <w:i w:val="0"/>
                <w:color w:val="FFFFFF"/>
                <w:sz w:val="19"/>
              </w:rPr>
              <w:t>Dimensión</w:t>
            </w:r>
          </w:p>
        </w:tc>
        <w:tc>
          <w:tcPr>
            <w:tcW w:type="dxa" w:w="3515"/>
            <w:shd w:val="clear" w:color="auto" w:fill="1F497D"/>
          </w:tcPr>
          <w:p>
            <w:pPr>
              <w:spacing w:before="40" w:after="40"/>
              <w:jc w:val="center"/>
            </w:pPr>
            <w:r/>
            <w:r>
              <w:rPr>
                <w:rFonts w:ascii="Calibri" w:hAnsi="Calibri"/>
                <w:b/>
                <w:i w:val="0"/>
                <w:color w:val="FFFFFF"/>
                <w:sz w:val="19"/>
              </w:rPr>
              <w:t>Dentro del alcance</w:t>
            </w:r>
          </w:p>
        </w:tc>
        <w:tc>
          <w:tcPr>
            <w:tcW w:type="dxa" w:w="3515"/>
            <w:shd w:val="clear" w:color="auto" w:fill="1F497D"/>
          </w:tcPr>
          <w:p>
            <w:pPr>
              <w:spacing w:before="40" w:after="40"/>
              <w:jc w:val="center"/>
            </w:pPr>
            <w:r/>
            <w:r>
              <w:rPr>
                <w:rFonts w:ascii="Calibri" w:hAnsi="Calibri"/>
                <w:b/>
                <w:i w:val="0"/>
                <w:color w:val="FFFFFF"/>
                <w:sz w:val="19"/>
              </w:rPr>
              <w:t>Fuera del alcance</w:t>
            </w:r>
          </w:p>
        </w:tc>
      </w:tr>
      <w:tr>
        <w:tc>
          <w:tcPr>
            <w:tcW w:type="dxa" w:w="2381"/>
          </w:tcPr>
          <w:p>
            <w:pPr>
              <w:spacing w:before="40" w:after="40"/>
              <w:jc w:val="left"/>
            </w:pPr>
            <w:r/>
            <w:r>
              <w:rPr>
                <w:rFonts w:ascii="Calibri" w:hAnsi="Calibri"/>
                <w:b w:val="0"/>
                <w:i w:val="0"/>
                <w:sz w:val="19"/>
              </w:rPr>
              <w:t>Universo de partida</w:t>
            </w:r>
          </w:p>
        </w:tc>
        <w:tc>
          <w:tcPr>
            <w:tcW w:type="dxa" w:w="3515"/>
          </w:tcPr>
          <w:p>
            <w:pPr>
              <w:spacing w:before="40" w:after="40"/>
              <w:jc w:val="center"/>
            </w:pPr>
            <w:r/>
            <w:r>
              <w:rPr>
                <w:rFonts w:ascii="Calibri" w:hAnsi="Calibri"/>
                <w:b w:val="0"/>
                <w:i w:val="0"/>
                <w:sz w:val="19"/>
              </w:rPr>
              <w:t>108.672 materiales de la base completa</w:t>
            </w:r>
          </w:p>
        </w:tc>
        <w:tc>
          <w:tcPr>
            <w:tcW w:type="dxa" w:w="3515"/>
          </w:tcPr>
          <w:p>
            <w:pPr>
              <w:spacing w:before="40" w:after="40"/>
              <w:jc w:val="center"/>
            </w:pPr>
            <w:r/>
            <w:r>
              <w:rPr>
                <w:rFonts w:ascii="Calibri" w:hAnsi="Calibri"/>
                <w:b w:val="0"/>
                <w:i w:val="0"/>
                <w:sz w:val="19"/>
              </w:rPr>
              <w:t>-</w:t>
            </w:r>
          </w:p>
        </w:tc>
      </w:tr>
      <w:tr>
        <w:tc>
          <w:tcPr>
            <w:tcW w:type="dxa" w:w="2381"/>
            <w:shd w:val="clear" w:color="auto" w:fill="F2F2F2"/>
          </w:tcPr>
          <w:p>
            <w:pPr>
              <w:spacing w:before="40" w:after="40"/>
              <w:jc w:val="left"/>
            </w:pPr>
            <w:r/>
            <w:r>
              <w:rPr>
                <w:rFonts w:ascii="Calibri" w:hAnsi="Calibri"/>
                <w:b w:val="0"/>
                <w:i w:val="0"/>
                <w:sz w:val="19"/>
              </w:rPr>
              <w:t>Marca</w:t>
            </w:r>
          </w:p>
        </w:tc>
        <w:tc>
          <w:tcPr>
            <w:tcW w:type="dxa" w:w="3515"/>
            <w:shd w:val="clear" w:color="auto" w:fill="F2F2F2"/>
          </w:tcPr>
          <w:p>
            <w:pPr>
              <w:spacing w:before="40" w:after="40"/>
              <w:jc w:val="center"/>
            </w:pPr>
            <w:r/>
            <w:r>
              <w:rPr>
                <w:rFonts w:ascii="Calibri" w:hAnsi="Calibri"/>
                <w:b w:val="0"/>
                <w:i w:val="0"/>
                <w:sz w:val="19"/>
              </w:rPr>
              <w:t>Suzuki</w:t>
            </w:r>
          </w:p>
        </w:tc>
        <w:tc>
          <w:tcPr>
            <w:tcW w:type="dxa" w:w="3515"/>
            <w:shd w:val="clear" w:color="auto" w:fill="F2F2F2"/>
          </w:tcPr>
          <w:p>
            <w:pPr>
              <w:spacing w:before="40" w:after="40"/>
              <w:jc w:val="center"/>
            </w:pPr>
            <w:r/>
            <w:r>
              <w:rPr>
                <w:rFonts w:ascii="Calibri" w:hAnsi="Calibri"/>
                <w:b w:val="0"/>
                <w:i w:val="0"/>
                <w:sz w:val="19"/>
              </w:rPr>
              <w:t>Las otras cinco marcas</w:t>
            </w:r>
          </w:p>
        </w:tc>
      </w:tr>
      <w:tr>
        <w:tc>
          <w:tcPr>
            <w:tcW w:type="dxa" w:w="2381"/>
          </w:tcPr>
          <w:p>
            <w:pPr>
              <w:spacing w:before="40" w:after="40"/>
              <w:jc w:val="left"/>
            </w:pPr>
            <w:r/>
            <w:r>
              <w:rPr>
                <w:rFonts w:ascii="Calibri" w:hAnsi="Calibri"/>
                <w:b w:val="0"/>
                <w:i w:val="0"/>
                <w:sz w:val="19"/>
              </w:rPr>
              <w:t>Familia</w:t>
            </w:r>
          </w:p>
        </w:tc>
        <w:tc>
          <w:tcPr>
            <w:tcW w:type="dxa" w:w="3515"/>
          </w:tcPr>
          <w:p>
            <w:pPr>
              <w:spacing w:before="40" w:after="40"/>
              <w:jc w:val="center"/>
            </w:pPr>
            <w:r/>
            <w:r>
              <w:rPr>
                <w:rFonts w:ascii="Calibri" w:hAnsi="Calibri"/>
                <w:b w:val="0"/>
                <w:i w:val="0"/>
                <w:sz w:val="19"/>
              </w:rPr>
              <w:t>Carrocería</w:t>
            </w:r>
          </w:p>
        </w:tc>
        <w:tc>
          <w:tcPr>
            <w:tcW w:type="dxa" w:w="3515"/>
          </w:tcPr>
          <w:p>
            <w:pPr>
              <w:spacing w:before="40" w:after="40"/>
              <w:jc w:val="center"/>
            </w:pPr>
            <w:r/>
            <w:r>
              <w:rPr>
                <w:rFonts w:ascii="Calibri" w:hAnsi="Calibri"/>
                <w:b w:val="0"/>
                <w:i w:val="0"/>
                <w:sz w:val="19"/>
              </w:rPr>
              <w:t>Las otras cinco familias</w:t>
            </w:r>
          </w:p>
        </w:tc>
      </w:tr>
      <w:tr>
        <w:tc>
          <w:tcPr>
            <w:tcW w:type="dxa" w:w="2381"/>
            <w:shd w:val="clear" w:color="auto" w:fill="F2F2F2"/>
          </w:tcPr>
          <w:p>
            <w:pPr>
              <w:spacing w:before="40" w:after="40"/>
              <w:jc w:val="left"/>
            </w:pPr>
            <w:r/>
            <w:r>
              <w:rPr>
                <w:rFonts w:ascii="Calibri" w:hAnsi="Calibri"/>
                <w:b w:val="0"/>
                <w:i w:val="0"/>
                <w:sz w:val="19"/>
              </w:rPr>
              <w:t>Período</w:t>
            </w:r>
          </w:p>
        </w:tc>
        <w:tc>
          <w:tcPr>
            <w:tcW w:type="dxa" w:w="3515"/>
            <w:shd w:val="clear" w:color="auto" w:fill="F2F2F2"/>
          </w:tcPr>
          <w:p>
            <w:pPr>
              <w:spacing w:before="40" w:after="40"/>
              <w:jc w:val="center"/>
            </w:pPr>
            <w:r/>
            <w:r>
              <w:rPr>
                <w:rFonts w:ascii="Calibri" w:hAnsi="Calibri"/>
                <w:b w:val="0"/>
                <w:i w:val="0"/>
                <w:sz w:val="19"/>
              </w:rPr>
              <w:t>enero de 2025 a junio de 2026 (18 meses)</w:t>
            </w:r>
          </w:p>
        </w:tc>
        <w:tc>
          <w:tcPr>
            <w:tcW w:type="dxa" w:w="3515"/>
            <w:shd w:val="clear" w:color="auto" w:fill="F2F2F2"/>
          </w:tcPr>
          <w:p>
            <w:pPr>
              <w:spacing w:before="40" w:after="40"/>
              <w:jc w:val="center"/>
            </w:pPr>
            <w:r/>
            <w:r>
              <w:rPr>
                <w:rFonts w:ascii="Calibri" w:hAnsi="Calibri"/>
                <w:b w:val="0"/>
                <w:i w:val="0"/>
                <w:sz w:val="19"/>
              </w:rPr>
              <w:t>-</w:t>
            </w:r>
          </w:p>
        </w:tc>
      </w:tr>
      <w:tr>
        <w:tc>
          <w:tcPr>
            <w:tcW w:type="dxa" w:w="2381"/>
          </w:tcPr>
          <w:p>
            <w:pPr>
              <w:spacing w:before="40" w:after="40"/>
              <w:jc w:val="left"/>
            </w:pPr>
            <w:r/>
            <w:r>
              <w:rPr>
                <w:rFonts w:ascii="Calibri" w:hAnsi="Calibri"/>
                <w:b w:val="0"/>
                <w:i w:val="0"/>
                <w:sz w:val="19"/>
              </w:rPr>
              <w:t>Unidad de medida</w:t>
            </w:r>
          </w:p>
        </w:tc>
        <w:tc>
          <w:tcPr>
            <w:tcW w:type="dxa" w:w="3515"/>
          </w:tcPr>
          <w:p>
            <w:pPr>
              <w:spacing w:before="40" w:after="40"/>
              <w:jc w:val="center"/>
            </w:pPr>
            <w:r/>
            <w:r>
              <w:rPr>
                <w:rFonts w:ascii="Calibri" w:hAnsi="Calibri"/>
                <w:b w:val="0"/>
                <w:i w:val="0"/>
                <w:sz w:val="19"/>
              </w:rPr>
              <w:t>Unidades vendidas por material y mes</w:t>
            </w:r>
          </w:p>
        </w:tc>
        <w:tc>
          <w:tcPr>
            <w:tcW w:type="dxa" w:w="3515"/>
          </w:tcPr>
          <w:p>
            <w:pPr>
              <w:spacing w:before="40" w:after="40"/>
              <w:jc w:val="center"/>
            </w:pPr>
            <w:r/>
            <w:r>
              <w:rPr>
                <w:rFonts w:ascii="Calibri" w:hAnsi="Calibri"/>
                <w:b w:val="0"/>
                <w:i w:val="0"/>
                <w:sz w:val="19"/>
              </w:rPr>
              <w:t>Venta valorizada</w:t>
            </w:r>
          </w:p>
        </w:tc>
      </w:tr>
    </w:tbl>
    <w:p/>
    <w:p>
      <w:r>
        <w:rPr>
          <w:b/>
          <w:color w:val="C00000"/>
          <w:sz w:val="24"/>
        </w:rPr>
        <w:t>Limitaciones</w:t>
      </w:r>
    </w:p>
    <w:p>
      <w:pPr>
        <w:pStyle w:val="Listaconvietas"/>
        <w:spacing w:after="60"/>
      </w:pPr>
      <w:r>
        <w:rPr>
          <w:rFonts w:ascii="Calibri" w:hAnsi="Calibri"/>
          <w:b/>
          <w:sz w:val="22"/>
        </w:rPr>
        <w:t xml:space="preserve">La selección de marca y familia es temporal: </w:t>
      </w:r>
      <w:r>
        <w:rPr>
          <w:rFonts w:ascii="Calibri" w:hAnsi="Calibri"/>
          <w:sz w:val="22"/>
        </w:rPr>
        <w:t>responde a la necesidad de validar el método sobre el grupo con más códigos activos. No es el alcance final del proyecto.</w:t>
      </w:r>
    </w:p>
    <w:p>
      <w:pPr>
        <w:pStyle w:val="Listaconvietas"/>
        <w:spacing w:after="60"/>
      </w:pPr>
      <w:r>
        <w:rPr>
          <w:rFonts w:ascii="Calibri" w:hAnsi="Calibri"/>
          <w:b/>
          <w:sz w:val="22"/>
        </w:rPr>
        <w:t xml:space="preserve">El resultado depende de la fecha de corte: </w:t>
      </w:r>
      <w:r>
        <w:rPr>
          <w:rFonts w:ascii="Calibri" w:hAnsi="Calibri"/>
          <w:sz w:val="22"/>
        </w:rPr>
        <w:t>la regla de inactividad se mide contra el último mes cargado. Con otra fecha de corte, el conjunto de códigos cambia.</w:t>
      </w:r>
    </w:p>
    <w:p>
      <w:pPr>
        <w:pStyle w:val="Listaconvietas"/>
        <w:spacing w:after="60"/>
      </w:pPr>
      <w:r>
        <w:rPr>
          <w:rFonts w:ascii="Calibri" w:hAnsi="Calibri"/>
          <w:b/>
          <w:sz w:val="22"/>
        </w:rPr>
        <w:t xml:space="preserve">No se distingue falta de demanda de falta de stock: </w:t>
      </w:r>
      <w:r>
        <w:rPr>
          <w:rFonts w:ascii="Calibri" w:hAnsi="Calibri"/>
          <w:sz w:val="22"/>
        </w:rPr>
        <w:t>un código puede quedar eliminado por inactividad cuando en realidad no hubo unidades para vender.</w:t>
      </w:r>
    </w:p>
    <w:p>
      <w:pPr>
        <w:pStyle w:val="Listaconvietas"/>
        <w:spacing w:after="60"/>
      </w:pPr>
      <w:r>
        <w:rPr>
          <w:rFonts w:ascii="Calibri" w:hAnsi="Calibri"/>
          <w:b/>
          <w:sz w:val="22"/>
        </w:rPr>
        <w:t xml:space="preserve">No se incorporan variables predictoras: </w:t>
      </w:r>
      <w:r>
        <w:rPr>
          <w:rFonts w:ascii="Calibri" w:hAnsi="Calibri"/>
          <w:sz w:val="22"/>
        </w:rPr>
        <w:t>esta fase entrega la serie de venta depurada. La construcción de rezagos, calendario y atributos es trabajo posterior.</w:t>
      </w:r>
    </w:p>
    <w:p>
      <w:pPr>
        <w:pStyle w:val="Listaconvietas"/>
        <w:spacing w:after="60"/>
      </w:pPr>
      <w:r>
        <w:rPr>
          <w:rFonts w:ascii="Calibri" w:hAnsi="Calibri"/>
          <w:b/>
          <w:sz w:val="22"/>
        </w:rPr>
        <w:t xml:space="preserve">Historia corta: </w:t>
      </w:r>
      <w:r>
        <w:rPr>
          <w:rFonts w:ascii="Calibri" w:hAnsi="Calibri"/>
          <w:sz w:val="22"/>
        </w:rPr>
        <w:t>con 18 meses disponibles, la ventana de inactividad de 12 meses consume dos tercios del horizonte.</w:t>
      </w:r>
    </w:p>
    <w:p>
      <w:r>
        <w:br w:type="page"/>
      </w:r>
    </w:p>
    <w:p>
      <w:pPr>
        <w:pStyle w:val="Ttulo1"/>
      </w:pPr>
      <w:r>
        <w:rPr>
          <w:rFonts w:ascii="Calibri" w:hAnsi="Calibri"/>
          <w:b/>
          <w:color w:val="1F497D"/>
          <w:sz w:val="32"/>
        </w:rPr>
        <w:t>1. Punto de partida y reglas que se aplican</w:t>
      </w:r>
    </w:p>
    <w:p>
      <w:pPr>
        <w:spacing w:after="120"/>
        <w:jc w:val="both"/>
      </w:pPr>
      <w:r>
        <w:rPr>
          <w:rFonts w:ascii="Calibri" w:hAnsi="Calibri"/>
          <w:b w:val="0"/>
          <w:i w:val="0"/>
          <w:sz w:val="22"/>
        </w:rPr>
        <w:t>Se parte del mismo archivo analizado en la fase anterior, sin modificaciones.</w:t>
      </w:r>
    </w:p>
    <w:tbl>
      <w:tblPr>
        <w:tblStyle w:val="Tablaconcuadrcula"/>
        <w:tblW w:type="auto" w:w="0"/>
        <w:jc w:val="center"/>
        <w:tblLook w:firstColumn="1" w:firstRow="1" w:lastColumn="0" w:lastRow="0" w:noHBand="0" w:noVBand="1" w:val="04A0"/>
      </w:tblPr>
      <w:tblGrid>
        <w:gridCol w:w="4873"/>
        <w:gridCol w:w="4873"/>
      </w:tblGrid>
      <w:tr>
        <w:tc>
          <w:tcPr>
            <w:tcW w:type="dxa" w:w="3402"/>
            <w:shd w:val="clear" w:color="auto" w:fill="1F497D"/>
          </w:tcPr>
          <w:p>
            <w:pPr>
              <w:spacing w:before="40" w:after="40"/>
              <w:jc w:val="center"/>
            </w:pPr>
            <w:r/>
            <w:r>
              <w:rPr>
                <w:rFonts w:ascii="Calibri" w:hAnsi="Calibri"/>
                <w:b/>
                <w:i w:val="0"/>
                <w:color w:val="FFFFFF"/>
                <w:sz w:val="19"/>
              </w:rPr>
              <w:t>Característica</w:t>
            </w:r>
          </w:p>
        </w:tc>
        <w:tc>
          <w:tcPr>
            <w:tcW w:type="dxa" w:w="6009"/>
            <w:shd w:val="clear" w:color="auto" w:fill="1F497D"/>
          </w:tcPr>
          <w:p>
            <w:pPr>
              <w:spacing w:before="40" w:after="40"/>
              <w:jc w:val="center"/>
            </w:pPr>
            <w:r/>
            <w:r>
              <w:rPr>
                <w:rFonts w:ascii="Calibri" w:hAnsi="Calibri"/>
                <w:b/>
                <w:i w:val="0"/>
                <w:color w:val="FFFFFF"/>
                <w:sz w:val="19"/>
              </w:rPr>
              <w:t>Valor</w:t>
            </w:r>
          </w:p>
        </w:tc>
      </w:tr>
      <w:tr>
        <w:tc>
          <w:tcPr>
            <w:tcW w:type="dxa" w:w="3402"/>
          </w:tcPr>
          <w:p>
            <w:pPr>
              <w:spacing w:before="40" w:after="40"/>
              <w:jc w:val="left"/>
            </w:pPr>
            <w:r/>
            <w:r>
              <w:rPr>
                <w:rFonts w:ascii="Calibri" w:hAnsi="Calibri"/>
                <w:b w:val="0"/>
                <w:i w:val="0"/>
                <w:sz w:val="19"/>
              </w:rPr>
              <w:t>Archivo de origen</w:t>
            </w:r>
          </w:p>
        </w:tc>
        <w:tc>
          <w:tcPr>
            <w:tcW w:type="dxa" w:w="6009"/>
          </w:tcPr>
          <w:p>
            <w:pPr>
              <w:spacing w:before="40" w:after="40"/>
              <w:jc w:val="center"/>
            </w:pPr>
            <w:r/>
            <w:r>
              <w:rPr>
                <w:rFonts w:ascii="Calibri" w:hAnsi="Calibri"/>
                <w:b w:val="0"/>
                <w:i w:val="0"/>
                <w:sz w:val="19"/>
              </w:rPr>
              <w:t>Venta Mainstream.xlsx</w:t>
            </w:r>
          </w:p>
        </w:tc>
      </w:tr>
      <w:tr>
        <w:tc>
          <w:tcPr>
            <w:tcW w:type="dxa" w:w="3402"/>
            <w:shd w:val="clear" w:color="auto" w:fill="F2F2F2"/>
          </w:tcPr>
          <w:p>
            <w:pPr>
              <w:spacing w:before="40" w:after="40"/>
              <w:jc w:val="left"/>
            </w:pPr>
            <w:r/>
            <w:r>
              <w:rPr>
                <w:rFonts w:ascii="Calibri" w:hAnsi="Calibri"/>
                <w:b w:val="0"/>
                <w:i w:val="0"/>
                <w:sz w:val="19"/>
              </w:rPr>
              <w:t>Hoja</w:t>
            </w:r>
          </w:p>
        </w:tc>
        <w:tc>
          <w:tcPr>
            <w:tcW w:type="dxa" w:w="6009"/>
            <w:shd w:val="clear" w:color="auto" w:fill="F2F2F2"/>
          </w:tcPr>
          <w:p>
            <w:pPr>
              <w:spacing w:before="40" w:after="40"/>
              <w:jc w:val="center"/>
            </w:pPr>
            <w:r/>
            <w:r>
              <w:rPr>
                <w:rFonts w:ascii="Calibri" w:hAnsi="Calibri"/>
                <w:b w:val="0"/>
                <w:i w:val="0"/>
                <w:sz w:val="19"/>
              </w:rPr>
              <w:t>Consolidado Mainstream</w:t>
            </w:r>
          </w:p>
        </w:tc>
      </w:tr>
      <w:tr>
        <w:tc>
          <w:tcPr>
            <w:tcW w:type="dxa" w:w="3402"/>
          </w:tcPr>
          <w:p>
            <w:pPr>
              <w:spacing w:before="40" w:after="40"/>
              <w:jc w:val="left"/>
            </w:pPr>
            <w:r/>
            <w:r>
              <w:rPr>
                <w:rFonts w:ascii="Calibri" w:hAnsi="Calibri"/>
                <w:b w:val="0"/>
                <w:i w:val="0"/>
                <w:sz w:val="19"/>
              </w:rPr>
              <w:t>Materiales</w:t>
            </w:r>
          </w:p>
        </w:tc>
        <w:tc>
          <w:tcPr>
            <w:tcW w:type="dxa" w:w="6009"/>
          </w:tcPr>
          <w:p>
            <w:pPr>
              <w:spacing w:before="40" w:after="40"/>
              <w:jc w:val="center"/>
            </w:pPr>
            <w:r/>
            <w:r>
              <w:rPr>
                <w:rFonts w:ascii="Calibri" w:hAnsi="Calibri"/>
                <w:b w:val="0"/>
                <w:i w:val="0"/>
                <w:sz w:val="19"/>
              </w:rPr>
              <w:t>108.672</w:t>
            </w:r>
          </w:p>
        </w:tc>
      </w:tr>
      <w:tr>
        <w:tc>
          <w:tcPr>
            <w:tcW w:type="dxa" w:w="3402"/>
            <w:shd w:val="clear" w:color="auto" w:fill="F2F2F2"/>
          </w:tcPr>
          <w:p>
            <w:pPr>
              <w:spacing w:before="40" w:after="40"/>
              <w:jc w:val="left"/>
            </w:pPr>
            <w:r/>
            <w:r>
              <w:rPr>
                <w:rFonts w:ascii="Calibri" w:hAnsi="Calibri"/>
                <w:b w:val="0"/>
                <w:i w:val="0"/>
                <w:sz w:val="19"/>
              </w:rPr>
              <w:t>Período</w:t>
            </w:r>
          </w:p>
        </w:tc>
        <w:tc>
          <w:tcPr>
            <w:tcW w:type="dxa" w:w="6009"/>
            <w:shd w:val="clear" w:color="auto" w:fill="F2F2F2"/>
          </w:tcPr>
          <w:p>
            <w:pPr>
              <w:spacing w:before="40" w:after="40"/>
              <w:jc w:val="center"/>
            </w:pPr>
            <w:r/>
            <w:r>
              <w:rPr>
                <w:rFonts w:ascii="Calibri" w:hAnsi="Calibri"/>
                <w:b w:val="0"/>
                <w:i w:val="0"/>
                <w:sz w:val="19"/>
              </w:rPr>
              <w:t>enero de 2025 a junio de 2026</w:t>
            </w:r>
          </w:p>
        </w:tc>
      </w:tr>
      <w:tr>
        <w:tc>
          <w:tcPr>
            <w:tcW w:type="dxa" w:w="3402"/>
          </w:tcPr>
          <w:p>
            <w:pPr>
              <w:spacing w:before="40" w:after="40"/>
              <w:jc w:val="left"/>
            </w:pPr>
            <w:r/>
            <w:r>
              <w:rPr>
                <w:rFonts w:ascii="Calibri" w:hAnsi="Calibri"/>
                <w:b w:val="0"/>
                <w:i w:val="0"/>
                <w:sz w:val="19"/>
              </w:rPr>
              <w:t>Meses de historia</w:t>
            </w:r>
          </w:p>
        </w:tc>
        <w:tc>
          <w:tcPr>
            <w:tcW w:type="dxa" w:w="6009"/>
          </w:tcPr>
          <w:p>
            <w:pPr>
              <w:spacing w:before="40" w:after="40"/>
              <w:jc w:val="center"/>
            </w:pPr>
            <w:r/>
            <w:r>
              <w:rPr>
                <w:rFonts w:ascii="Calibri" w:hAnsi="Calibri"/>
                <w:b w:val="0"/>
                <w:i w:val="0"/>
                <w:sz w:val="19"/>
              </w:rPr>
              <w:t>18</w:t>
            </w:r>
          </w:p>
        </w:tc>
      </w:tr>
      <w:tr>
        <w:tc>
          <w:tcPr>
            <w:tcW w:type="dxa" w:w="3402"/>
            <w:shd w:val="clear" w:color="auto" w:fill="F2F2F2"/>
          </w:tcPr>
          <w:p>
            <w:pPr>
              <w:spacing w:before="40" w:after="40"/>
              <w:jc w:val="left"/>
            </w:pPr>
            <w:r/>
            <w:r>
              <w:rPr>
                <w:rFonts w:ascii="Calibri" w:hAnsi="Calibri"/>
                <w:b w:val="0"/>
                <w:i w:val="0"/>
                <w:sz w:val="19"/>
              </w:rPr>
              <w:t>Fecha de corte</w:t>
            </w:r>
          </w:p>
        </w:tc>
        <w:tc>
          <w:tcPr>
            <w:tcW w:type="dxa" w:w="6009"/>
            <w:shd w:val="clear" w:color="auto" w:fill="F2F2F2"/>
          </w:tcPr>
          <w:p>
            <w:pPr>
              <w:spacing w:before="40" w:after="40"/>
              <w:jc w:val="center"/>
            </w:pPr>
            <w:r/>
            <w:r>
              <w:rPr>
                <w:rFonts w:ascii="Calibri" w:hAnsi="Calibri"/>
                <w:b w:val="0"/>
                <w:i w:val="0"/>
                <w:sz w:val="19"/>
              </w:rPr>
              <w:t>junio de 2026</w:t>
            </w:r>
          </w:p>
        </w:tc>
      </w:tr>
    </w:tbl>
    <w:p/>
    <w:p>
      <w:pPr>
        <w:pStyle w:val="Ttulo2"/>
      </w:pPr>
      <w:r>
        <w:rPr>
          <w:rFonts w:ascii="Calibri" w:hAnsi="Calibri"/>
          <w:b/>
          <w:color w:val="2E74B5"/>
          <w:sz w:val="26"/>
        </w:rPr>
        <w:t>1.1 Las cuatro reglas</w:t>
      </w:r>
    </w:p>
    <w:tbl>
      <w:tblPr>
        <w:tblStyle w:val="Tablaconcuadrcula"/>
        <w:tblW w:type="auto" w:w="0"/>
        <w:jc w:val="center"/>
        <w:tblLook w:firstColumn="1" w:firstRow="1" w:lastColumn="0" w:lastRow="0" w:noHBand="0" w:noVBand="1" w:val="04A0"/>
      </w:tblPr>
      <w:tblGrid>
        <w:gridCol w:w="2436"/>
        <w:gridCol w:w="2436"/>
        <w:gridCol w:w="2436"/>
        <w:gridCol w:w="2436"/>
      </w:tblGrid>
      <w:tr>
        <w:tc>
          <w:tcPr>
            <w:tcW w:type="dxa" w:w="907"/>
            <w:shd w:val="clear" w:color="auto" w:fill="1F497D"/>
          </w:tcPr>
          <w:p>
            <w:pPr>
              <w:spacing w:before="40" w:after="40"/>
              <w:jc w:val="center"/>
            </w:pPr>
            <w:r/>
            <w:r>
              <w:rPr>
                <w:rFonts w:ascii="Calibri" w:hAnsi="Calibri"/>
                <w:b/>
                <w:i w:val="0"/>
                <w:color w:val="FFFFFF"/>
                <w:sz w:val="19"/>
              </w:rPr>
              <w:t>Paso</w:t>
            </w:r>
          </w:p>
        </w:tc>
        <w:tc>
          <w:tcPr>
            <w:tcW w:type="dxa" w:w="4195"/>
            <w:shd w:val="clear" w:color="auto" w:fill="1F497D"/>
          </w:tcPr>
          <w:p>
            <w:pPr>
              <w:spacing w:before="40" w:after="40"/>
              <w:jc w:val="center"/>
            </w:pPr>
            <w:r/>
            <w:r>
              <w:rPr>
                <w:rFonts w:ascii="Calibri" w:hAnsi="Calibri"/>
                <w:b/>
                <w:i w:val="0"/>
                <w:color w:val="FFFFFF"/>
                <w:sz w:val="19"/>
              </w:rPr>
              <w:t>Regla</w:t>
            </w:r>
          </w:p>
        </w:tc>
        <w:tc>
          <w:tcPr>
            <w:tcW w:type="dxa" w:w="2154"/>
            <w:shd w:val="clear" w:color="auto" w:fill="1F497D"/>
          </w:tcPr>
          <w:p>
            <w:pPr>
              <w:spacing w:before="40" w:after="40"/>
              <w:jc w:val="center"/>
            </w:pPr>
            <w:r/>
            <w:r>
              <w:rPr>
                <w:rFonts w:ascii="Calibri" w:hAnsi="Calibri"/>
                <w:b/>
                <w:i w:val="0"/>
                <w:color w:val="FFFFFF"/>
                <w:sz w:val="19"/>
              </w:rPr>
              <w:t>Origen de la decisión</w:t>
            </w:r>
          </w:p>
        </w:tc>
        <w:tc>
          <w:tcPr>
            <w:tcW w:type="dxa" w:w="2154"/>
            <w:shd w:val="clear" w:color="auto" w:fill="1F497D"/>
          </w:tcPr>
          <w:p>
            <w:pPr>
              <w:spacing w:before="40" w:after="40"/>
              <w:jc w:val="center"/>
            </w:pPr>
            <w:r/>
            <w:r>
              <w:rPr>
                <w:rFonts w:ascii="Calibri" w:hAnsi="Calibri"/>
                <w:b/>
                <w:i w:val="0"/>
                <w:color w:val="FFFFFF"/>
                <w:sz w:val="19"/>
              </w:rPr>
              <w:t>Cuándo se aplica</w:t>
            </w:r>
          </w:p>
        </w:tc>
      </w:tr>
      <w:tr>
        <w:tc>
          <w:tcPr>
            <w:tcW w:type="dxa" w:w="907"/>
          </w:tcPr>
          <w:p>
            <w:pPr>
              <w:spacing w:before="40" w:after="40"/>
              <w:jc w:val="left"/>
            </w:pPr>
            <w:r/>
            <w:r>
              <w:rPr>
                <w:rFonts w:ascii="Calibri" w:hAnsi="Calibri"/>
                <w:b w:val="0"/>
                <w:i w:val="0"/>
                <w:sz w:val="19"/>
              </w:rPr>
              <w:t>1</w:t>
            </w:r>
          </w:p>
        </w:tc>
        <w:tc>
          <w:tcPr>
            <w:tcW w:type="dxa" w:w="4195"/>
          </w:tcPr>
          <w:p>
            <w:pPr>
              <w:spacing w:before="40" w:after="40"/>
              <w:jc w:val="center"/>
            </w:pPr>
            <w:r/>
            <w:r>
              <w:rPr>
                <w:rFonts w:ascii="Calibri" w:hAnsi="Calibri"/>
                <w:b w:val="0"/>
                <w:i w:val="0"/>
                <w:sz w:val="19"/>
              </w:rPr>
              <w:t>Eliminar los códigos sin venta en los 18 meses</w:t>
            </w:r>
          </w:p>
        </w:tc>
        <w:tc>
          <w:tcPr>
            <w:tcW w:type="dxa" w:w="2154"/>
          </w:tcPr>
          <w:p>
            <w:pPr>
              <w:spacing w:before="40" w:after="40"/>
              <w:jc w:val="center"/>
            </w:pPr>
            <w:r/>
            <w:r>
              <w:rPr>
                <w:rFonts w:ascii="Calibri" w:hAnsi="Calibri"/>
                <w:b w:val="0"/>
                <w:i w:val="0"/>
                <w:sz w:val="19"/>
              </w:rPr>
              <w:t>Negocio</w:t>
            </w:r>
          </w:p>
        </w:tc>
        <w:tc>
          <w:tcPr>
            <w:tcW w:type="dxa" w:w="2154"/>
          </w:tcPr>
          <w:p>
            <w:pPr>
              <w:spacing w:before="40" w:after="40"/>
              <w:jc w:val="center"/>
            </w:pPr>
            <w:r/>
            <w:r>
              <w:rPr>
                <w:rFonts w:ascii="Calibri" w:hAnsi="Calibri"/>
                <w:b w:val="0"/>
                <w:i w:val="0"/>
                <w:sz w:val="19"/>
              </w:rPr>
              <w:t>Una vez</w:t>
            </w:r>
          </w:p>
        </w:tc>
      </w:tr>
      <w:tr>
        <w:tc>
          <w:tcPr>
            <w:tcW w:type="dxa" w:w="907"/>
            <w:shd w:val="clear" w:color="auto" w:fill="F2F2F2"/>
          </w:tcPr>
          <w:p>
            <w:pPr>
              <w:spacing w:before="40" w:after="40"/>
              <w:jc w:val="left"/>
            </w:pPr>
            <w:r/>
            <w:r>
              <w:rPr>
                <w:rFonts w:ascii="Calibri" w:hAnsi="Calibri"/>
                <w:b w:val="0"/>
                <w:i w:val="0"/>
                <w:sz w:val="19"/>
              </w:rPr>
              <w:t>2</w:t>
            </w:r>
          </w:p>
        </w:tc>
        <w:tc>
          <w:tcPr>
            <w:tcW w:type="dxa" w:w="4195"/>
            <w:shd w:val="clear" w:color="auto" w:fill="F2F2F2"/>
          </w:tcPr>
          <w:p>
            <w:pPr>
              <w:spacing w:before="40" w:after="40"/>
              <w:jc w:val="center"/>
            </w:pPr>
            <w:r/>
            <w:r>
              <w:rPr>
                <w:rFonts w:ascii="Calibri" w:hAnsi="Calibri"/>
                <w:b w:val="0"/>
                <w:i w:val="0"/>
                <w:sz w:val="19"/>
              </w:rPr>
              <w:t>Dejar solo la marca Suzuki</w:t>
            </w:r>
          </w:p>
        </w:tc>
        <w:tc>
          <w:tcPr>
            <w:tcW w:type="dxa" w:w="2154"/>
            <w:shd w:val="clear" w:color="auto" w:fill="F2F2F2"/>
          </w:tcPr>
          <w:p>
            <w:pPr>
              <w:spacing w:before="40" w:after="40"/>
              <w:jc w:val="center"/>
            </w:pPr>
            <w:r/>
            <w:r>
              <w:rPr>
                <w:rFonts w:ascii="Calibri" w:hAnsi="Calibri"/>
                <w:b w:val="0"/>
                <w:i w:val="0"/>
                <w:sz w:val="19"/>
              </w:rPr>
              <w:t>Metodológica</w:t>
            </w:r>
          </w:p>
        </w:tc>
        <w:tc>
          <w:tcPr>
            <w:tcW w:type="dxa" w:w="2154"/>
            <w:shd w:val="clear" w:color="auto" w:fill="F2F2F2"/>
          </w:tcPr>
          <w:p>
            <w:pPr>
              <w:spacing w:before="40" w:after="40"/>
              <w:jc w:val="center"/>
            </w:pPr>
            <w:r/>
            <w:r>
              <w:rPr>
                <w:rFonts w:ascii="Calibri" w:hAnsi="Calibri"/>
                <w:b w:val="0"/>
                <w:i w:val="0"/>
                <w:sz w:val="19"/>
              </w:rPr>
              <w:t>Etapa actual</w:t>
            </w:r>
          </w:p>
        </w:tc>
      </w:tr>
      <w:tr>
        <w:tc>
          <w:tcPr>
            <w:tcW w:type="dxa" w:w="907"/>
          </w:tcPr>
          <w:p>
            <w:pPr>
              <w:spacing w:before="40" w:after="40"/>
              <w:jc w:val="left"/>
            </w:pPr>
            <w:r/>
            <w:r>
              <w:rPr>
                <w:rFonts w:ascii="Calibri" w:hAnsi="Calibri"/>
                <w:b w:val="0"/>
                <w:i w:val="0"/>
                <w:sz w:val="19"/>
              </w:rPr>
              <w:t>3</w:t>
            </w:r>
          </w:p>
        </w:tc>
        <w:tc>
          <w:tcPr>
            <w:tcW w:type="dxa" w:w="4195"/>
          </w:tcPr>
          <w:p>
            <w:pPr>
              <w:spacing w:before="40" w:after="40"/>
              <w:jc w:val="center"/>
            </w:pPr>
            <w:r/>
            <w:r>
              <w:rPr>
                <w:rFonts w:ascii="Calibri" w:hAnsi="Calibri"/>
                <w:b w:val="0"/>
                <w:i w:val="0"/>
                <w:sz w:val="19"/>
              </w:rPr>
              <w:t>Dejar solo la familia Carrocería</w:t>
            </w:r>
          </w:p>
        </w:tc>
        <w:tc>
          <w:tcPr>
            <w:tcW w:type="dxa" w:w="2154"/>
          </w:tcPr>
          <w:p>
            <w:pPr>
              <w:spacing w:before="40" w:after="40"/>
              <w:jc w:val="center"/>
            </w:pPr>
            <w:r/>
            <w:r>
              <w:rPr>
                <w:rFonts w:ascii="Calibri" w:hAnsi="Calibri"/>
                <w:b w:val="0"/>
                <w:i w:val="0"/>
                <w:sz w:val="19"/>
              </w:rPr>
              <w:t>Metodológica</w:t>
            </w:r>
          </w:p>
        </w:tc>
        <w:tc>
          <w:tcPr>
            <w:tcW w:type="dxa" w:w="2154"/>
          </w:tcPr>
          <w:p>
            <w:pPr>
              <w:spacing w:before="40" w:after="40"/>
              <w:jc w:val="center"/>
            </w:pPr>
            <w:r/>
            <w:r>
              <w:rPr>
                <w:rFonts w:ascii="Calibri" w:hAnsi="Calibri"/>
                <w:b w:val="0"/>
                <w:i w:val="0"/>
                <w:sz w:val="19"/>
              </w:rPr>
              <w:t>Etapa actual</w:t>
            </w:r>
          </w:p>
        </w:tc>
      </w:tr>
      <w:tr>
        <w:tc>
          <w:tcPr>
            <w:tcW w:type="dxa" w:w="907"/>
            <w:shd w:val="clear" w:color="auto" w:fill="F2F2F2"/>
          </w:tcPr>
          <w:p>
            <w:pPr>
              <w:spacing w:before="40" w:after="40"/>
              <w:jc w:val="left"/>
            </w:pPr>
            <w:r/>
            <w:r>
              <w:rPr>
                <w:rFonts w:ascii="Calibri" w:hAnsi="Calibri"/>
                <w:b w:val="0"/>
                <w:i w:val="0"/>
                <w:sz w:val="19"/>
              </w:rPr>
              <w:t>4</w:t>
            </w:r>
          </w:p>
        </w:tc>
        <w:tc>
          <w:tcPr>
            <w:tcW w:type="dxa" w:w="4195"/>
            <w:shd w:val="clear" w:color="auto" w:fill="F2F2F2"/>
          </w:tcPr>
          <w:p>
            <w:pPr>
              <w:spacing w:before="40" w:after="40"/>
              <w:jc w:val="center"/>
            </w:pPr>
            <w:r/>
            <w:r>
              <w:rPr>
                <w:rFonts w:ascii="Calibri" w:hAnsi="Calibri"/>
                <w:b w:val="0"/>
                <w:i w:val="0"/>
                <w:sz w:val="19"/>
              </w:rPr>
              <w:t>Eliminar los códigos sin venta en los últimos 12 meses</w:t>
            </w:r>
          </w:p>
        </w:tc>
        <w:tc>
          <w:tcPr>
            <w:tcW w:type="dxa" w:w="2154"/>
            <w:shd w:val="clear" w:color="auto" w:fill="F2F2F2"/>
          </w:tcPr>
          <w:p>
            <w:pPr>
              <w:spacing w:before="40" w:after="40"/>
              <w:jc w:val="center"/>
            </w:pPr>
            <w:r/>
            <w:r>
              <w:rPr>
                <w:rFonts w:ascii="Calibri" w:hAnsi="Calibri"/>
                <w:b w:val="0"/>
                <w:i w:val="0"/>
                <w:sz w:val="19"/>
              </w:rPr>
              <w:t>Negocio</w:t>
            </w:r>
          </w:p>
        </w:tc>
        <w:tc>
          <w:tcPr>
            <w:tcW w:type="dxa" w:w="2154"/>
            <w:shd w:val="clear" w:color="auto" w:fill="F2F2F2"/>
          </w:tcPr>
          <w:p>
            <w:pPr>
              <w:spacing w:before="40" w:after="40"/>
              <w:jc w:val="center"/>
            </w:pPr>
            <w:r/>
            <w:r>
              <w:rPr>
                <w:rFonts w:ascii="Calibri" w:hAnsi="Calibri"/>
                <w:b w:val="0"/>
                <w:i w:val="0"/>
                <w:sz w:val="19"/>
              </w:rPr>
              <w:t>En cada carga mensual</w:t>
            </w:r>
          </w:p>
        </w:tc>
      </w:tr>
    </w:tbl>
    <w:p/>
    <w:p>
      <w:pPr>
        <w:spacing w:after="120"/>
        <w:jc w:val="both"/>
      </w:pPr>
      <w:r>
        <w:rPr>
          <w:rFonts w:ascii="Calibri" w:hAnsi="Calibri"/>
          <w:b w:val="0"/>
          <w:i w:val="0"/>
          <w:sz w:val="22"/>
        </w:rPr>
        <w:t>Los pasos 1 y 4 responden a una definición del negocio: un código sin venta reciente no se abastece, por lo tanto no se pronostica. Los pasos 2 y 3 son decisiones metodológicas y temporales: se empieza por el grupo con más códigos activos y, una vez validado el método, se repite sobre las demás familias y marcas.</w:t>
      </w:r>
    </w:p>
    <w:p>
      <w:pPr>
        <w:pStyle w:val="Ttulo2"/>
      </w:pPr>
      <w:r>
        <w:rPr>
          <w:rFonts w:ascii="Calibri" w:hAnsi="Calibri"/>
          <w:b/>
          <w:color w:val="2E74B5"/>
          <w:sz w:val="26"/>
        </w:rPr>
        <w:t>1.2 Cada paso deja su propio archivo</w:t>
      </w:r>
    </w:p>
    <w:p>
      <w:pPr>
        <w:spacing w:after="120"/>
        <w:jc w:val="both"/>
      </w:pPr>
      <w:r>
        <w:rPr>
          <w:rFonts w:ascii="Calibri" w:hAnsi="Calibri"/>
          <w:b w:val="0"/>
          <w:i w:val="0"/>
          <w:sz w:val="22"/>
        </w:rPr>
        <w:t>El proceso no encadena cálculos en memoria. Cada paso escribe un archivo y el paso siguiente lo vuelve a leer, de modo que los tres archivos son puntos de control verificables de forma independiente.</w:t>
      </w:r>
    </w:p>
    <w:tbl>
      <w:tblPr>
        <w:tblStyle w:val="Tablaconcuadrcula"/>
        <w:tblW w:type="auto" w:w="0"/>
        <w:jc w:val="center"/>
        <w:tblLook w:firstColumn="1" w:firstRow="1" w:lastColumn="0" w:lastRow="0" w:noHBand="0" w:noVBand="1" w:val="04A0"/>
      </w:tblPr>
      <w:tblGrid>
        <w:gridCol w:w="3249"/>
        <w:gridCol w:w="3249"/>
        <w:gridCol w:w="3249"/>
      </w:tblGrid>
      <w:tr>
        <w:tc>
          <w:tcPr>
            <w:tcW w:type="dxa" w:w="3742"/>
            <w:shd w:val="clear" w:color="auto" w:fill="1F497D"/>
          </w:tcPr>
          <w:p>
            <w:pPr>
              <w:spacing w:before="40" w:after="40"/>
              <w:jc w:val="center"/>
            </w:pPr>
            <w:r/>
            <w:r>
              <w:rPr>
                <w:rFonts w:ascii="Calibri" w:hAnsi="Calibri"/>
                <w:b/>
                <w:i w:val="0"/>
                <w:color w:val="FFFFFF"/>
                <w:sz w:val="19"/>
              </w:rPr>
              <w:t>Archivo</w:t>
            </w:r>
          </w:p>
        </w:tc>
        <w:tc>
          <w:tcPr>
            <w:tcW w:type="dxa" w:w="3742"/>
            <w:shd w:val="clear" w:color="auto" w:fill="1F497D"/>
          </w:tcPr>
          <w:p>
            <w:pPr>
              <w:spacing w:before="40" w:after="40"/>
              <w:jc w:val="center"/>
            </w:pPr>
            <w:r/>
            <w:r>
              <w:rPr>
                <w:rFonts w:ascii="Calibri" w:hAnsi="Calibri"/>
                <w:b/>
                <w:i w:val="0"/>
                <w:color w:val="FFFFFF"/>
                <w:sz w:val="19"/>
              </w:rPr>
              <w:t>Contenido</w:t>
            </w:r>
          </w:p>
        </w:tc>
        <w:tc>
          <w:tcPr>
            <w:tcW w:type="dxa" w:w="1928"/>
            <w:shd w:val="clear" w:color="auto" w:fill="1F497D"/>
          </w:tcPr>
          <w:p>
            <w:pPr>
              <w:spacing w:before="40" w:after="40"/>
              <w:jc w:val="center"/>
            </w:pPr>
            <w:r/>
            <w:r>
              <w:rPr>
                <w:rFonts w:ascii="Calibri" w:hAnsi="Calibri"/>
                <w:b/>
                <w:i w:val="0"/>
                <w:color w:val="FFFFFF"/>
                <w:sz w:val="19"/>
              </w:rPr>
              <w:t>Materiales</w:t>
            </w:r>
          </w:p>
        </w:tc>
      </w:tr>
      <w:tr>
        <w:tc>
          <w:tcPr>
            <w:tcW w:type="dxa" w:w="3742"/>
          </w:tcPr>
          <w:p>
            <w:pPr>
              <w:spacing w:before="40" w:after="40"/>
              <w:jc w:val="left"/>
            </w:pPr>
            <w:r/>
            <w:r>
              <w:rPr>
                <w:rFonts w:ascii="Calibri" w:hAnsi="Calibri"/>
                <w:b w:val="0"/>
                <w:i w:val="0"/>
                <w:sz w:val="19"/>
              </w:rPr>
              <w:t>01_Materiales_Con_Venta_18m.xlsx</w:t>
            </w:r>
          </w:p>
        </w:tc>
        <w:tc>
          <w:tcPr>
            <w:tcW w:type="dxa" w:w="3742"/>
          </w:tcPr>
          <w:p>
            <w:pPr>
              <w:spacing w:before="40" w:after="40"/>
              <w:jc w:val="left"/>
            </w:pPr>
            <w:r/>
            <w:r>
              <w:rPr>
                <w:rFonts w:ascii="Calibri" w:hAnsi="Calibri"/>
                <w:b w:val="0"/>
                <w:i w:val="0"/>
                <w:sz w:val="19"/>
              </w:rPr>
              <w:t>Todas las marcas y familias, solo códigos con venta</w:t>
            </w:r>
          </w:p>
        </w:tc>
        <w:tc>
          <w:tcPr>
            <w:tcW w:type="dxa" w:w="1928"/>
          </w:tcPr>
          <w:p>
            <w:pPr>
              <w:spacing w:before="40" w:after="40"/>
              <w:jc w:val="center"/>
            </w:pPr>
            <w:r/>
            <w:r>
              <w:rPr>
                <w:rFonts w:ascii="Calibri" w:hAnsi="Calibri"/>
                <w:b w:val="0"/>
                <w:i w:val="0"/>
                <w:sz w:val="19"/>
              </w:rPr>
              <w:t>45.515</w:t>
            </w:r>
          </w:p>
        </w:tc>
      </w:tr>
      <w:tr>
        <w:tc>
          <w:tcPr>
            <w:tcW w:type="dxa" w:w="3742"/>
            <w:shd w:val="clear" w:color="auto" w:fill="F2F2F2"/>
          </w:tcPr>
          <w:p>
            <w:pPr>
              <w:spacing w:before="40" w:after="40"/>
              <w:jc w:val="left"/>
            </w:pPr>
            <w:r/>
            <w:r>
              <w:rPr>
                <w:rFonts w:ascii="Calibri" w:hAnsi="Calibri"/>
                <w:b w:val="0"/>
                <w:i w:val="0"/>
                <w:sz w:val="19"/>
              </w:rPr>
              <w:t>02_Suzuki_CARROCERIA.xlsx</w:t>
            </w:r>
          </w:p>
        </w:tc>
        <w:tc>
          <w:tcPr>
            <w:tcW w:type="dxa" w:w="3742"/>
            <w:shd w:val="clear" w:color="auto" w:fill="F2F2F2"/>
          </w:tcPr>
          <w:p>
            <w:pPr>
              <w:spacing w:before="40" w:after="40"/>
              <w:jc w:val="center"/>
            </w:pPr>
            <w:r/>
            <w:r>
              <w:rPr>
                <w:rFonts w:ascii="Calibri" w:hAnsi="Calibri"/>
                <w:b w:val="0"/>
                <w:i w:val="0"/>
                <w:sz w:val="19"/>
              </w:rPr>
              <w:t>Suzuki, familia Carrocería</w:t>
            </w:r>
          </w:p>
        </w:tc>
        <w:tc>
          <w:tcPr>
            <w:tcW w:type="dxa" w:w="1928"/>
            <w:shd w:val="clear" w:color="auto" w:fill="F2F2F2"/>
          </w:tcPr>
          <w:p>
            <w:pPr>
              <w:spacing w:before="40" w:after="40"/>
              <w:jc w:val="center"/>
            </w:pPr>
            <w:r/>
            <w:r>
              <w:rPr>
                <w:rFonts w:ascii="Calibri" w:hAnsi="Calibri"/>
                <w:b w:val="0"/>
                <w:i w:val="0"/>
                <w:sz w:val="19"/>
              </w:rPr>
              <w:t>7.322</w:t>
            </w:r>
          </w:p>
        </w:tc>
      </w:tr>
      <w:tr>
        <w:tc>
          <w:tcPr>
            <w:tcW w:type="dxa" w:w="3742"/>
          </w:tcPr>
          <w:p>
            <w:pPr>
              <w:spacing w:before="40" w:after="40"/>
              <w:jc w:val="left"/>
            </w:pPr>
            <w:r/>
            <w:r>
              <w:rPr>
                <w:rFonts w:ascii="Calibri" w:hAnsi="Calibri"/>
                <w:b w:val="0"/>
                <w:i w:val="0"/>
                <w:sz w:val="19"/>
              </w:rPr>
              <w:t>03_Suzuki_CARROCERIA_Activos_12m.xlsx</w:t>
            </w:r>
          </w:p>
        </w:tc>
        <w:tc>
          <w:tcPr>
            <w:tcW w:type="dxa" w:w="3742"/>
          </w:tcPr>
          <w:p>
            <w:pPr>
              <w:spacing w:before="40" w:after="40"/>
              <w:jc w:val="center"/>
            </w:pPr>
            <w:r/>
            <w:r>
              <w:rPr>
                <w:rFonts w:ascii="Calibri" w:hAnsi="Calibri"/>
                <w:b w:val="0"/>
                <w:i w:val="0"/>
                <w:sz w:val="19"/>
              </w:rPr>
              <w:t>Base de entrenamiento</w:t>
            </w:r>
          </w:p>
        </w:tc>
        <w:tc>
          <w:tcPr>
            <w:tcW w:type="dxa" w:w="1928"/>
          </w:tcPr>
          <w:p>
            <w:pPr>
              <w:spacing w:before="40" w:after="40"/>
              <w:jc w:val="center"/>
            </w:pPr>
            <w:r/>
            <w:r>
              <w:rPr>
                <w:rFonts w:ascii="Calibri" w:hAnsi="Calibri"/>
                <w:b w:val="0"/>
                <w:i w:val="0"/>
                <w:sz w:val="19"/>
              </w:rPr>
              <w:t>6.393</w:t>
            </w:r>
          </w:p>
        </w:tc>
      </w:tr>
    </w:tbl>
    <w:p/>
    <w:tbl>
      <w:tblPr>
        <w:tblW w:type="auto" w:w="0"/>
        <w:jc w:val="center"/>
        <w:tblLook w:firstColumn="1" w:firstRow="1" w:lastColumn="0" w:lastRow="0" w:noHBand="0" w:noVBand="1" w:val="04A0"/>
      </w:tblPr>
      <w:tblGrid>
        <w:gridCol w:w="9746"/>
      </w:tblGrid>
      <w:tr>
        <w:tc>
          <w:tcPr>
            <w:tcW w:type="dxa" w:w="9411"/>
            <w:shd w:val="clear" w:color="auto" w:fill="000000"/>
          </w:tcPr>
          <w:p>
            <w:pPr>
              <w:spacing w:before="40" w:after="40"/>
              <w:jc w:val="left"/>
            </w:pPr>
            <w:r/>
            <w:r>
              <w:rPr>
                <w:rFonts w:ascii="Calibri" w:hAnsi="Calibri"/>
                <w:b w:val="0"/>
                <w:i w:val="0"/>
                <w:color w:val="FFFFFF"/>
                <w:sz w:val="18"/>
              </w:rPr>
              <w:t>C:\Users\[USUARIO_WINDOWS]\Desktop\Fc ML\datos_preparados\</w:t>
            </w:r>
          </w:p>
        </w:tc>
      </w:tr>
    </w:tbl>
    <w:p/>
    <w:p>
      <w:r>
        <w:br w:type="page"/>
      </w:r>
    </w:p>
    <w:p>
      <w:pPr>
        <w:pStyle w:val="Ttulo1"/>
      </w:pPr>
      <w:r>
        <w:rPr>
          <w:rFonts w:ascii="Calibri" w:hAnsi="Calibri"/>
          <w:b/>
          <w:color w:val="1F497D"/>
          <w:sz w:val="32"/>
        </w:rPr>
        <w:t>2. Paso 1 - Eliminar los códigos sin venta en los 18 meses</w:t>
      </w:r>
    </w:p>
    <w:p>
      <w:pPr>
        <w:spacing w:after="120"/>
        <w:jc w:val="both"/>
      </w:pPr>
      <w:r>
        <w:rPr>
          <w:rFonts w:ascii="Calibri" w:hAnsi="Calibri"/>
          <w:b w:val="0"/>
          <w:i w:val="0"/>
          <w:sz w:val="22"/>
        </w:rPr>
        <w:t>Un código que no registra una sola unidad vendida en todo el período tiene una serie que es cero de principio a fin. No es un problema de calidad de datos: el dato está completo y dice que no hubo movimiento. Incluirlo en el entrenamiento enseña al modelo a predecir cero y desequilibra el aprendizaje del resto del catálogo.</w:t>
      </w:r>
    </w:p>
    <w:p>
      <w:pPr>
        <w:spacing w:after="120"/>
        <w:jc w:val="both"/>
      </w:pPr>
      <w:r>
        <w:rPr>
          <w:rFonts w:ascii="Calibri" w:hAnsi="Calibri"/>
          <w:b w:val="0"/>
          <w:i w:val="0"/>
          <w:sz w:val="22"/>
        </w:rPr>
        <w:t>La decisión de eliminarlos proviene del negocio: un material sin venta no se abastece, por lo tanto no se pronostica.</w:t>
      </w:r>
    </w:p>
    <w:tbl>
      <w:tblPr>
        <w:tblStyle w:val="Tablaconcuadrcula"/>
        <w:tblW w:type="auto" w:w="0"/>
        <w:jc w:val="center"/>
        <w:tblLook w:firstColumn="1" w:firstRow="1" w:lastColumn="0" w:lastRow="0" w:noHBand="0" w:noVBand="1" w:val="04A0"/>
      </w:tblPr>
      <w:tblGrid>
        <w:gridCol w:w="2436"/>
        <w:gridCol w:w="2436"/>
        <w:gridCol w:w="2436"/>
        <w:gridCol w:w="2436"/>
      </w:tblGrid>
      <w:tr>
        <w:tc>
          <w:tcPr>
            <w:tcW w:type="dxa" w:w="2608"/>
            <w:shd w:val="clear" w:color="auto" w:fill="1F497D"/>
          </w:tcPr>
          <w:p>
            <w:pPr>
              <w:spacing w:before="40" w:after="40"/>
              <w:jc w:val="center"/>
            </w:pPr>
            <w:r/>
            <w:r>
              <w:rPr>
                <w:rFonts w:ascii="Calibri" w:hAnsi="Calibri"/>
                <w:b/>
                <w:i w:val="0"/>
                <w:color w:val="FFFFFF"/>
                <w:sz w:val="19"/>
              </w:rPr>
              <w:t>Marca</w:t>
            </w:r>
          </w:p>
        </w:tc>
        <w:tc>
          <w:tcPr>
            <w:tcW w:type="dxa" w:w="2268"/>
            <w:shd w:val="clear" w:color="auto" w:fill="1F497D"/>
          </w:tcPr>
          <w:p>
            <w:pPr>
              <w:spacing w:before="40" w:after="40"/>
              <w:jc w:val="center"/>
            </w:pPr>
            <w:r/>
            <w:r>
              <w:rPr>
                <w:rFonts w:ascii="Calibri" w:hAnsi="Calibri"/>
                <w:b/>
                <w:i w:val="0"/>
                <w:color w:val="FFFFFF"/>
                <w:sz w:val="19"/>
              </w:rPr>
              <w:t>Materiales</w:t>
            </w:r>
          </w:p>
        </w:tc>
        <w:tc>
          <w:tcPr>
            <w:tcW w:type="dxa" w:w="2268"/>
            <w:shd w:val="clear" w:color="auto" w:fill="1F497D"/>
          </w:tcPr>
          <w:p>
            <w:pPr>
              <w:spacing w:before="40" w:after="40"/>
              <w:jc w:val="center"/>
            </w:pPr>
            <w:r/>
            <w:r>
              <w:rPr>
                <w:rFonts w:ascii="Calibri" w:hAnsi="Calibri"/>
                <w:b/>
                <w:i w:val="0"/>
                <w:color w:val="FFFFFF"/>
                <w:sz w:val="19"/>
              </w:rPr>
              <w:t>Sin venta</w:t>
            </w:r>
          </w:p>
        </w:tc>
        <w:tc>
          <w:tcPr>
            <w:tcW w:type="dxa" w:w="2268"/>
            <w:shd w:val="clear" w:color="auto" w:fill="1F497D"/>
          </w:tcPr>
          <w:p>
            <w:pPr>
              <w:spacing w:before="40" w:after="40"/>
              <w:jc w:val="center"/>
            </w:pPr>
            <w:r/>
            <w:r>
              <w:rPr>
                <w:rFonts w:ascii="Calibri" w:hAnsi="Calibri"/>
                <w:b/>
                <w:i w:val="0"/>
                <w:color w:val="FFFFFF"/>
                <w:sz w:val="19"/>
              </w:rPr>
              <w:t>% sin venta</w:t>
            </w:r>
          </w:p>
        </w:tc>
      </w:tr>
      <w:tr>
        <w:tc>
          <w:tcPr>
            <w:tcW w:type="dxa" w:w="2608"/>
          </w:tcPr>
          <w:p>
            <w:pPr>
              <w:spacing w:before="40" w:after="40"/>
              <w:jc w:val="left"/>
            </w:pPr>
            <w:r/>
            <w:r>
              <w:rPr>
                <w:rFonts w:ascii="Calibri" w:hAnsi="Calibri"/>
                <w:b w:val="0"/>
                <w:i w:val="0"/>
                <w:sz w:val="19"/>
              </w:rPr>
              <w:t>Subaru</w:t>
            </w:r>
          </w:p>
        </w:tc>
        <w:tc>
          <w:tcPr>
            <w:tcW w:type="dxa" w:w="2268"/>
          </w:tcPr>
          <w:p>
            <w:pPr>
              <w:spacing w:before="40" w:after="40"/>
              <w:jc w:val="center"/>
            </w:pPr>
            <w:r/>
            <w:r>
              <w:rPr>
                <w:rFonts w:ascii="Calibri" w:hAnsi="Calibri"/>
                <w:b w:val="0"/>
                <w:i w:val="0"/>
                <w:sz w:val="19"/>
              </w:rPr>
              <w:t>43.259</w:t>
            </w:r>
          </w:p>
        </w:tc>
        <w:tc>
          <w:tcPr>
            <w:tcW w:type="dxa" w:w="2268"/>
          </w:tcPr>
          <w:p>
            <w:pPr>
              <w:spacing w:before="40" w:after="40"/>
              <w:jc w:val="center"/>
            </w:pPr>
            <w:r/>
            <w:r>
              <w:rPr>
                <w:rFonts w:ascii="Calibri" w:hAnsi="Calibri"/>
                <w:b w:val="0"/>
                <w:i w:val="0"/>
                <w:sz w:val="19"/>
              </w:rPr>
              <w:t>34.865</w:t>
            </w:r>
          </w:p>
        </w:tc>
        <w:tc>
          <w:tcPr>
            <w:tcW w:type="dxa" w:w="2268"/>
          </w:tcPr>
          <w:p>
            <w:pPr>
              <w:spacing w:before="40" w:after="40"/>
              <w:jc w:val="center"/>
            </w:pPr>
            <w:r/>
            <w:r>
              <w:rPr>
                <w:rFonts w:ascii="Calibri" w:hAnsi="Calibri"/>
                <w:b w:val="0"/>
                <w:i w:val="0"/>
                <w:sz w:val="19"/>
              </w:rPr>
              <w:t>80,6%</w:t>
            </w:r>
          </w:p>
        </w:tc>
      </w:tr>
      <w:tr>
        <w:tc>
          <w:tcPr>
            <w:tcW w:type="dxa" w:w="2608"/>
            <w:shd w:val="clear" w:color="auto" w:fill="F2F2F2"/>
          </w:tcPr>
          <w:p>
            <w:pPr>
              <w:spacing w:before="40" w:after="40"/>
              <w:jc w:val="left"/>
            </w:pPr>
            <w:r/>
            <w:r>
              <w:rPr>
                <w:rFonts w:ascii="Calibri" w:hAnsi="Calibri"/>
                <w:b w:val="0"/>
                <w:i w:val="0"/>
                <w:sz w:val="19"/>
              </w:rPr>
              <w:t>Suzuki</w:t>
            </w:r>
          </w:p>
        </w:tc>
        <w:tc>
          <w:tcPr>
            <w:tcW w:type="dxa" w:w="2268"/>
            <w:shd w:val="clear" w:color="auto" w:fill="F2F2F2"/>
          </w:tcPr>
          <w:p>
            <w:pPr>
              <w:spacing w:before="40" w:after="40"/>
              <w:jc w:val="center"/>
            </w:pPr>
            <w:r/>
            <w:r>
              <w:rPr>
                <w:rFonts w:ascii="Calibri" w:hAnsi="Calibri"/>
                <w:b w:val="0"/>
                <w:i w:val="0"/>
                <w:sz w:val="19"/>
              </w:rPr>
              <w:t>21.107</w:t>
            </w:r>
          </w:p>
        </w:tc>
        <w:tc>
          <w:tcPr>
            <w:tcW w:type="dxa" w:w="2268"/>
            <w:shd w:val="clear" w:color="auto" w:fill="F2F2F2"/>
          </w:tcPr>
          <w:p>
            <w:pPr>
              <w:spacing w:before="40" w:after="40"/>
              <w:jc w:val="center"/>
            </w:pPr>
            <w:r/>
            <w:r>
              <w:rPr>
                <w:rFonts w:ascii="Calibri" w:hAnsi="Calibri"/>
                <w:b w:val="0"/>
                <w:i w:val="0"/>
                <w:sz w:val="19"/>
              </w:rPr>
              <w:t>8.728</w:t>
            </w:r>
          </w:p>
        </w:tc>
        <w:tc>
          <w:tcPr>
            <w:tcW w:type="dxa" w:w="2268"/>
            <w:shd w:val="clear" w:color="auto" w:fill="F2F2F2"/>
          </w:tcPr>
          <w:p>
            <w:pPr>
              <w:spacing w:before="40" w:after="40"/>
              <w:jc w:val="center"/>
            </w:pPr>
            <w:r/>
            <w:r>
              <w:rPr>
                <w:rFonts w:ascii="Calibri" w:hAnsi="Calibri"/>
                <w:b w:val="0"/>
                <w:i w:val="0"/>
                <w:sz w:val="19"/>
              </w:rPr>
              <w:t>41,4%</w:t>
            </w:r>
          </w:p>
        </w:tc>
      </w:tr>
      <w:tr>
        <w:tc>
          <w:tcPr>
            <w:tcW w:type="dxa" w:w="2608"/>
          </w:tcPr>
          <w:p>
            <w:pPr>
              <w:spacing w:before="40" w:after="40"/>
              <w:jc w:val="left"/>
            </w:pPr>
            <w:r/>
            <w:r>
              <w:rPr>
                <w:rFonts w:ascii="Calibri" w:hAnsi="Calibri"/>
                <w:b w:val="0"/>
                <w:i w:val="0"/>
                <w:sz w:val="19"/>
              </w:rPr>
              <w:t>Mazda</w:t>
            </w:r>
          </w:p>
        </w:tc>
        <w:tc>
          <w:tcPr>
            <w:tcW w:type="dxa" w:w="2268"/>
          </w:tcPr>
          <w:p>
            <w:pPr>
              <w:spacing w:before="40" w:after="40"/>
              <w:jc w:val="center"/>
            </w:pPr>
            <w:r/>
            <w:r>
              <w:rPr>
                <w:rFonts w:ascii="Calibri" w:hAnsi="Calibri"/>
                <w:b w:val="0"/>
                <w:i w:val="0"/>
                <w:sz w:val="19"/>
              </w:rPr>
              <w:t>18.398</w:t>
            </w:r>
          </w:p>
        </w:tc>
        <w:tc>
          <w:tcPr>
            <w:tcW w:type="dxa" w:w="2268"/>
          </w:tcPr>
          <w:p>
            <w:pPr>
              <w:spacing w:before="40" w:after="40"/>
              <w:jc w:val="center"/>
            </w:pPr>
            <w:r/>
            <w:r>
              <w:rPr>
                <w:rFonts w:ascii="Calibri" w:hAnsi="Calibri"/>
                <w:b w:val="0"/>
                <w:i w:val="0"/>
                <w:sz w:val="19"/>
              </w:rPr>
              <w:t>8.627</w:t>
            </w:r>
          </w:p>
        </w:tc>
        <w:tc>
          <w:tcPr>
            <w:tcW w:type="dxa" w:w="2268"/>
          </w:tcPr>
          <w:p>
            <w:pPr>
              <w:spacing w:before="40" w:after="40"/>
              <w:jc w:val="center"/>
            </w:pPr>
            <w:r/>
            <w:r>
              <w:rPr>
                <w:rFonts w:ascii="Calibri" w:hAnsi="Calibri"/>
                <w:b w:val="0"/>
                <w:i w:val="0"/>
                <w:sz w:val="19"/>
              </w:rPr>
              <w:t>46,9%</w:t>
            </w:r>
          </w:p>
        </w:tc>
      </w:tr>
      <w:tr>
        <w:tc>
          <w:tcPr>
            <w:tcW w:type="dxa" w:w="2608"/>
            <w:shd w:val="clear" w:color="auto" w:fill="F2F2F2"/>
          </w:tcPr>
          <w:p>
            <w:pPr>
              <w:spacing w:before="40" w:after="40"/>
              <w:jc w:val="left"/>
            </w:pPr>
            <w:r/>
            <w:r>
              <w:rPr>
                <w:rFonts w:ascii="Calibri" w:hAnsi="Calibri"/>
                <w:b w:val="0"/>
                <w:i w:val="0"/>
                <w:sz w:val="19"/>
              </w:rPr>
              <w:t>Great Wall</w:t>
            </w:r>
          </w:p>
        </w:tc>
        <w:tc>
          <w:tcPr>
            <w:tcW w:type="dxa" w:w="2268"/>
            <w:shd w:val="clear" w:color="auto" w:fill="F2F2F2"/>
          </w:tcPr>
          <w:p>
            <w:pPr>
              <w:spacing w:before="40" w:after="40"/>
              <w:jc w:val="center"/>
            </w:pPr>
            <w:r/>
            <w:r>
              <w:rPr>
                <w:rFonts w:ascii="Calibri" w:hAnsi="Calibri"/>
                <w:b w:val="0"/>
                <w:i w:val="0"/>
                <w:sz w:val="19"/>
              </w:rPr>
              <w:t>11.954</w:t>
            </w:r>
          </w:p>
        </w:tc>
        <w:tc>
          <w:tcPr>
            <w:tcW w:type="dxa" w:w="2268"/>
            <w:shd w:val="clear" w:color="auto" w:fill="F2F2F2"/>
          </w:tcPr>
          <w:p>
            <w:pPr>
              <w:spacing w:before="40" w:after="40"/>
              <w:jc w:val="center"/>
            </w:pPr>
            <w:r/>
            <w:r>
              <w:rPr>
                <w:rFonts w:ascii="Calibri" w:hAnsi="Calibri"/>
                <w:b w:val="0"/>
                <w:i w:val="0"/>
                <w:sz w:val="19"/>
              </w:rPr>
              <w:t>5.152</w:t>
            </w:r>
          </w:p>
        </w:tc>
        <w:tc>
          <w:tcPr>
            <w:tcW w:type="dxa" w:w="2268"/>
            <w:shd w:val="clear" w:color="auto" w:fill="F2F2F2"/>
          </w:tcPr>
          <w:p>
            <w:pPr>
              <w:spacing w:before="40" w:after="40"/>
              <w:jc w:val="center"/>
            </w:pPr>
            <w:r/>
            <w:r>
              <w:rPr>
                <w:rFonts w:ascii="Calibri" w:hAnsi="Calibri"/>
                <w:b w:val="0"/>
                <w:i w:val="0"/>
                <w:sz w:val="19"/>
              </w:rPr>
              <w:t>43,1%</w:t>
            </w:r>
          </w:p>
        </w:tc>
      </w:tr>
      <w:tr>
        <w:tc>
          <w:tcPr>
            <w:tcW w:type="dxa" w:w="2608"/>
          </w:tcPr>
          <w:p>
            <w:pPr>
              <w:spacing w:before="40" w:after="40"/>
              <w:jc w:val="left"/>
            </w:pPr>
            <w:r/>
            <w:r>
              <w:rPr>
                <w:rFonts w:ascii="Calibri" w:hAnsi="Calibri"/>
                <w:b w:val="0"/>
                <w:i w:val="0"/>
                <w:sz w:val="19"/>
              </w:rPr>
              <w:t>Changan</w:t>
            </w:r>
          </w:p>
        </w:tc>
        <w:tc>
          <w:tcPr>
            <w:tcW w:type="dxa" w:w="2268"/>
          </w:tcPr>
          <w:p>
            <w:pPr>
              <w:spacing w:before="40" w:after="40"/>
              <w:jc w:val="center"/>
            </w:pPr>
            <w:r/>
            <w:r>
              <w:rPr>
                <w:rFonts w:ascii="Calibri" w:hAnsi="Calibri"/>
                <w:b w:val="0"/>
                <w:i w:val="0"/>
                <w:sz w:val="19"/>
              </w:rPr>
              <w:t>9.547</w:t>
            </w:r>
          </w:p>
        </w:tc>
        <w:tc>
          <w:tcPr>
            <w:tcW w:type="dxa" w:w="2268"/>
          </w:tcPr>
          <w:p>
            <w:pPr>
              <w:spacing w:before="40" w:after="40"/>
              <w:jc w:val="center"/>
            </w:pPr>
            <w:r/>
            <w:r>
              <w:rPr>
                <w:rFonts w:ascii="Calibri" w:hAnsi="Calibri"/>
                <w:b w:val="0"/>
                <w:i w:val="0"/>
                <w:sz w:val="19"/>
              </w:rPr>
              <w:t>3.724</w:t>
            </w:r>
          </w:p>
        </w:tc>
        <w:tc>
          <w:tcPr>
            <w:tcW w:type="dxa" w:w="2268"/>
          </w:tcPr>
          <w:p>
            <w:pPr>
              <w:spacing w:before="40" w:after="40"/>
              <w:jc w:val="center"/>
            </w:pPr>
            <w:r/>
            <w:r>
              <w:rPr>
                <w:rFonts w:ascii="Calibri" w:hAnsi="Calibri"/>
                <w:b w:val="0"/>
                <w:i w:val="0"/>
                <w:sz w:val="19"/>
              </w:rPr>
              <w:t>39,0%</w:t>
            </w:r>
          </w:p>
        </w:tc>
      </w:tr>
      <w:tr>
        <w:tc>
          <w:tcPr>
            <w:tcW w:type="dxa" w:w="2608"/>
            <w:shd w:val="clear" w:color="auto" w:fill="F2F2F2"/>
          </w:tcPr>
          <w:p>
            <w:pPr>
              <w:spacing w:before="40" w:after="40"/>
              <w:jc w:val="left"/>
            </w:pPr>
            <w:r/>
            <w:r>
              <w:rPr>
                <w:rFonts w:ascii="Calibri" w:hAnsi="Calibri"/>
                <w:b w:val="0"/>
                <w:i w:val="0"/>
                <w:sz w:val="19"/>
              </w:rPr>
              <w:t>DFSK</w:t>
            </w:r>
          </w:p>
        </w:tc>
        <w:tc>
          <w:tcPr>
            <w:tcW w:type="dxa" w:w="2268"/>
            <w:shd w:val="clear" w:color="auto" w:fill="F2F2F2"/>
          </w:tcPr>
          <w:p>
            <w:pPr>
              <w:spacing w:before="40" w:after="40"/>
              <w:jc w:val="center"/>
            </w:pPr>
            <w:r/>
            <w:r>
              <w:rPr>
                <w:rFonts w:ascii="Calibri" w:hAnsi="Calibri"/>
                <w:b w:val="0"/>
                <w:i w:val="0"/>
                <w:sz w:val="19"/>
              </w:rPr>
              <w:t>4.407</w:t>
            </w:r>
          </w:p>
        </w:tc>
        <w:tc>
          <w:tcPr>
            <w:tcW w:type="dxa" w:w="2268"/>
            <w:shd w:val="clear" w:color="auto" w:fill="F2F2F2"/>
          </w:tcPr>
          <w:p>
            <w:pPr>
              <w:spacing w:before="40" w:after="40"/>
              <w:jc w:val="center"/>
            </w:pPr>
            <w:r/>
            <w:r>
              <w:rPr>
                <w:rFonts w:ascii="Calibri" w:hAnsi="Calibri"/>
                <w:b w:val="0"/>
                <w:i w:val="0"/>
                <w:sz w:val="19"/>
              </w:rPr>
              <w:t>2.061</w:t>
            </w:r>
          </w:p>
        </w:tc>
        <w:tc>
          <w:tcPr>
            <w:tcW w:type="dxa" w:w="2268"/>
            <w:shd w:val="clear" w:color="auto" w:fill="F2F2F2"/>
          </w:tcPr>
          <w:p>
            <w:pPr>
              <w:spacing w:before="40" w:after="40"/>
              <w:jc w:val="center"/>
            </w:pPr>
            <w:r/>
            <w:r>
              <w:rPr>
                <w:rFonts w:ascii="Calibri" w:hAnsi="Calibri"/>
                <w:b w:val="0"/>
                <w:i w:val="0"/>
                <w:sz w:val="19"/>
              </w:rPr>
              <w:t>46,8%</w:t>
            </w:r>
          </w:p>
        </w:tc>
      </w:tr>
      <w:tr>
        <w:tc>
          <w:tcPr>
            <w:tcW w:type="dxa" w:w="2608"/>
          </w:tcPr>
          <w:p>
            <w:pPr>
              <w:spacing w:before="40" w:after="40"/>
              <w:jc w:val="left"/>
            </w:pPr>
            <w:r/>
            <w:r>
              <w:rPr>
                <w:rFonts w:ascii="Calibri" w:hAnsi="Calibri"/>
                <w:b w:val="0"/>
                <w:i w:val="0"/>
                <w:sz w:val="19"/>
              </w:rPr>
              <w:t>TOTAL</w:t>
            </w:r>
          </w:p>
        </w:tc>
        <w:tc>
          <w:tcPr>
            <w:tcW w:type="dxa" w:w="2268"/>
          </w:tcPr>
          <w:p>
            <w:pPr>
              <w:spacing w:before="40" w:after="40"/>
              <w:jc w:val="center"/>
            </w:pPr>
            <w:r/>
            <w:r>
              <w:rPr>
                <w:rFonts w:ascii="Calibri" w:hAnsi="Calibri"/>
                <w:b w:val="0"/>
                <w:i w:val="0"/>
                <w:sz w:val="19"/>
              </w:rPr>
              <w:t>108.672</w:t>
            </w:r>
          </w:p>
        </w:tc>
        <w:tc>
          <w:tcPr>
            <w:tcW w:type="dxa" w:w="2268"/>
          </w:tcPr>
          <w:p>
            <w:pPr>
              <w:spacing w:before="40" w:after="40"/>
              <w:jc w:val="center"/>
            </w:pPr>
            <w:r/>
            <w:r>
              <w:rPr>
                <w:rFonts w:ascii="Calibri" w:hAnsi="Calibri"/>
                <w:b w:val="0"/>
                <w:i w:val="0"/>
                <w:sz w:val="19"/>
              </w:rPr>
              <w:t>63.157</w:t>
            </w:r>
          </w:p>
        </w:tc>
        <w:tc>
          <w:tcPr>
            <w:tcW w:type="dxa" w:w="2268"/>
          </w:tcPr>
          <w:p>
            <w:pPr>
              <w:spacing w:before="40" w:after="40"/>
              <w:jc w:val="center"/>
            </w:pPr>
            <w:r/>
            <w:r>
              <w:rPr>
                <w:rFonts w:ascii="Calibri" w:hAnsi="Calibri"/>
                <w:b w:val="0"/>
                <w:i w:val="0"/>
                <w:sz w:val="19"/>
              </w:rPr>
              <w:t>58,1%</w:t>
            </w:r>
          </w:p>
        </w:tc>
      </w:tr>
    </w:tbl>
    <w:p/>
    <w:p>
      <w:pPr>
        <w:spacing w:after="120"/>
        <w:jc w:val="both"/>
      </w:pPr>
      <w:r>
        <w:rPr>
          <w:rFonts w:ascii="Calibri" w:hAnsi="Calibri"/>
          <w:b w:val="0"/>
          <w:i w:val="0"/>
          <w:sz w:val="22"/>
        </w:rPr>
        <w:t>El filtro elimina 63.157 materiales, es decir el 58,1% del catálogo, y deja 45.515 códigos con historia de venta. La venta total no se ve afectada, porque los códigos eliminados aportaban cero unidades.</w:t>
      </w:r>
    </w:p>
    <w:p/>
    <w:tbl>
      <w:tblPr>
        <w:tblW w:type="auto" w:w="0"/>
        <w:jc w:val="center"/>
        <w:tblLook w:firstColumn="1" w:firstRow="1" w:lastColumn="0" w:lastRow="0" w:noHBand="0" w:noVBand="1" w:val="04A0"/>
      </w:tblPr>
      <w:tblGrid>
        <w:gridCol w:w="9746"/>
      </w:tblGrid>
      <w:tr>
        <w:tc>
          <w:tcPr>
            <w:tcW w:type="dxa" w:w="9411"/>
            <w:shd w:val="clear" w:color="auto" w:fill="FFFFCC"/>
          </w:tcPr>
          <w:p>
            <w:pPr>
              <w:spacing w:before="40" w:after="40"/>
              <w:jc w:val="both"/>
            </w:pPr>
            <w:r/>
            <w:r>
              <w:rPr>
                <w:rFonts w:ascii="Calibri" w:hAnsi="Calibri"/>
                <w:b w:val="0"/>
                <w:i w:val="0"/>
                <w:color w:val="000000"/>
                <w:sz w:val="20"/>
              </w:rPr>
              <w:t>NOTA: el archivo que genera este paso conserva las seis marcas y las seis familias. Es la sábana completa de materiales activos, y sirve de punto de partida para cualquier otro recorte que se quiera hacer más adelante.</w:t>
            </w:r>
          </w:p>
        </w:tc>
      </w:tr>
    </w:tbl>
    <w:p/>
    <w:p>
      <w:r>
        <w:br w:type="page"/>
      </w:r>
    </w:p>
    <w:p>
      <w:pPr>
        <w:pStyle w:val="Ttulo1"/>
      </w:pPr>
      <w:r>
        <w:rPr>
          <w:rFonts w:ascii="Calibri" w:hAnsi="Calibri"/>
          <w:b/>
          <w:color w:val="1F497D"/>
          <w:sz w:val="32"/>
        </w:rPr>
        <w:t>3. Paso 2 - Dejar solo la marca Suzuki</w:t>
      </w:r>
    </w:p>
    <w:p>
      <w:pPr>
        <w:spacing w:after="120"/>
        <w:jc w:val="both"/>
      </w:pPr>
      <w:r>
        <w:rPr>
          <w:rFonts w:ascii="Calibri" w:hAnsi="Calibri"/>
          <w:b w:val="0"/>
          <w:i w:val="0"/>
          <w:sz w:val="22"/>
        </w:rPr>
        <w:t>Se lee el archivo del paso anterior y se filtra la marca. El propósito es evitar que el modelo quede sesgado: las marcas tienen tamaños de catálogo muy distintos y proporciones de catálogo activo también distintas, de modo que entrenar todo junto hace que el aprendizaje quede dominado por la marca más grande.</w:t>
      </w:r>
    </w:p>
    <w:tbl>
      <w:tblPr>
        <w:tblStyle w:val="Tablaconcuadrcula"/>
        <w:tblW w:type="auto" w:w="0"/>
        <w:jc w:val="center"/>
        <w:tblLook w:firstColumn="1" w:firstRow="1" w:lastColumn="0" w:lastRow="0" w:noHBand="0" w:noVBand="1" w:val="04A0"/>
      </w:tblPr>
      <w:tblGrid>
        <w:gridCol w:w="3249"/>
        <w:gridCol w:w="3249"/>
        <w:gridCol w:w="3249"/>
      </w:tblGrid>
      <w:tr>
        <w:tc>
          <w:tcPr>
            <w:tcW w:type="dxa" w:w="3175"/>
            <w:shd w:val="clear" w:color="auto" w:fill="1F497D"/>
          </w:tcPr>
          <w:p>
            <w:pPr>
              <w:spacing w:before="40" w:after="40"/>
              <w:jc w:val="center"/>
            </w:pPr>
            <w:r/>
            <w:r>
              <w:rPr>
                <w:rFonts w:ascii="Calibri" w:hAnsi="Calibri"/>
                <w:b/>
                <w:i w:val="0"/>
                <w:color w:val="FFFFFF"/>
                <w:sz w:val="19"/>
              </w:rPr>
              <w:t>Marca</w:t>
            </w:r>
          </w:p>
        </w:tc>
        <w:tc>
          <w:tcPr>
            <w:tcW w:type="dxa" w:w="3118"/>
            <w:shd w:val="clear" w:color="auto" w:fill="1F497D"/>
          </w:tcPr>
          <w:p>
            <w:pPr>
              <w:spacing w:before="40" w:after="40"/>
              <w:jc w:val="center"/>
            </w:pPr>
            <w:r/>
            <w:r>
              <w:rPr>
                <w:rFonts w:ascii="Calibri" w:hAnsi="Calibri"/>
                <w:b/>
                <w:i w:val="0"/>
                <w:color w:val="FFFFFF"/>
                <w:sz w:val="19"/>
              </w:rPr>
              <w:t>Códigos activos</w:t>
            </w:r>
          </w:p>
        </w:tc>
        <w:tc>
          <w:tcPr>
            <w:tcW w:type="dxa" w:w="3118"/>
            <w:shd w:val="clear" w:color="auto" w:fill="1F497D"/>
          </w:tcPr>
          <w:p>
            <w:pPr>
              <w:spacing w:before="40" w:after="40"/>
              <w:jc w:val="center"/>
            </w:pPr>
            <w:r/>
            <w:r>
              <w:rPr>
                <w:rFonts w:ascii="Calibri" w:hAnsi="Calibri"/>
                <w:b/>
                <w:i w:val="0"/>
                <w:color w:val="FFFFFF"/>
                <w:sz w:val="19"/>
              </w:rPr>
              <w:t>% del total</w:t>
            </w:r>
          </w:p>
        </w:tc>
      </w:tr>
      <w:tr>
        <w:tc>
          <w:tcPr>
            <w:tcW w:type="dxa" w:w="3175"/>
          </w:tcPr>
          <w:p>
            <w:pPr>
              <w:spacing w:before="40" w:after="40"/>
              <w:jc w:val="left"/>
            </w:pPr>
            <w:r/>
            <w:r>
              <w:rPr>
                <w:rFonts w:ascii="Calibri" w:hAnsi="Calibri"/>
                <w:b w:val="0"/>
                <w:i w:val="0"/>
                <w:sz w:val="19"/>
              </w:rPr>
              <w:t>Suzuki</w:t>
            </w:r>
          </w:p>
        </w:tc>
        <w:tc>
          <w:tcPr>
            <w:tcW w:type="dxa" w:w="3118"/>
          </w:tcPr>
          <w:p>
            <w:pPr>
              <w:spacing w:before="40" w:after="40"/>
              <w:jc w:val="center"/>
            </w:pPr>
            <w:r/>
            <w:r>
              <w:rPr>
                <w:rFonts w:ascii="Calibri" w:hAnsi="Calibri"/>
                <w:b w:val="0"/>
                <w:i w:val="0"/>
                <w:sz w:val="19"/>
              </w:rPr>
              <w:t>12.379</w:t>
            </w:r>
          </w:p>
        </w:tc>
        <w:tc>
          <w:tcPr>
            <w:tcW w:type="dxa" w:w="3118"/>
          </w:tcPr>
          <w:p>
            <w:pPr>
              <w:spacing w:before="40" w:after="40"/>
              <w:jc w:val="center"/>
            </w:pPr>
            <w:r/>
            <w:r>
              <w:rPr>
                <w:rFonts w:ascii="Calibri" w:hAnsi="Calibri"/>
                <w:b w:val="0"/>
                <w:i w:val="0"/>
                <w:sz w:val="19"/>
              </w:rPr>
              <w:t>27,2%</w:t>
            </w:r>
          </w:p>
        </w:tc>
      </w:tr>
      <w:tr>
        <w:tc>
          <w:tcPr>
            <w:tcW w:type="dxa" w:w="3175"/>
            <w:shd w:val="clear" w:color="auto" w:fill="F2F2F2"/>
          </w:tcPr>
          <w:p>
            <w:pPr>
              <w:spacing w:before="40" w:after="40"/>
              <w:jc w:val="left"/>
            </w:pPr>
            <w:r/>
            <w:r>
              <w:rPr>
                <w:rFonts w:ascii="Calibri" w:hAnsi="Calibri"/>
                <w:b w:val="0"/>
                <w:i w:val="0"/>
                <w:sz w:val="19"/>
              </w:rPr>
              <w:t>Mazda</w:t>
            </w:r>
          </w:p>
        </w:tc>
        <w:tc>
          <w:tcPr>
            <w:tcW w:type="dxa" w:w="3118"/>
            <w:shd w:val="clear" w:color="auto" w:fill="F2F2F2"/>
          </w:tcPr>
          <w:p>
            <w:pPr>
              <w:spacing w:before="40" w:after="40"/>
              <w:jc w:val="center"/>
            </w:pPr>
            <w:r/>
            <w:r>
              <w:rPr>
                <w:rFonts w:ascii="Calibri" w:hAnsi="Calibri"/>
                <w:b w:val="0"/>
                <w:i w:val="0"/>
                <w:sz w:val="19"/>
              </w:rPr>
              <w:t>9.771</w:t>
            </w:r>
          </w:p>
        </w:tc>
        <w:tc>
          <w:tcPr>
            <w:tcW w:type="dxa" w:w="3118"/>
            <w:shd w:val="clear" w:color="auto" w:fill="F2F2F2"/>
          </w:tcPr>
          <w:p>
            <w:pPr>
              <w:spacing w:before="40" w:after="40"/>
              <w:jc w:val="center"/>
            </w:pPr>
            <w:r/>
            <w:r>
              <w:rPr>
                <w:rFonts w:ascii="Calibri" w:hAnsi="Calibri"/>
                <w:b w:val="0"/>
                <w:i w:val="0"/>
                <w:sz w:val="19"/>
              </w:rPr>
              <w:t>21,5%</w:t>
            </w:r>
          </w:p>
        </w:tc>
      </w:tr>
      <w:tr>
        <w:tc>
          <w:tcPr>
            <w:tcW w:type="dxa" w:w="3175"/>
          </w:tcPr>
          <w:p>
            <w:pPr>
              <w:spacing w:before="40" w:after="40"/>
              <w:jc w:val="left"/>
            </w:pPr>
            <w:r/>
            <w:r>
              <w:rPr>
                <w:rFonts w:ascii="Calibri" w:hAnsi="Calibri"/>
                <w:b w:val="0"/>
                <w:i w:val="0"/>
                <w:sz w:val="19"/>
              </w:rPr>
              <w:t>Subaru</w:t>
            </w:r>
          </w:p>
        </w:tc>
        <w:tc>
          <w:tcPr>
            <w:tcW w:type="dxa" w:w="3118"/>
          </w:tcPr>
          <w:p>
            <w:pPr>
              <w:spacing w:before="40" w:after="40"/>
              <w:jc w:val="center"/>
            </w:pPr>
            <w:r/>
            <w:r>
              <w:rPr>
                <w:rFonts w:ascii="Calibri" w:hAnsi="Calibri"/>
                <w:b w:val="0"/>
                <w:i w:val="0"/>
                <w:sz w:val="19"/>
              </w:rPr>
              <w:t>8.394</w:t>
            </w:r>
          </w:p>
        </w:tc>
        <w:tc>
          <w:tcPr>
            <w:tcW w:type="dxa" w:w="3118"/>
          </w:tcPr>
          <w:p>
            <w:pPr>
              <w:spacing w:before="40" w:after="40"/>
              <w:jc w:val="center"/>
            </w:pPr>
            <w:r/>
            <w:r>
              <w:rPr>
                <w:rFonts w:ascii="Calibri" w:hAnsi="Calibri"/>
                <w:b w:val="0"/>
                <w:i w:val="0"/>
                <w:sz w:val="19"/>
              </w:rPr>
              <w:t>18,4%</w:t>
            </w:r>
          </w:p>
        </w:tc>
      </w:tr>
      <w:tr>
        <w:tc>
          <w:tcPr>
            <w:tcW w:type="dxa" w:w="3175"/>
            <w:shd w:val="clear" w:color="auto" w:fill="F2F2F2"/>
          </w:tcPr>
          <w:p>
            <w:pPr>
              <w:spacing w:before="40" w:after="40"/>
              <w:jc w:val="left"/>
            </w:pPr>
            <w:r/>
            <w:r>
              <w:rPr>
                <w:rFonts w:ascii="Calibri" w:hAnsi="Calibri"/>
                <w:b w:val="0"/>
                <w:i w:val="0"/>
                <w:sz w:val="19"/>
              </w:rPr>
              <w:t>Great Wall</w:t>
            </w:r>
          </w:p>
        </w:tc>
        <w:tc>
          <w:tcPr>
            <w:tcW w:type="dxa" w:w="3118"/>
            <w:shd w:val="clear" w:color="auto" w:fill="F2F2F2"/>
          </w:tcPr>
          <w:p>
            <w:pPr>
              <w:spacing w:before="40" w:after="40"/>
              <w:jc w:val="center"/>
            </w:pPr>
            <w:r/>
            <w:r>
              <w:rPr>
                <w:rFonts w:ascii="Calibri" w:hAnsi="Calibri"/>
                <w:b w:val="0"/>
                <w:i w:val="0"/>
                <w:sz w:val="19"/>
              </w:rPr>
              <w:t>6.802</w:t>
            </w:r>
          </w:p>
        </w:tc>
        <w:tc>
          <w:tcPr>
            <w:tcW w:type="dxa" w:w="3118"/>
            <w:shd w:val="clear" w:color="auto" w:fill="F2F2F2"/>
          </w:tcPr>
          <w:p>
            <w:pPr>
              <w:spacing w:before="40" w:after="40"/>
              <w:jc w:val="center"/>
            </w:pPr>
            <w:r/>
            <w:r>
              <w:rPr>
                <w:rFonts w:ascii="Calibri" w:hAnsi="Calibri"/>
                <w:b w:val="0"/>
                <w:i w:val="0"/>
                <w:sz w:val="19"/>
              </w:rPr>
              <w:t>14,9%</w:t>
            </w:r>
          </w:p>
        </w:tc>
      </w:tr>
      <w:tr>
        <w:tc>
          <w:tcPr>
            <w:tcW w:type="dxa" w:w="3175"/>
          </w:tcPr>
          <w:p>
            <w:pPr>
              <w:spacing w:before="40" w:after="40"/>
              <w:jc w:val="left"/>
            </w:pPr>
            <w:r/>
            <w:r>
              <w:rPr>
                <w:rFonts w:ascii="Calibri" w:hAnsi="Calibri"/>
                <w:b w:val="0"/>
                <w:i w:val="0"/>
                <w:sz w:val="19"/>
              </w:rPr>
              <w:t>Changan</w:t>
            </w:r>
          </w:p>
        </w:tc>
        <w:tc>
          <w:tcPr>
            <w:tcW w:type="dxa" w:w="3118"/>
          </w:tcPr>
          <w:p>
            <w:pPr>
              <w:spacing w:before="40" w:after="40"/>
              <w:jc w:val="center"/>
            </w:pPr>
            <w:r/>
            <w:r>
              <w:rPr>
                <w:rFonts w:ascii="Calibri" w:hAnsi="Calibri"/>
                <w:b w:val="0"/>
                <w:i w:val="0"/>
                <w:sz w:val="19"/>
              </w:rPr>
              <w:t>5.823</w:t>
            </w:r>
          </w:p>
        </w:tc>
        <w:tc>
          <w:tcPr>
            <w:tcW w:type="dxa" w:w="3118"/>
          </w:tcPr>
          <w:p>
            <w:pPr>
              <w:spacing w:before="40" w:after="40"/>
              <w:jc w:val="center"/>
            </w:pPr>
            <w:r/>
            <w:r>
              <w:rPr>
                <w:rFonts w:ascii="Calibri" w:hAnsi="Calibri"/>
                <w:b w:val="0"/>
                <w:i w:val="0"/>
                <w:sz w:val="19"/>
              </w:rPr>
              <w:t>12,8%</w:t>
            </w:r>
          </w:p>
        </w:tc>
      </w:tr>
      <w:tr>
        <w:tc>
          <w:tcPr>
            <w:tcW w:type="dxa" w:w="3175"/>
            <w:shd w:val="clear" w:color="auto" w:fill="F2F2F2"/>
          </w:tcPr>
          <w:p>
            <w:pPr>
              <w:spacing w:before="40" w:after="40"/>
              <w:jc w:val="left"/>
            </w:pPr>
            <w:r/>
            <w:r>
              <w:rPr>
                <w:rFonts w:ascii="Calibri" w:hAnsi="Calibri"/>
                <w:b w:val="0"/>
                <w:i w:val="0"/>
                <w:sz w:val="19"/>
              </w:rPr>
              <w:t>DFSK</w:t>
            </w:r>
          </w:p>
        </w:tc>
        <w:tc>
          <w:tcPr>
            <w:tcW w:type="dxa" w:w="3118"/>
            <w:shd w:val="clear" w:color="auto" w:fill="F2F2F2"/>
          </w:tcPr>
          <w:p>
            <w:pPr>
              <w:spacing w:before="40" w:after="40"/>
              <w:jc w:val="center"/>
            </w:pPr>
            <w:r/>
            <w:r>
              <w:rPr>
                <w:rFonts w:ascii="Calibri" w:hAnsi="Calibri"/>
                <w:b w:val="0"/>
                <w:i w:val="0"/>
                <w:sz w:val="19"/>
              </w:rPr>
              <w:t>2.346</w:t>
            </w:r>
          </w:p>
        </w:tc>
        <w:tc>
          <w:tcPr>
            <w:tcW w:type="dxa" w:w="3118"/>
            <w:shd w:val="clear" w:color="auto" w:fill="F2F2F2"/>
          </w:tcPr>
          <w:p>
            <w:pPr>
              <w:spacing w:before="40" w:after="40"/>
              <w:jc w:val="center"/>
            </w:pPr>
            <w:r/>
            <w:r>
              <w:rPr>
                <w:rFonts w:ascii="Calibri" w:hAnsi="Calibri"/>
                <w:b w:val="0"/>
                <w:i w:val="0"/>
                <w:sz w:val="19"/>
              </w:rPr>
              <w:t>5,2%</w:t>
            </w:r>
          </w:p>
        </w:tc>
      </w:tr>
    </w:tbl>
    <w:p/>
    <w:p>
      <w:pPr>
        <w:spacing w:after="120"/>
        <w:jc w:val="both"/>
      </w:pPr>
      <w:r>
        <w:rPr>
          <w:rFonts w:ascii="Calibri" w:hAnsi="Calibri"/>
          <w:b w:val="0"/>
          <w:i w:val="0"/>
          <w:sz w:val="22"/>
        </w:rPr>
        <w:t>Quedan 12.379 códigos de Suzuki.</w:t>
      </w:r>
    </w:p>
    <w:p>
      <w:pPr>
        <w:pStyle w:val="Ttulo2"/>
      </w:pPr>
      <w:r>
        <w:rPr>
          <w:rFonts w:ascii="Calibri" w:hAnsi="Calibri"/>
          <w:b/>
          <w:color w:val="2E74B5"/>
          <w:sz w:val="26"/>
        </w:rPr>
        <w:t>3.1 Dónde están los códigos y dónde está la venta</w:t>
      </w:r>
    </w:p>
    <w:p>
      <w:pPr>
        <w:spacing w:after="120"/>
        <w:jc w:val="both"/>
      </w:pPr>
      <w:r>
        <w:rPr>
          <w:rFonts w:ascii="Calibri" w:hAnsi="Calibri"/>
          <w:b w:val="0"/>
          <w:i w:val="0"/>
          <w:sz w:val="22"/>
        </w:rPr>
        <w:t>Antes de elegir la familia hay que mirar un detalle que cambia la decisión. Existen dos formas de medir cuál familia pesa más dentro de la marca, y no dan el mismo resultado:</w:t>
      </w:r>
    </w:p>
    <w:p>
      <w:pPr>
        <w:pStyle w:val="Listaconvietas"/>
        <w:spacing w:after="60"/>
      </w:pPr>
      <w:r>
        <w:rPr>
          <w:rFonts w:ascii="Calibri" w:hAnsi="Calibri"/>
          <w:b/>
          <w:sz w:val="22"/>
        </w:rPr>
        <w:t xml:space="preserve">Por cantidad de códigos: </w:t>
      </w:r>
      <w:r>
        <w:rPr>
          <w:rFonts w:ascii="Calibri" w:hAnsi="Calibri"/>
          <w:sz w:val="22"/>
        </w:rPr>
        <w:t>cuántos materiales distintos tiene cada familia.</w:t>
      </w:r>
    </w:p>
    <w:p>
      <w:pPr>
        <w:pStyle w:val="Listaconvietas"/>
        <w:spacing w:after="60"/>
      </w:pPr>
      <w:r>
        <w:rPr>
          <w:rFonts w:ascii="Calibri" w:hAnsi="Calibri"/>
          <w:b/>
          <w:sz w:val="22"/>
        </w:rPr>
        <w:t xml:space="preserve">Por volumen de venta: </w:t>
      </w:r>
      <w:r>
        <w:rPr>
          <w:rFonts w:ascii="Calibri" w:hAnsi="Calibri"/>
          <w:sz w:val="22"/>
        </w:rPr>
        <w:t>cuántas unidades aporta cada familia.</w:t>
      </w:r>
    </w:p>
    <w:p>
      <w:pPr>
        <w:spacing w:after="120"/>
        <w:jc w:val="both"/>
      </w:pPr>
      <w:r>
        <w:rPr>
          <w:rFonts w:ascii="Calibri" w:hAnsi="Calibri"/>
          <w:b w:val="0"/>
          <w:i w:val="0"/>
          <w:sz w:val="22"/>
        </w:rPr>
        <w:t>Una familia puede concentrar la mayoría de los códigos y aportar poca venta, o al revés: tener muy pocos códigos que explican gran parte del volumen. El gráfico siguiente muestra ambas medidas juntas. La distancia entre las dos barras de una misma familia es exactamente ese desbalance.</w:t>
      </w:r>
    </w:p>
    <w:p>
      <w:pPr>
        <w:jc w:val="center"/>
      </w:pPr>
      <w:r>
        <w:drawing>
          <wp:inline xmlns:a="http://schemas.openxmlformats.org/drawingml/2006/main" xmlns:pic="http://schemas.openxmlformats.org/drawingml/2006/picture">
            <wp:extent cx="5903999" cy="4097122"/>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03999" cy="4097122"/>
                    </a:xfrm>
                    <a:prstGeom prst="rect"/>
                  </pic:spPr>
                </pic:pic>
              </a:graphicData>
            </a:graphic>
          </wp:inline>
        </w:drawing>
      </w:r>
    </w:p>
    <w:p>
      <w:pPr>
        <w:jc w:val="center"/>
      </w:pPr>
      <w:r>
        <w:rPr>
          <w:rFonts w:ascii="Calibri" w:hAnsi="Calibri"/>
          <w:i/>
          <w:color w:val="595959"/>
          <w:sz w:val="18"/>
        </w:rPr>
        <w:t>Figura 1. Familias de Suzuki: porcentaje de códigos frente a porcentaje de venta. La barra naranja es la proporción de códigos y la azul la proporción de unidades.</w:t>
      </w:r>
    </w:p>
    <w:p/>
    <w:tbl>
      <w:tblPr>
        <w:tblStyle w:val="Tablaconcuadrcula"/>
        <w:tblW w:type="auto" w:w="0"/>
        <w:jc w:val="center"/>
        <w:tblLook w:firstColumn="1" w:firstRow="1" w:lastColumn="0" w:lastRow="0" w:noHBand="0" w:noVBand="1" w:val="04A0"/>
      </w:tblPr>
      <w:tblGrid>
        <w:gridCol w:w="1624"/>
        <w:gridCol w:w="1624"/>
        <w:gridCol w:w="1624"/>
        <w:gridCol w:w="1624"/>
        <w:gridCol w:w="1624"/>
        <w:gridCol w:w="1624"/>
      </w:tblGrid>
      <w:tr>
        <w:tc>
          <w:tcPr>
            <w:tcW w:type="dxa" w:w="1928"/>
            <w:shd w:val="clear" w:color="auto" w:fill="1F497D"/>
          </w:tcPr>
          <w:p>
            <w:pPr>
              <w:spacing w:before="40" w:after="40"/>
              <w:jc w:val="center"/>
            </w:pPr>
            <w:r/>
            <w:r>
              <w:rPr>
                <w:rFonts w:ascii="Calibri" w:hAnsi="Calibri"/>
                <w:b/>
                <w:i w:val="0"/>
                <w:color w:val="FFFFFF"/>
                <w:sz w:val="19"/>
              </w:rPr>
              <w:t>Familia</w:t>
            </w:r>
          </w:p>
        </w:tc>
        <w:tc>
          <w:tcPr>
            <w:tcW w:type="dxa" w:w="1361"/>
            <w:shd w:val="clear" w:color="auto" w:fill="1F497D"/>
          </w:tcPr>
          <w:p>
            <w:pPr>
              <w:spacing w:before="40" w:after="40"/>
              <w:jc w:val="center"/>
            </w:pPr>
            <w:r/>
            <w:r>
              <w:rPr>
                <w:rFonts w:ascii="Calibri" w:hAnsi="Calibri"/>
                <w:b/>
                <w:i w:val="0"/>
                <w:color w:val="FFFFFF"/>
                <w:sz w:val="19"/>
              </w:rPr>
              <w:t>Códigos</w:t>
            </w:r>
          </w:p>
        </w:tc>
        <w:tc>
          <w:tcPr>
            <w:tcW w:type="dxa" w:w="1474"/>
            <w:shd w:val="clear" w:color="auto" w:fill="1F497D"/>
          </w:tcPr>
          <w:p>
            <w:pPr>
              <w:spacing w:before="40" w:after="40"/>
              <w:jc w:val="center"/>
            </w:pPr>
            <w:r/>
            <w:r>
              <w:rPr>
                <w:rFonts w:ascii="Calibri" w:hAnsi="Calibri"/>
                <w:b/>
                <w:i w:val="0"/>
                <w:color w:val="FFFFFF"/>
                <w:sz w:val="19"/>
              </w:rPr>
              <w:t>% códigos</w:t>
            </w:r>
          </w:p>
        </w:tc>
        <w:tc>
          <w:tcPr>
            <w:tcW w:type="dxa" w:w="1587"/>
            <w:shd w:val="clear" w:color="auto" w:fill="1F497D"/>
          </w:tcPr>
          <w:p>
            <w:pPr>
              <w:spacing w:before="40" w:after="40"/>
              <w:jc w:val="center"/>
            </w:pPr>
            <w:r/>
            <w:r>
              <w:rPr>
                <w:rFonts w:ascii="Calibri" w:hAnsi="Calibri"/>
                <w:b/>
                <w:i w:val="0"/>
                <w:color w:val="FFFFFF"/>
                <w:sz w:val="19"/>
              </w:rPr>
              <w:t>Unidades</w:t>
            </w:r>
          </w:p>
        </w:tc>
        <w:tc>
          <w:tcPr>
            <w:tcW w:type="dxa" w:w="1361"/>
            <w:shd w:val="clear" w:color="auto" w:fill="1F497D"/>
          </w:tcPr>
          <w:p>
            <w:pPr>
              <w:spacing w:before="40" w:after="40"/>
              <w:jc w:val="center"/>
            </w:pPr>
            <w:r/>
            <w:r>
              <w:rPr>
                <w:rFonts w:ascii="Calibri" w:hAnsi="Calibri"/>
                <w:b/>
                <w:i w:val="0"/>
                <w:color w:val="FFFFFF"/>
                <w:sz w:val="19"/>
              </w:rPr>
              <w:t>% venta</w:t>
            </w:r>
          </w:p>
        </w:tc>
        <w:tc>
          <w:tcPr>
            <w:tcW w:type="dxa" w:w="1701"/>
            <w:shd w:val="clear" w:color="auto" w:fill="1F497D"/>
          </w:tcPr>
          <w:p>
            <w:pPr>
              <w:spacing w:before="40" w:after="40"/>
              <w:jc w:val="center"/>
            </w:pPr>
            <w:r/>
            <w:r>
              <w:rPr>
                <w:rFonts w:ascii="Calibri" w:hAnsi="Calibri"/>
                <w:b/>
                <w:i w:val="0"/>
                <w:color w:val="FFFFFF"/>
                <w:sz w:val="19"/>
              </w:rPr>
              <w:t>Unidades por código</w:t>
            </w:r>
          </w:p>
        </w:tc>
      </w:tr>
      <w:tr>
        <w:tc>
          <w:tcPr>
            <w:tcW w:type="dxa" w:w="1928"/>
          </w:tcPr>
          <w:p>
            <w:pPr>
              <w:spacing w:before="40" w:after="40"/>
              <w:jc w:val="left"/>
            </w:pPr>
            <w:r/>
            <w:r>
              <w:rPr>
                <w:rFonts w:ascii="Calibri" w:hAnsi="Calibri"/>
                <w:b w:val="0"/>
                <w:i w:val="0"/>
                <w:sz w:val="19"/>
              </w:rPr>
              <w:t>MANTENCION</w:t>
            </w:r>
          </w:p>
        </w:tc>
        <w:tc>
          <w:tcPr>
            <w:tcW w:type="dxa" w:w="1361"/>
          </w:tcPr>
          <w:p>
            <w:pPr>
              <w:spacing w:before="40" w:after="40"/>
              <w:jc w:val="center"/>
            </w:pPr>
            <w:r/>
            <w:r>
              <w:rPr>
                <w:rFonts w:ascii="Calibri" w:hAnsi="Calibri"/>
                <w:b w:val="0"/>
                <w:i w:val="0"/>
                <w:sz w:val="19"/>
              </w:rPr>
              <w:t>435</w:t>
            </w:r>
          </w:p>
        </w:tc>
        <w:tc>
          <w:tcPr>
            <w:tcW w:type="dxa" w:w="1474"/>
          </w:tcPr>
          <w:p>
            <w:pPr>
              <w:spacing w:before="40" w:after="40"/>
              <w:jc w:val="center"/>
            </w:pPr>
            <w:r/>
            <w:r>
              <w:rPr>
                <w:rFonts w:ascii="Calibri" w:hAnsi="Calibri"/>
                <w:b w:val="0"/>
                <w:i w:val="0"/>
                <w:sz w:val="19"/>
              </w:rPr>
              <w:t>3,5%</w:t>
            </w:r>
          </w:p>
        </w:tc>
        <w:tc>
          <w:tcPr>
            <w:tcW w:type="dxa" w:w="1587"/>
          </w:tcPr>
          <w:p>
            <w:pPr>
              <w:spacing w:before="40" w:after="40"/>
              <w:jc w:val="center"/>
            </w:pPr>
            <w:r/>
            <w:r>
              <w:rPr>
                <w:rFonts w:ascii="Calibri" w:hAnsi="Calibri"/>
                <w:b w:val="0"/>
                <w:i w:val="0"/>
                <w:sz w:val="19"/>
              </w:rPr>
              <w:t>200.778</w:t>
            </w:r>
          </w:p>
        </w:tc>
        <w:tc>
          <w:tcPr>
            <w:tcW w:type="dxa" w:w="1361"/>
          </w:tcPr>
          <w:p>
            <w:pPr>
              <w:spacing w:before="40" w:after="40"/>
              <w:jc w:val="center"/>
            </w:pPr>
            <w:r/>
            <w:r>
              <w:rPr>
                <w:rFonts w:ascii="Calibri" w:hAnsi="Calibri"/>
                <w:b w:val="0"/>
                <w:i w:val="0"/>
                <w:sz w:val="19"/>
              </w:rPr>
              <w:t>41,8%</w:t>
            </w:r>
          </w:p>
        </w:tc>
        <w:tc>
          <w:tcPr>
            <w:tcW w:type="dxa" w:w="1701"/>
          </w:tcPr>
          <w:p>
            <w:pPr>
              <w:spacing w:before="40" w:after="40"/>
              <w:jc w:val="center"/>
            </w:pPr>
            <w:r/>
            <w:r>
              <w:rPr>
                <w:rFonts w:ascii="Calibri" w:hAnsi="Calibri"/>
                <w:b w:val="0"/>
                <w:i w:val="0"/>
                <w:sz w:val="19"/>
              </w:rPr>
              <w:t>461</w:t>
            </w:r>
          </w:p>
        </w:tc>
      </w:tr>
      <w:tr>
        <w:tc>
          <w:tcPr>
            <w:tcW w:type="dxa" w:w="1928"/>
            <w:shd w:val="clear" w:color="auto" w:fill="F2F2F2"/>
          </w:tcPr>
          <w:p>
            <w:pPr>
              <w:spacing w:before="40" w:after="40"/>
              <w:jc w:val="left"/>
            </w:pPr>
            <w:r/>
            <w:r>
              <w:rPr>
                <w:rFonts w:ascii="Calibri" w:hAnsi="Calibri"/>
                <w:b w:val="0"/>
                <w:i w:val="0"/>
                <w:sz w:val="19"/>
              </w:rPr>
              <w:t>CARROCERIA</w:t>
            </w:r>
          </w:p>
        </w:tc>
        <w:tc>
          <w:tcPr>
            <w:tcW w:type="dxa" w:w="1361"/>
            <w:shd w:val="clear" w:color="auto" w:fill="F2F2F2"/>
          </w:tcPr>
          <w:p>
            <w:pPr>
              <w:spacing w:before="40" w:after="40"/>
              <w:jc w:val="center"/>
            </w:pPr>
            <w:r/>
            <w:r>
              <w:rPr>
                <w:rFonts w:ascii="Calibri" w:hAnsi="Calibri"/>
                <w:b w:val="0"/>
                <w:i w:val="0"/>
                <w:sz w:val="19"/>
              </w:rPr>
              <w:t>7.322</w:t>
            </w:r>
          </w:p>
        </w:tc>
        <w:tc>
          <w:tcPr>
            <w:tcW w:type="dxa" w:w="1474"/>
            <w:shd w:val="clear" w:color="auto" w:fill="F2F2F2"/>
          </w:tcPr>
          <w:p>
            <w:pPr>
              <w:spacing w:before="40" w:after="40"/>
              <w:jc w:val="center"/>
            </w:pPr>
            <w:r/>
            <w:r>
              <w:rPr>
                <w:rFonts w:ascii="Calibri" w:hAnsi="Calibri"/>
                <w:b w:val="0"/>
                <w:i w:val="0"/>
                <w:sz w:val="19"/>
              </w:rPr>
              <w:t>59,1%</w:t>
            </w:r>
          </w:p>
        </w:tc>
        <w:tc>
          <w:tcPr>
            <w:tcW w:type="dxa" w:w="1587"/>
            <w:shd w:val="clear" w:color="auto" w:fill="F2F2F2"/>
          </w:tcPr>
          <w:p>
            <w:pPr>
              <w:spacing w:before="40" w:after="40"/>
              <w:jc w:val="center"/>
            </w:pPr>
            <w:r/>
            <w:r>
              <w:rPr>
                <w:rFonts w:ascii="Calibri" w:hAnsi="Calibri"/>
                <w:b w:val="0"/>
                <w:i w:val="0"/>
                <w:sz w:val="19"/>
              </w:rPr>
              <w:t>148.064</w:t>
            </w:r>
          </w:p>
        </w:tc>
        <w:tc>
          <w:tcPr>
            <w:tcW w:type="dxa" w:w="1361"/>
            <w:shd w:val="clear" w:color="auto" w:fill="F2F2F2"/>
          </w:tcPr>
          <w:p>
            <w:pPr>
              <w:spacing w:before="40" w:after="40"/>
              <w:jc w:val="center"/>
            </w:pPr>
            <w:r/>
            <w:r>
              <w:rPr>
                <w:rFonts w:ascii="Calibri" w:hAnsi="Calibri"/>
                <w:b w:val="0"/>
                <w:i w:val="0"/>
                <w:sz w:val="19"/>
              </w:rPr>
              <w:t>30,8%</w:t>
            </w:r>
          </w:p>
        </w:tc>
        <w:tc>
          <w:tcPr>
            <w:tcW w:type="dxa" w:w="1701"/>
            <w:shd w:val="clear" w:color="auto" w:fill="F2F2F2"/>
          </w:tcPr>
          <w:p>
            <w:pPr>
              <w:spacing w:before="40" w:after="40"/>
              <w:jc w:val="center"/>
            </w:pPr>
            <w:r/>
            <w:r>
              <w:rPr>
                <w:rFonts w:ascii="Calibri" w:hAnsi="Calibri"/>
                <w:b w:val="0"/>
                <w:i w:val="0"/>
                <w:sz w:val="19"/>
              </w:rPr>
              <w:t>20</w:t>
            </w:r>
          </w:p>
        </w:tc>
      </w:tr>
      <w:tr>
        <w:tc>
          <w:tcPr>
            <w:tcW w:type="dxa" w:w="1928"/>
          </w:tcPr>
          <w:p>
            <w:pPr>
              <w:spacing w:before="40" w:after="40"/>
              <w:jc w:val="left"/>
            </w:pPr>
            <w:r/>
            <w:r>
              <w:rPr>
                <w:rFonts w:ascii="Calibri" w:hAnsi="Calibri"/>
                <w:b w:val="0"/>
                <w:i w:val="0"/>
                <w:sz w:val="19"/>
              </w:rPr>
              <w:t>REPARACION</w:t>
            </w:r>
          </w:p>
        </w:tc>
        <w:tc>
          <w:tcPr>
            <w:tcW w:type="dxa" w:w="1361"/>
          </w:tcPr>
          <w:p>
            <w:pPr>
              <w:spacing w:before="40" w:after="40"/>
              <w:jc w:val="center"/>
            </w:pPr>
            <w:r/>
            <w:r>
              <w:rPr>
                <w:rFonts w:ascii="Calibri" w:hAnsi="Calibri"/>
                <w:b w:val="0"/>
                <w:i w:val="0"/>
                <w:sz w:val="19"/>
              </w:rPr>
              <w:t>2.016</w:t>
            </w:r>
          </w:p>
        </w:tc>
        <w:tc>
          <w:tcPr>
            <w:tcW w:type="dxa" w:w="1474"/>
          </w:tcPr>
          <w:p>
            <w:pPr>
              <w:spacing w:before="40" w:after="40"/>
              <w:jc w:val="center"/>
            </w:pPr>
            <w:r/>
            <w:r>
              <w:rPr>
                <w:rFonts w:ascii="Calibri" w:hAnsi="Calibri"/>
                <w:b w:val="0"/>
                <w:i w:val="0"/>
                <w:sz w:val="19"/>
              </w:rPr>
              <w:t>16,3%</w:t>
            </w:r>
          </w:p>
        </w:tc>
        <w:tc>
          <w:tcPr>
            <w:tcW w:type="dxa" w:w="1587"/>
          </w:tcPr>
          <w:p>
            <w:pPr>
              <w:spacing w:before="40" w:after="40"/>
              <w:jc w:val="center"/>
            </w:pPr>
            <w:r/>
            <w:r>
              <w:rPr>
                <w:rFonts w:ascii="Calibri" w:hAnsi="Calibri"/>
                <w:b w:val="0"/>
                <w:i w:val="0"/>
                <w:sz w:val="19"/>
              </w:rPr>
              <w:t>99.465</w:t>
            </w:r>
          </w:p>
        </w:tc>
        <w:tc>
          <w:tcPr>
            <w:tcW w:type="dxa" w:w="1361"/>
          </w:tcPr>
          <w:p>
            <w:pPr>
              <w:spacing w:before="40" w:after="40"/>
              <w:jc w:val="center"/>
            </w:pPr>
            <w:r/>
            <w:r>
              <w:rPr>
                <w:rFonts w:ascii="Calibri" w:hAnsi="Calibri"/>
                <w:b w:val="0"/>
                <w:i w:val="0"/>
                <w:sz w:val="19"/>
              </w:rPr>
              <w:t>20,7%</w:t>
            </w:r>
          </w:p>
        </w:tc>
        <w:tc>
          <w:tcPr>
            <w:tcW w:type="dxa" w:w="1701"/>
          </w:tcPr>
          <w:p>
            <w:pPr>
              <w:spacing w:before="40" w:after="40"/>
              <w:jc w:val="center"/>
            </w:pPr>
            <w:r/>
            <w:r>
              <w:rPr>
                <w:rFonts w:ascii="Calibri" w:hAnsi="Calibri"/>
                <w:b w:val="0"/>
                <w:i w:val="0"/>
                <w:sz w:val="19"/>
              </w:rPr>
              <w:t>49</w:t>
            </w:r>
          </w:p>
        </w:tc>
      </w:tr>
      <w:tr>
        <w:tc>
          <w:tcPr>
            <w:tcW w:type="dxa" w:w="1928"/>
            <w:shd w:val="clear" w:color="auto" w:fill="F2F2F2"/>
          </w:tcPr>
          <w:p>
            <w:pPr>
              <w:spacing w:before="40" w:after="40"/>
              <w:jc w:val="left"/>
            </w:pPr>
            <w:r/>
            <w:r>
              <w:rPr>
                <w:rFonts w:ascii="Calibri" w:hAnsi="Calibri"/>
                <w:b w:val="0"/>
                <w:i w:val="0"/>
                <w:sz w:val="19"/>
              </w:rPr>
              <w:t>DESGASTE</w:t>
            </w:r>
          </w:p>
        </w:tc>
        <w:tc>
          <w:tcPr>
            <w:tcW w:type="dxa" w:w="1361"/>
            <w:shd w:val="clear" w:color="auto" w:fill="F2F2F2"/>
          </w:tcPr>
          <w:p>
            <w:pPr>
              <w:spacing w:before="40" w:after="40"/>
              <w:jc w:val="center"/>
            </w:pPr>
            <w:r/>
            <w:r>
              <w:rPr>
                <w:rFonts w:ascii="Calibri" w:hAnsi="Calibri"/>
                <w:b w:val="0"/>
                <w:i w:val="0"/>
                <w:sz w:val="19"/>
              </w:rPr>
              <w:t>1.271</w:t>
            </w:r>
          </w:p>
        </w:tc>
        <w:tc>
          <w:tcPr>
            <w:tcW w:type="dxa" w:w="1474"/>
            <w:shd w:val="clear" w:color="auto" w:fill="F2F2F2"/>
          </w:tcPr>
          <w:p>
            <w:pPr>
              <w:spacing w:before="40" w:after="40"/>
              <w:jc w:val="center"/>
            </w:pPr>
            <w:r/>
            <w:r>
              <w:rPr>
                <w:rFonts w:ascii="Calibri" w:hAnsi="Calibri"/>
                <w:b w:val="0"/>
                <w:i w:val="0"/>
                <w:sz w:val="19"/>
              </w:rPr>
              <w:t>10,3%</w:t>
            </w:r>
          </w:p>
        </w:tc>
        <w:tc>
          <w:tcPr>
            <w:tcW w:type="dxa" w:w="1587"/>
            <w:shd w:val="clear" w:color="auto" w:fill="F2F2F2"/>
          </w:tcPr>
          <w:p>
            <w:pPr>
              <w:spacing w:before="40" w:after="40"/>
              <w:jc w:val="center"/>
            </w:pPr>
            <w:r/>
            <w:r>
              <w:rPr>
                <w:rFonts w:ascii="Calibri" w:hAnsi="Calibri"/>
                <w:b w:val="0"/>
                <w:i w:val="0"/>
                <w:sz w:val="19"/>
              </w:rPr>
              <w:t>21.370</w:t>
            </w:r>
          </w:p>
        </w:tc>
        <w:tc>
          <w:tcPr>
            <w:tcW w:type="dxa" w:w="1361"/>
            <w:shd w:val="clear" w:color="auto" w:fill="F2F2F2"/>
          </w:tcPr>
          <w:p>
            <w:pPr>
              <w:spacing w:before="40" w:after="40"/>
              <w:jc w:val="center"/>
            </w:pPr>
            <w:r/>
            <w:r>
              <w:rPr>
                <w:rFonts w:ascii="Calibri" w:hAnsi="Calibri"/>
                <w:b w:val="0"/>
                <w:i w:val="0"/>
                <w:sz w:val="19"/>
              </w:rPr>
              <w:t>4,4%</w:t>
            </w:r>
          </w:p>
        </w:tc>
        <w:tc>
          <w:tcPr>
            <w:tcW w:type="dxa" w:w="1701"/>
            <w:shd w:val="clear" w:color="auto" w:fill="F2F2F2"/>
          </w:tcPr>
          <w:p>
            <w:pPr>
              <w:spacing w:before="40" w:after="40"/>
              <w:jc w:val="center"/>
            </w:pPr>
            <w:r/>
            <w:r>
              <w:rPr>
                <w:rFonts w:ascii="Calibri" w:hAnsi="Calibri"/>
                <w:b w:val="0"/>
                <w:i w:val="0"/>
                <w:sz w:val="19"/>
              </w:rPr>
              <w:t>16</w:t>
            </w:r>
          </w:p>
        </w:tc>
      </w:tr>
      <w:tr>
        <w:tc>
          <w:tcPr>
            <w:tcW w:type="dxa" w:w="1928"/>
          </w:tcPr>
          <w:p>
            <w:pPr>
              <w:spacing w:before="40" w:after="40"/>
              <w:jc w:val="left"/>
            </w:pPr>
            <w:r/>
            <w:r>
              <w:rPr>
                <w:rFonts w:ascii="Calibri" w:hAnsi="Calibri"/>
                <w:b w:val="0"/>
                <w:i w:val="0"/>
                <w:sz w:val="19"/>
              </w:rPr>
              <w:t>OTROS</w:t>
            </w:r>
          </w:p>
        </w:tc>
        <w:tc>
          <w:tcPr>
            <w:tcW w:type="dxa" w:w="1361"/>
          </w:tcPr>
          <w:p>
            <w:pPr>
              <w:spacing w:before="40" w:after="40"/>
              <w:jc w:val="center"/>
            </w:pPr>
            <w:r/>
            <w:r>
              <w:rPr>
                <w:rFonts w:ascii="Calibri" w:hAnsi="Calibri"/>
                <w:b w:val="0"/>
                <w:i w:val="0"/>
                <w:sz w:val="19"/>
              </w:rPr>
              <w:t>1.312</w:t>
            </w:r>
          </w:p>
        </w:tc>
        <w:tc>
          <w:tcPr>
            <w:tcW w:type="dxa" w:w="1474"/>
          </w:tcPr>
          <w:p>
            <w:pPr>
              <w:spacing w:before="40" w:after="40"/>
              <w:jc w:val="center"/>
            </w:pPr>
            <w:r/>
            <w:r>
              <w:rPr>
                <w:rFonts w:ascii="Calibri" w:hAnsi="Calibri"/>
                <w:b w:val="0"/>
                <w:i w:val="0"/>
                <w:sz w:val="19"/>
              </w:rPr>
              <w:t>10,6%</w:t>
            </w:r>
          </w:p>
        </w:tc>
        <w:tc>
          <w:tcPr>
            <w:tcW w:type="dxa" w:w="1587"/>
          </w:tcPr>
          <w:p>
            <w:pPr>
              <w:spacing w:before="40" w:after="40"/>
              <w:jc w:val="center"/>
            </w:pPr>
            <w:r/>
            <w:r>
              <w:rPr>
                <w:rFonts w:ascii="Calibri" w:hAnsi="Calibri"/>
                <w:b w:val="0"/>
                <w:i w:val="0"/>
                <w:sz w:val="19"/>
              </w:rPr>
              <w:t>11.022</w:t>
            </w:r>
          </w:p>
        </w:tc>
        <w:tc>
          <w:tcPr>
            <w:tcW w:type="dxa" w:w="1361"/>
          </w:tcPr>
          <w:p>
            <w:pPr>
              <w:spacing w:before="40" w:after="40"/>
              <w:jc w:val="center"/>
            </w:pPr>
            <w:r/>
            <w:r>
              <w:rPr>
                <w:rFonts w:ascii="Calibri" w:hAnsi="Calibri"/>
                <w:b w:val="0"/>
                <w:i w:val="0"/>
                <w:sz w:val="19"/>
              </w:rPr>
              <w:t>2,3%</w:t>
            </w:r>
          </w:p>
        </w:tc>
        <w:tc>
          <w:tcPr>
            <w:tcW w:type="dxa" w:w="1701"/>
          </w:tcPr>
          <w:p>
            <w:pPr>
              <w:spacing w:before="40" w:after="40"/>
              <w:jc w:val="center"/>
            </w:pPr>
            <w:r/>
            <w:r>
              <w:rPr>
                <w:rFonts w:ascii="Calibri" w:hAnsi="Calibri"/>
                <w:b w:val="0"/>
                <w:i w:val="0"/>
                <w:sz w:val="19"/>
              </w:rPr>
              <w:t>8</w:t>
            </w:r>
          </w:p>
        </w:tc>
      </w:tr>
      <w:tr>
        <w:tc>
          <w:tcPr>
            <w:tcW w:type="dxa" w:w="1928"/>
            <w:shd w:val="clear" w:color="auto" w:fill="F2F2F2"/>
          </w:tcPr>
          <w:p>
            <w:pPr>
              <w:spacing w:before="40" w:after="40"/>
              <w:jc w:val="left"/>
            </w:pPr>
            <w:r/>
            <w:r>
              <w:rPr>
                <w:rFonts w:ascii="Calibri" w:hAnsi="Calibri"/>
                <w:b w:val="0"/>
                <w:i w:val="0"/>
                <w:sz w:val="19"/>
              </w:rPr>
              <w:t>ACCESORIOS</w:t>
            </w:r>
          </w:p>
        </w:tc>
        <w:tc>
          <w:tcPr>
            <w:tcW w:type="dxa" w:w="1361"/>
            <w:shd w:val="clear" w:color="auto" w:fill="F2F2F2"/>
          </w:tcPr>
          <w:p>
            <w:pPr>
              <w:spacing w:before="40" w:after="40"/>
              <w:jc w:val="center"/>
            </w:pPr>
            <w:r/>
            <w:r>
              <w:rPr>
                <w:rFonts w:ascii="Calibri" w:hAnsi="Calibri"/>
                <w:b w:val="0"/>
                <w:i w:val="0"/>
                <w:sz w:val="19"/>
              </w:rPr>
              <w:t>23</w:t>
            </w:r>
          </w:p>
        </w:tc>
        <w:tc>
          <w:tcPr>
            <w:tcW w:type="dxa" w:w="1474"/>
            <w:shd w:val="clear" w:color="auto" w:fill="F2F2F2"/>
          </w:tcPr>
          <w:p>
            <w:pPr>
              <w:spacing w:before="40" w:after="40"/>
              <w:jc w:val="center"/>
            </w:pPr>
            <w:r/>
            <w:r>
              <w:rPr>
                <w:rFonts w:ascii="Calibri" w:hAnsi="Calibri"/>
                <w:b w:val="0"/>
                <w:i w:val="0"/>
                <w:sz w:val="19"/>
              </w:rPr>
              <w:t>0,2%</w:t>
            </w:r>
          </w:p>
        </w:tc>
        <w:tc>
          <w:tcPr>
            <w:tcW w:type="dxa" w:w="1587"/>
            <w:shd w:val="clear" w:color="auto" w:fill="F2F2F2"/>
          </w:tcPr>
          <w:p>
            <w:pPr>
              <w:spacing w:before="40" w:after="40"/>
              <w:jc w:val="center"/>
            </w:pPr>
            <w:r/>
            <w:r>
              <w:rPr>
                <w:rFonts w:ascii="Calibri" w:hAnsi="Calibri"/>
                <w:b w:val="0"/>
                <w:i w:val="0"/>
                <w:sz w:val="19"/>
              </w:rPr>
              <w:t>65</w:t>
            </w:r>
          </w:p>
        </w:tc>
        <w:tc>
          <w:tcPr>
            <w:tcW w:type="dxa" w:w="1361"/>
            <w:shd w:val="clear" w:color="auto" w:fill="F2F2F2"/>
          </w:tcPr>
          <w:p>
            <w:pPr>
              <w:spacing w:before="40" w:after="40"/>
              <w:jc w:val="center"/>
            </w:pPr>
            <w:r/>
            <w:r>
              <w:rPr>
                <w:rFonts w:ascii="Calibri" w:hAnsi="Calibri"/>
                <w:b w:val="0"/>
                <w:i w:val="0"/>
                <w:sz w:val="19"/>
              </w:rPr>
              <w:t>0,0%</w:t>
            </w:r>
          </w:p>
        </w:tc>
        <w:tc>
          <w:tcPr>
            <w:tcW w:type="dxa" w:w="1701"/>
            <w:shd w:val="clear" w:color="auto" w:fill="F2F2F2"/>
          </w:tcPr>
          <w:p>
            <w:pPr>
              <w:spacing w:before="40" w:after="40"/>
              <w:jc w:val="center"/>
            </w:pPr>
            <w:r/>
            <w:r>
              <w:rPr>
                <w:rFonts w:ascii="Calibri" w:hAnsi="Calibri"/>
                <w:b w:val="0"/>
                <w:i w:val="0"/>
                <w:sz w:val="19"/>
              </w:rPr>
              <w:t>2</w:t>
            </w:r>
          </w:p>
        </w:tc>
      </w:tr>
    </w:tbl>
    <w:p/>
    <w:p>
      <w:pPr>
        <w:spacing w:after="120"/>
        <w:jc w:val="both"/>
      </w:pPr>
      <w:r>
        <w:rPr>
          <w:rFonts w:ascii="Calibri" w:hAnsi="Calibri"/>
          <w:b w:val="0"/>
          <w:i w:val="0"/>
          <w:sz w:val="22"/>
        </w:rPr>
        <w:t>La lectura es directa. CARROCERIA concentra el 59,1% de los códigos pero aporta el 30,8% de la venta. MANTENCION hace lo contrario: con apenas el 3,5% de los códigos explica el 41,8% de las unidades, porque cada uno de sus materiales vende 461 unidades en el período frente a las 20 de CARROCERIA.</w:t>
      </w:r>
    </w:p>
    <w:p/>
    <w:tbl>
      <w:tblPr>
        <w:tblW w:type="auto" w:w="0"/>
        <w:jc w:val="center"/>
        <w:tblLook w:firstColumn="1" w:firstRow="1" w:lastColumn="0" w:lastRow="0" w:noHBand="0" w:noVBand="1" w:val="04A0"/>
      </w:tblPr>
      <w:tblGrid>
        <w:gridCol w:w="9746"/>
      </w:tblGrid>
      <w:tr>
        <w:tc>
          <w:tcPr>
            <w:tcW w:type="dxa" w:w="9411"/>
            <w:shd w:val="clear" w:color="auto" w:fill="E2EFDA"/>
          </w:tcPr>
          <w:p>
            <w:pPr>
              <w:spacing w:before="40" w:after="40"/>
              <w:jc w:val="both"/>
            </w:pPr>
            <w:r/>
            <w:r>
              <w:rPr>
                <w:rFonts w:ascii="Calibri" w:hAnsi="Calibri"/>
                <w:b w:val="0"/>
                <w:i w:val="0"/>
                <w:color w:val="378610"/>
                <w:sz w:val="20"/>
              </w:rPr>
              <w:t>INTERPRETACIÓN: este gráfico es la razón por la que la elección de familia no puede hacerse mirando un solo número. Según cuál de las dos medidas se use, la familia elegida es distinta, y con ella cambia por completo el tamaño y la naturaleza de la base de entrenamiento.</w:t>
            </w:r>
          </w:p>
        </w:tc>
      </w:tr>
    </w:tbl>
    <w:p/>
    <w:p>
      <w:r>
        <w:br w:type="page"/>
      </w:r>
    </w:p>
    <w:p>
      <w:pPr>
        <w:pStyle w:val="Ttulo1"/>
      </w:pPr>
      <w:r>
        <w:rPr>
          <w:rFonts w:ascii="Calibri" w:hAnsi="Calibri"/>
          <w:b/>
          <w:color w:val="1F497D"/>
          <w:sz w:val="32"/>
        </w:rPr>
        <w:t>4. Paso 3 - Dejar solo la familia Carrocería</w:t>
      </w:r>
    </w:p>
    <w:p>
      <w:pPr>
        <w:spacing w:after="120"/>
        <w:jc w:val="both"/>
      </w:pPr>
      <w:r>
        <w:rPr>
          <w:rFonts w:ascii="Calibri" w:hAnsi="Calibri"/>
          <w:b w:val="0"/>
          <w:i w:val="0"/>
          <w:sz w:val="22"/>
        </w:rPr>
        <w:t>La familia elegida es Carrocería, por ser la que concentra la mayor cantidad de códigos activos de la marca. El criterio es deliberado: en esta etapa interesa disponer de muchas series distintas para construir y validar el método, más que del mayor volumen de unidades.</w:t>
      </w:r>
    </w:p>
    <w:tbl>
      <w:tblPr>
        <w:tblStyle w:val="Tablaconcuadrcula"/>
        <w:tblW w:type="auto" w:w="0"/>
        <w:jc w:val="center"/>
        <w:tblLook w:firstColumn="1" w:firstRow="1" w:lastColumn="0" w:lastRow="0" w:noHBand="0" w:noVBand="1" w:val="04A0"/>
      </w:tblPr>
      <w:tblGrid>
        <w:gridCol w:w="2436"/>
        <w:gridCol w:w="2436"/>
        <w:gridCol w:w="2436"/>
        <w:gridCol w:w="2436"/>
      </w:tblGrid>
      <w:tr>
        <w:tc>
          <w:tcPr>
            <w:tcW w:type="dxa" w:w="3969"/>
            <w:shd w:val="clear" w:color="auto" w:fill="1F497D"/>
          </w:tcPr>
          <w:p>
            <w:pPr>
              <w:spacing w:before="40" w:after="40"/>
              <w:jc w:val="center"/>
            </w:pPr>
            <w:r/>
            <w:r>
              <w:rPr>
                <w:rFonts w:ascii="Calibri" w:hAnsi="Calibri"/>
                <w:b/>
                <w:i w:val="0"/>
                <w:color w:val="FFFFFF"/>
                <w:sz w:val="19"/>
              </w:rPr>
              <w:t>Criterio</w:t>
            </w:r>
          </w:p>
        </w:tc>
        <w:tc>
          <w:tcPr>
            <w:tcW w:type="dxa" w:w="2041"/>
            <w:shd w:val="clear" w:color="auto" w:fill="1F497D"/>
          </w:tcPr>
          <w:p>
            <w:pPr>
              <w:spacing w:before="40" w:after="40"/>
              <w:jc w:val="center"/>
            </w:pPr>
            <w:r/>
            <w:r>
              <w:rPr>
                <w:rFonts w:ascii="Calibri" w:hAnsi="Calibri"/>
                <w:b/>
                <w:i w:val="0"/>
                <w:color w:val="FFFFFF"/>
                <w:sz w:val="19"/>
              </w:rPr>
              <w:t>Familia que resulta elegida</w:t>
            </w:r>
          </w:p>
        </w:tc>
        <w:tc>
          <w:tcPr>
            <w:tcW w:type="dxa" w:w="1701"/>
            <w:shd w:val="clear" w:color="auto" w:fill="1F497D"/>
          </w:tcPr>
          <w:p>
            <w:pPr>
              <w:spacing w:before="40" w:after="40"/>
              <w:jc w:val="center"/>
            </w:pPr>
            <w:r/>
            <w:r>
              <w:rPr>
                <w:rFonts w:ascii="Calibri" w:hAnsi="Calibri"/>
                <w:b/>
                <w:i w:val="0"/>
                <w:color w:val="FFFFFF"/>
                <w:sz w:val="19"/>
              </w:rPr>
              <w:t>Códigos</w:t>
            </w:r>
          </w:p>
        </w:tc>
        <w:tc>
          <w:tcPr>
            <w:tcW w:type="dxa" w:w="1701"/>
            <w:shd w:val="clear" w:color="auto" w:fill="1F497D"/>
          </w:tcPr>
          <w:p>
            <w:pPr>
              <w:spacing w:before="40" w:after="40"/>
              <w:jc w:val="center"/>
            </w:pPr>
            <w:r/>
            <w:r>
              <w:rPr>
                <w:rFonts w:ascii="Calibri" w:hAnsi="Calibri"/>
                <w:b/>
                <w:i w:val="0"/>
                <w:color w:val="FFFFFF"/>
                <w:sz w:val="19"/>
              </w:rPr>
              <w:t>% de la venta</w:t>
            </w:r>
          </w:p>
        </w:tc>
      </w:tr>
      <w:tr>
        <w:tc>
          <w:tcPr>
            <w:tcW w:type="dxa" w:w="3969"/>
          </w:tcPr>
          <w:p>
            <w:pPr>
              <w:spacing w:before="40" w:after="40"/>
              <w:jc w:val="left"/>
            </w:pPr>
            <w:r/>
            <w:r>
              <w:rPr>
                <w:rFonts w:ascii="Calibri" w:hAnsi="Calibri"/>
                <w:b w:val="0"/>
                <w:i w:val="0"/>
                <w:sz w:val="19"/>
              </w:rPr>
              <w:t>Mayor cantidad de códigos (criterio aplicado)</w:t>
            </w:r>
          </w:p>
        </w:tc>
        <w:tc>
          <w:tcPr>
            <w:tcW w:type="dxa" w:w="2041"/>
          </w:tcPr>
          <w:p>
            <w:pPr>
              <w:spacing w:before="40" w:after="40"/>
              <w:jc w:val="center"/>
            </w:pPr>
            <w:r/>
            <w:r>
              <w:rPr>
                <w:rFonts w:ascii="Calibri" w:hAnsi="Calibri"/>
                <w:b w:val="0"/>
                <w:i w:val="0"/>
                <w:sz w:val="19"/>
              </w:rPr>
              <w:t>CARROCERIA</w:t>
            </w:r>
          </w:p>
        </w:tc>
        <w:tc>
          <w:tcPr>
            <w:tcW w:type="dxa" w:w="1701"/>
          </w:tcPr>
          <w:p>
            <w:pPr>
              <w:spacing w:before="40" w:after="40"/>
              <w:jc w:val="center"/>
            </w:pPr>
            <w:r/>
            <w:r>
              <w:rPr>
                <w:rFonts w:ascii="Calibri" w:hAnsi="Calibri"/>
                <w:b w:val="0"/>
                <w:i w:val="0"/>
                <w:sz w:val="19"/>
              </w:rPr>
              <w:t>7.322</w:t>
            </w:r>
          </w:p>
        </w:tc>
        <w:tc>
          <w:tcPr>
            <w:tcW w:type="dxa" w:w="1701"/>
          </w:tcPr>
          <w:p>
            <w:pPr>
              <w:spacing w:before="40" w:after="40"/>
              <w:jc w:val="center"/>
            </w:pPr>
            <w:r/>
            <w:r>
              <w:rPr>
                <w:rFonts w:ascii="Calibri" w:hAnsi="Calibri"/>
                <w:b w:val="0"/>
                <w:i w:val="0"/>
                <w:sz w:val="19"/>
              </w:rPr>
              <w:t>30,8%</w:t>
            </w:r>
          </w:p>
        </w:tc>
      </w:tr>
      <w:tr>
        <w:tc>
          <w:tcPr>
            <w:tcW w:type="dxa" w:w="3969"/>
            <w:shd w:val="clear" w:color="auto" w:fill="F2F2F2"/>
          </w:tcPr>
          <w:p>
            <w:pPr>
              <w:spacing w:before="40" w:after="40"/>
              <w:jc w:val="left"/>
            </w:pPr>
            <w:r/>
            <w:r>
              <w:rPr>
                <w:rFonts w:ascii="Calibri" w:hAnsi="Calibri"/>
                <w:b w:val="0"/>
                <w:i w:val="0"/>
                <w:sz w:val="19"/>
              </w:rPr>
              <w:t>Mayor volumen de venta (criterio descartado)</w:t>
            </w:r>
          </w:p>
        </w:tc>
        <w:tc>
          <w:tcPr>
            <w:tcW w:type="dxa" w:w="2041"/>
            <w:shd w:val="clear" w:color="auto" w:fill="F2F2F2"/>
          </w:tcPr>
          <w:p>
            <w:pPr>
              <w:spacing w:before="40" w:after="40"/>
              <w:jc w:val="center"/>
            </w:pPr>
            <w:r/>
            <w:r>
              <w:rPr>
                <w:rFonts w:ascii="Calibri" w:hAnsi="Calibri"/>
                <w:b w:val="0"/>
                <w:i w:val="0"/>
                <w:sz w:val="19"/>
              </w:rPr>
              <w:t>MANTENCION</w:t>
            </w:r>
          </w:p>
        </w:tc>
        <w:tc>
          <w:tcPr>
            <w:tcW w:type="dxa" w:w="1701"/>
            <w:shd w:val="clear" w:color="auto" w:fill="F2F2F2"/>
          </w:tcPr>
          <w:p>
            <w:pPr>
              <w:spacing w:before="40" w:after="40"/>
              <w:jc w:val="center"/>
            </w:pPr>
            <w:r/>
            <w:r>
              <w:rPr>
                <w:rFonts w:ascii="Calibri" w:hAnsi="Calibri"/>
                <w:b w:val="0"/>
                <w:i w:val="0"/>
                <w:sz w:val="19"/>
              </w:rPr>
              <w:t>435</w:t>
            </w:r>
          </w:p>
        </w:tc>
        <w:tc>
          <w:tcPr>
            <w:tcW w:type="dxa" w:w="1701"/>
            <w:shd w:val="clear" w:color="auto" w:fill="F2F2F2"/>
          </w:tcPr>
          <w:p>
            <w:pPr>
              <w:spacing w:before="40" w:after="40"/>
              <w:jc w:val="center"/>
            </w:pPr>
            <w:r/>
            <w:r>
              <w:rPr>
                <w:rFonts w:ascii="Calibri" w:hAnsi="Calibri"/>
                <w:b w:val="0"/>
                <w:i w:val="0"/>
                <w:sz w:val="19"/>
              </w:rPr>
              <w:t>41,8%</w:t>
            </w:r>
          </w:p>
        </w:tc>
      </w:tr>
    </w:tbl>
    <w:p/>
    <w:p>
      <w:pPr>
        <w:spacing w:after="120"/>
        <w:jc w:val="both"/>
      </w:pPr>
      <w:r>
        <w:rPr>
          <w:rFonts w:ascii="Calibri" w:hAnsi="Calibri"/>
          <w:b w:val="0"/>
          <w:i w:val="0"/>
          <w:sz w:val="22"/>
        </w:rPr>
        <w:t>Al aplicar el filtro quedan 7.322 materiales, con 148.064 unidades vendidas en el período. Se genera el segundo archivo.</w:t>
      </w:r>
    </w:p>
    <w:p/>
    <w:tbl>
      <w:tblPr>
        <w:tblW w:type="auto" w:w="0"/>
        <w:jc w:val="center"/>
        <w:tblLook w:firstColumn="1" w:firstRow="1" w:lastColumn="0" w:lastRow="0" w:noHBand="0" w:noVBand="1" w:val="04A0"/>
      </w:tblPr>
      <w:tblGrid>
        <w:gridCol w:w="9746"/>
      </w:tblGrid>
      <w:tr>
        <w:tc>
          <w:tcPr>
            <w:tcW w:type="dxa" w:w="9411"/>
            <w:shd w:val="clear" w:color="auto" w:fill="FFE699"/>
          </w:tcPr>
          <w:p>
            <w:pPr>
              <w:spacing w:before="40" w:after="40"/>
              <w:jc w:val="both"/>
            </w:pPr>
            <w:r/>
            <w:r>
              <w:rPr>
                <w:rFonts w:ascii="Calibri" w:hAnsi="Calibri"/>
                <w:b w:val="0"/>
                <w:i w:val="0"/>
                <w:color w:val="BF6000"/>
                <w:sz w:val="20"/>
              </w:rPr>
              <w:t>IMPORTANTE: elegir por cantidad de códigos deja fuera a la familia que más vende. La base resultante tiene muchas más series para aprender, pero cada serie es más pequeña y con más meses en cero. Es una decisión consciente y conviene revisarla si el modelo no alcanza la precisión esperada sobre este grupo.</w:t>
            </w:r>
          </w:p>
        </w:tc>
      </w:tr>
    </w:tbl>
    <w:p/>
    <w:p>
      <w:r>
        <w:br w:type="page"/>
      </w:r>
    </w:p>
    <w:p>
      <w:pPr>
        <w:pStyle w:val="Ttulo1"/>
      </w:pPr>
      <w:r>
        <w:rPr>
          <w:rFonts w:ascii="Calibri" w:hAnsi="Calibri"/>
          <w:b/>
          <w:color w:val="1F497D"/>
          <w:sz w:val="32"/>
        </w:rPr>
        <w:t>5. Paso 4 - Regla de inactividad de 12 meses</w:t>
      </w:r>
    </w:p>
    <w:p>
      <w:pPr>
        <w:spacing w:after="120"/>
        <w:jc w:val="both"/>
      </w:pPr>
      <w:r>
        <w:rPr>
          <w:rFonts w:ascii="Calibri" w:hAnsi="Calibri"/>
          <w:b w:val="0"/>
          <w:i w:val="0"/>
          <w:sz w:val="22"/>
        </w:rPr>
        <w:t>Esta es la regla más importante del proceso hacia adelante, porque es la única que debe volver a aplicarse cada vez que se cargue la base actualizada.</w:t>
      </w:r>
    </w:p>
    <w:p>
      <w:pPr>
        <w:pStyle w:val="Ttulo2"/>
      </w:pPr>
      <w:r>
        <w:rPr>
          <w:rFonts w:ascii="Calibri" w:hAnsi="Calibri"/>
          <w:b/>
          <w:color w:val="2E74B5"/>
          <w:sz w:val="26"/>
        </w:rPr>
        <w:t>5.1 Cómo se define</w:t>
      </w:r>
    </w:p>
    <w:p>
      <w:pPr>
        <w:spacing w:after="120"/>
        <w:jc w:val="both"/>
      </w:pPr>
      <w:r>
        <w:rPr>
          <w:rFonts w:ascii="Calibri" w:hAnsi="Calibri"/>
          <w:b w:val="0"/>
          <w:i w:val="0"/>
          <w:sz w:val="22"/>
        </w:rPr>
        <w:t>Para cada material se suman las unidades vendidas dentro de la ventana de los últimos 12 meses, contados hacia atrás desde el mes de corte. Si esa suma es cero, el material queda fuera.</w:t>
      </w:r>
    </w:p>
    <w:tbl>
      <w:tblPr>
        <w:tblW w:type="auto" w:w="0"/>
        <w:jc w:val="center"/>
        <w:tblLook w:firstColumn="1" w:firstRow="1" w:lastColumn="0" w:lastRow="0" w:noHBand="0" w:noVBand="1" w:val="04A0"/>
      </w:tblPr>
      <w:tblGrid>
        <w:gridCol w:w="9746"/>
      </w:tblGrid>
      <w:tr>
        <w:tc>
          <w:tcPr>
            <w:tcW w:type="dxa" w:w="9411"/>
            <w:shd w:val="clear" w:color="auto" w:fill="BDD7EE"/>
          </w:tcPr>
          <w:p>
            <w:pPr>
              <w:spacing w:before="40" w:after="40"/>
              <w:jc w:val="center"/>
            </w:pPr>
            <w:r/>
            <w:r>
              <w:rPr>
                <w:rFonts w:ascii="Calibri" w:hAnsi="Calibri"/>
                <w:b/>
                <w:i w:val="0"/>
                <w:sz w:val="24"/>
              </w:rPr>
              <w:t>Queda fuera si:  Unidades vendidas entre julio de 2025 y junio de 2026  =  0</w:t>
            </w:r>
          </w:p>
        </w:tc>
      </w:tr>
    </w:tbl>
    <w:p/>
    <w:p>
      <w:pPr>
        <w:spacing w:after="120"/>
        <w:jc w:val="both"/>
      </w:pPr>
      <w:r>
        <w:rPr>
          <w:rFonts w:ascii="Calibri" w:hAnsi="Calibri"/>
          <w:b w:val="0"/>
          <w:i w:val="0"/>
          <w:sz w:val="22"/>
        </w:rPr>
        <w:t>La ventana no es fija. Al cargar el mes siguiente, tanto el inicio como el fin se desplazan un mes, de modo que el conjunto de códigos inactivos se recalcula solo. Un material que hoy lleva 11 meses sin vender permanece; si el mes entrante tampoco vende, queda fuera.</w:t>
      </w:r>
    </w:p>
    <w:p>
      <w:pPr>
        <w:pStyle w:val="Ttulo2"/>
      </w:pPr>
      <w:r>
        <w:rPr>
          <w:rFonts w:ascii="Calibri" w:hAnsi="Calibri"/>
          <w:b/>
          <w:color w:val="2E74B5"/>
          <w:sz w:val="26"/>
        </w:rPr>
        <w:t>5.2 Ejemplo con materiales reales de la base</w:t>
      </w:r>
    </w:p>
    <w:tbl>
      <w:tblPr>
        <w:tblStyle w:val="Tablaconcuadrcula"/>
        <w:tblW w:type="auto" w:w="0"/>
        <w:jc w:val="center"/>
        <w:tblLook w:firstColumn="1" w:firstRow="1" w:lastColumn="0" w:lastRow="0" w:noHBand="0" w:noVBand="1" w:val="04A0"/>
      </w:tblPr>
      <w:tblGrid>
        <w:gridCol w:w="1949"/>
        <w:gridCol w:w="1949"/>
        <w:gridCol w:w="1949"/>
        <w:gridCol w:w="1949"/>
        <w:gridCol w:w="1949"/>
      </w:tblGrid>
      <w:tr>
        <w:tc>
          <w:tcPr>
            <w:tcW w:type="dxa" w:w="1928"/>
            <w:shd w:val="clear" w:color="auto" w:fill="1F497D"/>
          </w:tcPr>
          <w:p>
            <w:pPr>
              <w:spacing w:before="40" w:after="40"/>
              <w:jc w:val="center"/>
            </w:pPr>
            <w:r/>
            <w:r>
              <w:rPr>
                <w:rFonts w:ascii="Calibri" w:hAnsi="Calibri"/>
                <w:b/>
                <w:i w:val="0"/>
                <w:color w:val="FFFFFF"/>
                <w:sz w:val="19"/>
              </w:rPr>
              <w:t>Material</w:t>
            </w:r>
          </w:p>
        </w:tc>
        <w:tc>
          <w:tcPr>
            <w:tcW w:type="dxa" w:w="2494"/>
            <w:shd w:val="clear" w:color="auto" w:fill="1F497D"/>
          </w:tcPr>
          <w:p>
            <w:pPr>
              <w:spacing w:before="40" w:after="40"/>
              <w:jc w:val="center"/>
            </w:pPr>
            <w:r/>
            <w:r>
              <w:rPr>
                <w:rFonts w:ascii="Calibri" w:hAnsi="Calibri"/>
                <w:b/>
                <w:i w:val="0"/>
                <w:color w:val="FFFFFF"/>
                <w:sz w:val="19"/>
              </w:rPr>
              <w:t>Descripción</w:t>
            </w:r>
          </w:p>
        </w:tc>
        <w:tc>
          <w:tcPr>
            <w:tcW w:type="dxa" w:w="1814"/>
            <w:shd w:val="clear" w:color="auto" w:fill="1F497D"/>
          </w:tcPr>
          <w:p>
            <w:pPr>
              <w:spacing w:before="40" w:after="40"/>
              <w:jc w:val="center"/>
            </w:pPr>
            <w:r/>
            <w:r>
              <w:rPr>
                <w:rFonts w:ascii="Calibri" w:hAnsi="Calibri"/>
                <w:b/>
                <w:i w:val="0"/>
                <w:color w:val="FFFFFF"/>
                <w:sz w:val="19"/>
              </w:rPr>
              <w:t>Última venta</w:t>
            </w:r>
          </w:p>
        </w:tc>
        <w:tc>
          <w:tcPr>
            <w:tcW w:type="dxa" w:w="1701"/>
            <w:shd w:val="clear" w:color="auto" w:fill="1F497D"/>
          </w:tcPr>
          <w:p>
            <w:pPr>
              <w:spacing w:before="40" w:after="40"/>
              <w:jc w:val="center"/>
            </w:pPr>
            <w:r/>
            <w:r>
              <w:rPr>
                <w:rFonts w:ascii="Calibri" w:hAnsi="Calibri"/>
                <w:b/>
                <w:i w:val="0"/>
                <w:color w:val="FFFFFF"/>
                <w:sz w:val="19"/>
              </w:rPr>
              <w:t>Unidades en la ventana</w:t>
            </w:r>
          </w:p>
        </w:tc>
        <w:tc>
          <w:tcPr>
            <w:tcW w:type="dxa" w:w="1474"/>
            <w:shd w:val="clear" w:color="auto" w:fill="1F497D"/>
          </w:tcPr>
          <w:p>
            <w:pPr>
              <w:spacing w:before="40" w:after="40"/>
              <w:jc w:val="center"/>
            </w:pPr>
            <w:r/>
            <w:r>
              <w:rPr>
                <w:rFonts w:ascii="Calibri" w:hAnsi="Calibri"/>
                <w:b/>
                <w:i w:val="0"/>
                <w:color w:val="FFFFFF"/>
                <w:sz w:val="19"/>
              </w:rPr>
              <w:t>Resultado</w:t>
            </w:r>
          </w:p>
        </w:tc>
      </w:tr>
      <w:tr>
        <w:tc>
          <w:tcPr>
            <w:tcW w:type="dxa" w:w="1928"/>
          </w:tcPr>
          <w:p>
            <w:pPr>
              <w:spacing w:before="40" w:after="40"/>
              <w:jc w:val="left"/>
            </w:pPr>
            <w:r/>
            <w:r>
              <w:rPr>
                <w:rFonts w:ascii="Calibri" w:hAnsi="Calibri"/>
                <w:b w:val="0"/>
                <w:i w:val="0"/>
                <w:sz w:val="19"/>
              </w:rPr>
              <w:t>81830M81R02000</w:t>
            </w:r>
          </w:p>
        </w:tc>
        <w:tc>
          <w:tcPr>
            <w:tcW w:type="dxa" w:w="2494"/>
          </w:tcPr>
          <w:p>
            <w:pPr>
              <w:spacing w:before="40" w:after="40"/>
              <w:jc w:val="center"/>
            </w:pPr>
            <w:r/>
            <w:r>
              <w:rPr>
                <w:rFonts w:ascii="Calibri" w:hAnsi="Calibri"/>
                <w:b w:val="0"/>
                <w:i w:val="0"/>
                <w:sz w:val="19"/>
              </w:rPr>
              <w:t>LIMITADOR PUERTA TRAS</w:t>
            </w:r>
          </w:p>
        </w:tc>
        <w:tc>
          <w:tcPr>
            <w:tcW w:type="dxa" w:w="1814"/>
          </w:tcPr>
          <w:p>
            <w:pPr>
              <w:spacing w:before="40" w:after="40"/>
              <w:jc w:val="center"/>
            </w:pPr>
            <w:r/>
            <w:r>
              <w:rPr>
                <w:rFonts w:ascii="Calibri" w:hAnsi="Calibri"/>
                <w:b w:val="0"/>
                <w:i w:val="0"/>
                <w:sz w:val="19"/>
              </w:rPr>
              <w:t>junio de 2025</w:t>
            </w:r>
          </w:p>
        </w:tc>
        <w:tc>
          <w:tcPr>
            <w:tcW w:type="dxa" w:w="1701"/>
          </w:tcPr>
          <w:p>
            <w:pPr>
              <w:spacing w:before="40" w:after="40"/>
              <w:jc w:val="center"/>
            </w:pPr>
            <w:r/>
            <w:r>
              <w:rPr>
                <w:rFonts w:ascii="Calibri" w:hAnsi="Calibri"/>
                <w:b w:val="0"/>
                <w:i w:val="0"/>
                <w:sz w:val="19"/>
              </w:rPr>
              <w:t>0</w:t>
            </w:r>
          </w:p>
        </w:tc>
        <w:tc>
          <w:tcPr>
            <w:tcW w:type="dxa" w:w="1474"/>
          </w:tcPr>
          <w:p>
            <w:pPr>
              <w:spacing w:before="40" w:after="40"/>
              <w:jc w:val="center"/>
            </w:pPr>
            <w:r/>
            <w:r>
              <w:rPr>
                <w:rFonts w:ascii="Calibri" w:hAnsi="Calibri"/>
                <w:b w:val="0"/>
                <w:i w:val="0"/>
                <w:sz w:val="19"/>
              </w:rPr>
              <w:t>Se elimina</w:t>
            </w:r>
          </w:p>
        </w:tc>
      </w:tr>
      <w:tr>
        <w:tc>
          <w:tcPr>
            <w:tcW w:type="dxa" w:w="1928"/>
            <w:shd w:val="clear" w:color="auto" w:fill="F2F2F2"/>
          </w:tcPr>
          <w:p>
            <w:pPr>
              <w:spacing w:before="40" w:after="40"/>
              <w:jc w:val="left"/>
            </w:pPr>
            <w:r/>
            <w:r>
              <w:rPr>
                <w:rFonts w:ascii="Calibri" w:hAnsi="Calibri"/>
                <w:b w:val="0"/>
                <w:i w:val="0"/>
                <w:sz w:val="19"/>
              </w:rPr>
              <w:t>4815052R21BJC</w:t>
            </w:r>
          </w:p>
        </w:tc>
        <w:tc>
          <w:tcPr>
            <w:tcW w:type="dxa" w:w="2494"/>
            <w:shd w:val="clear" w:color="auto" w:fill="F2F2F2"/>
          </w:tcPr>
          <w:p>
            <w:pPr>
              <w:spacing w:before="40" w:after="40"/>
              <w:jc w:val="center"/>
            </w:pPr>
            <w:r/>
            <w:r>
              <w:rPr>
                <w:rFonts w:ascii="Calibri" w:hAnsi="Calibri"/>
                <w:b w:val="0"/>
                <w:i w:val="0"/>
                <w:sz w:val="19"/>
              </w:rPr>
              <w:t>AIRBAG CONDUCTOR</w:t>
            </w:r>
          </w:p>
        </w:tc>
        <w:tc>
          <w:tcPr>
            <w:tcW w:type="dxa" w:w="1814"/>
            <w:shd w:val="clear" w:color="auto" w:fill="F2F2F2"/>
          </w:tcPr>
          <w:p>
            <w:pPr>
              <w:spacing w:before="40" w:after="40"/>
              <w:jc w:val="center"/>
            </w:pPr>
            <w:r/>
            <w:r>
              <w:rPr>
                <w:rFonts w:ascii="Calibri" w:hAnsi="Calibri"/>
                <w:b w:val="0"/>
                <w:i w:val="0"/>
                <w:sz w:val="19"/>
              </w:rPr>
              <w:t>junio de 2025</w:t>
            </w:r>
          </w:p>
        </w:tc>
        <w:tc>
          <w:tcPr>
            <w:tcW w:type="dxa" w:w="1701"/>
            <w:shd w:val="clear" w:color="auto" w:fill="F2F2F2"/>
          </w:tcPr>
          <w:p>
            <w:pPr>
              <w:spacing w:before="40" w:after="40"/>
              <w:jc w:val="center"/>
            </w:pPr>
            <w:r/>
            <w:r>
              <w:rPr>
                <w:rFonts w:ascii="Calibri" w:hAnsi="Calibri"/>
                <w:b w:val="0"/>
                <w:i w:val="0"/>
                <w:sz w:val="19"/>
              </w:rPr>
              <w:t>0</w:t>
            </w:r>
          </w:p>
        </w:tc>
        <w:tc>
          <w:tcPr>
            <w:tcW w:type="dxa" w:w="1474"/>
            <w:shd w:val="clear" w:color="auto" w:fill="F2F2F2"/>
          </w:tcPr>
          <w:p>
            <w:pPr>
              <w:spacing w:before="40" w:after="40"/>
              <w:jc w:val="center"/>
            </w:pPr>
            <w:r/>
            <w:r>
              <w:rPr>
                <w:rFonts w:ascii="Calibri" w:hAnsi="Calibri"/>
                <w:b w:val="0"/>
                <w:i w:val="0"/>
                <w:sz w:val="19"/>
              </w:rPr>
              <w:t>Se elimina</w:t>
            </w:r>
          </w:p>
        </w:tc>
      </w:tr>
      <w:tr>
        <w:tc>
          <w:tcPr>
            <w:tcW w:type="dxa" w:w="1928"/>
          </w:tcPr>
          <w:p>
            <w:pPr>
              <w:spacing w:before="40" w:after="40"/>
              <w:jc w:val="left"/>
            </w:pPr>
            <w:r/>
            <w:r>
              <w:rPr>
                <w:rFonts w:ascii="Calibri" w:hAnsi="Calibri"/>
                <w:b w:val="0"/>
                <w:i w:val="0"/>
                <w:sz w:val="19"/>
              </w:rPr>
              <w:t>09409M07L01000</w:t>
            </w:r>
          </w:p>
        </w:tc>
        <w:tc>
          <w:tcPr>
            <w:tcW w:type="dxa" w:w="2494"/>
          </w:tcPr>
          <w:p>
            <w:pPr>
              <w:spacing w:before="40" w:after="40"/>
              <w:jc w:val="center"/>
            </w:pPr>
            <w:r/>
            <w:r>
              <w:rPr>
                <w:rFonts w:ascii="Calibri" w:hAnsi="Calibri"/>
                <w:b w:val="0"/>
                <w:i w:val="0"/>
                <w:sz w:val="19"/>
              </w:rPr>
              <w:t>CLIP MOLDURA</w:t>
            </w:r>
          </w:p>
        </w:tc>
        <w:tc>
          <w:tcPr>
            <w:tcW w:type="dxa" w:w="1814"/>
          </w:tcPr>
          <w:p>
            <w:pPr>
              <w:spacing w:before="40" w:after="40"/>
              <w:jc w:val="center"/>
            </w:pPr>
            <w:r/>
            <w:r>
              <w:rPr>
                <w:rFonts w:ascii="Calibri" w:hAnsi="Calibri"/>
                <w:b w:val="0"/>
                <w:i w:val="0"/>
                <w:sz w:val="19"/>
              </w:rPr>
              <w:t>junio de 2026</w:t>
            </w:r>
          </w:p>
        </w:tc>
        <w:tc>
          <w:tcPr>
            <w:tcW w:type="dxa" w:w="1701"/>
          </w:tcPr>
          <w:p>
            <w:pPr>
              <w:spacing w:before="40" w:after="40"/>
              <w:jc w:val="center"/>
            </w:pPr>
            <w:r/>
            <w:r>
              <w:rPr>
                <w:rFonts w:ascii="Calibri" w:hAnsi="Calibri"/>
                <w:b w:val="0"/>
                <w:i w:val="0"/>
                <w:sz w:val="19"/>
              </w:rPr>
              <w:t>4.634</w:t>
            </w:r>
          </w:p>
        </w:tc>
        <w:tc>
          <w:tcPr>
            <w:tcW w:type="dxa" w:w="1474"/>
          </w:tcPr>
          <w:p>
            <w:pPr>
              <w:spacing w:before="40" w:after="40"/>
              <w:jc w:val="center"/>
            </w:pPr>
            <w:r/>
            <w:r>
              <w:rPr>
                <w:rFonts w:ascii="Calibri" w:hAnsi="Calibri"/>
                <w:b w:val="0"/>
                <w:i w:val="0"/>
                <w:sz w:val="19"/>
              </w:rPr>
              <w:t>Se mantiene</w:t>
            </w:r>
          </w:p>
        </w:tc>
      </w:tr>
    </w:tbl>
    <w:p/>
    <w:p>
      <w:pPr>
        <w:pStyle w:val="Ttulo2"/>
      </w:pPr>
      <w:r>
        <w:rPr>
          <w:rFonts w:ascii="Calibri" w:hAnsi="Calibri"/>
          <w:b/>
          <w:color w:val="2E74B5"/>
          <w:sz w:val="26"/>
        </w:rPr>
        <w:t>5.3 Efecto sobre la base</w:t>
      </w:r>
    </w:p>
    <w:p>
      <w:pPr>
        <w:spacing w:after="120"/>
        <w:jc w:val="both"/>
      </w:pPr>
      <w:r>
        <w:rPr>
          <w:rFonts w:ascii="Calibri" w:hAnsi="Calibri"/>
          <w:b w:val="0"/>
          <w:i w:val="0"/>
          <w:sz w:val="22"/>
        </w:rPr>
        <w:t>De los 7.322 materiales de Suzuki Carrocería, 929 no registran venta dentro de la ventana, pese a haber vendido en algún momento del período. Quedan 6.393 códigos.</w:t>
      </w:r>
    </w:p>
    <w:tbl>
      <w:tblPr>
        <w:tblStyle w:val="Tablaconcuadrcula"/>
        <w:tblW w:type="auto" w:w="0"/>
        <w:jc w:val="center"/>
        <w:tblLook w:firstColumn="1" w:firstRow="1" w:lastColumn="0" w:lastRow="0" w:noHBand="0" w:noVBand="1" w:val="04A0"/>
      </w:tblPr>
      <w:tblGrid>
        <w:gridCol w:w="3249"/>
        <w:gridCol w:w="3249"/>
        <w:gridCol w:w="3249"/>
      </w:tblGrid>
      <w:tr>
        <w:tc>
          <w:tcPr>
            <w:tcW w:type="dxa" w:w="3402"/>
            <w:shd w:val="clear" w:color="auto" w:fill="1F497D"/>
          </w:tcPr>
          <w:p>
            <w:pPr>
              <w:spacing w:before="40" w:after="40"/>
              <w:jc w:val="center"/>
            </w:pPr>
            <w:r/>
            <w:r>
              <w:rPr>
                <w:rFonts w:ascii="Calibri" w:hAnsi="Calibri"/>
                <w:b/>
                <w:i w:val="0"/>
                <w:color w:val="FFFFFF"/>
                <w:sz w:val="19"/>
              </w:rPr>
              <w:t>Concepto</w:t>
            </w:r>
          </w:p>
        </w:tc>
        <w:tc>
          <w:tcPr>
            <w:tcW w:type="dxa" w:w="3005"/>
            <w:shd w:val="clear" w:color="auto" w:fill="1F497D"/>
          </w:tcPr>
          <w:p>
            <w:pPr>
              <w:spacing w:before="40" w:after="40"/>
              <w:jc w:val="center"/>
            </w:pPr>
            <w:r/>
            <w:r>
              <w:rPr>
                <w:rFonts w:ascii="Calibri" w:hAnsi="Calibri"/>
                <w:b/>
                <w:i w:val="0"/>
                <w:color w:val="FFFFFF"/>
                <w:sz w:val="19"/>
              </w:rPr>
              <w:t>Antes de la regla</w:t>
            </w:r>
          </w:p>
        </w:tc>
        <w:tc>
          <w:tcPr>
            <w:tcW w:type="dxa" w:w="3005"/>
            <w:shd w:val="clear" w:color="auto" w:fill="1F497D"/>
          </w:tcPr>
          <w:p>
            <w:pPr>
              <w:spacing w:before="40" w:after="40"/>
              <w:jc w:val="center"/>
            </w:pPr>
            <w:r/>
            <w:r>
              <w:rPr>
                <w:rFonts w:ascii="Calibri" w:hAnsi="Calibri"/>
                <w:b/>
                <w:i w:val="0"/>
                <w:color w:val="FFFFFF"/>
                <w:sz w:val="19"/>
              </w:rPr>
              <w:t>Después de la regla</w:t>
            </w:r>
          </w:p>
        </w:tc>
      </w:tr>
      <w:tr>
        <w:tc>
          <w:tcPr>
            <w:tcW w:type="dxa" w:w="3402"/>
          </w:tcPr>
          <w:p>
            <w:pPr>
              <w:spacing w:before="40" w:after="40"/>
              <w:jc w:val="left"/>
            </w:pPr>
            <w:r/>
            <w:r>
              <w:rPr>
                <w:rFonts w:ascii="Calibri" w:hAnsi="Calibri"/>
                <w:b w:val="0"/>
                <w:i w:val="0"/>
                <w:sz w:val="19"/>
              </w:rPr>
              <w:t>Materiales</w:t>
            </w:r>
          </w:p>
        </w:tc>
        <w:tc>
          <w:tcPr>
            <w:tcW w:type="dxa" w:w="3005"/>
          </w:tcPr>
          <w:p>
            <w:pPr>
              <w:spacing w:before="40" w:after="40"/>
              <w:jc w:val="center"/>
            </w:pPr>
            <w:r/>
            <w:r>
              <w:rPr>
                <w:rFonts w:ascii="Calibri" w:hAnsi="Calibri"/>
                <w:b w:val="0"/>
                <w:i w:val="0"/>
                <w:sz w:val="19"/>
              </w:rPr>
              <w:t>7.322</w:t>
            </w:r>
          </w:p>
        </w:tc>
        <w:tc>
          <w:tcPr>
            <w:tcW w:type="dxa" w:w="3005"/>
          </w:tcPr>
          <w:p>
            <w:pPr>
              <w:spacing w:before="40" w:after="40"/>
              <w:jc w:val="center"/>
            </w:pPr>
            <w:r/>
            <w:r>
              <w:rPr>
                <w:rFonts w:ascii="Calibri" w:hAnsi="Calibri"/>
                <w:b w:val="0"/>
                <w:i w:val="0"/>
                <w:sz w:val="19"/>
              </w:rPr>
              <w:t>6.393</w:t>
            </w:r>
          </w:p>
        </w:tc>
      </w:tr>
      <w:tr>
        <w:tc>
          <w:tcPr>
            <w:tcW w:type="dxa" w:w="3402"/>
            <w:shd w:val="clear" w:color="auto" w:fill="F2F2F2"/>
          </w:tcPr>
          <w:p>
            <w:pPr>
              <w:spacing w:before="40" w:after="40"/>
              <w:jc w:val="left"/>
            </w:pPr>
            <w:r/>
            <w:r>
              <w:rPr>
                <w:rFonts w:ascii="Calibri" w:hAnsi="Calibri"/>
                <w:b w:val="0"/>
                <w:i w:val="0"/>
                <w:sz w:val="19"/>
              </w:rPr>
              <w:t>Unidades del período</w:t>
            </w:r>
          </w:p>
        </w:tc>
        <w:tc>
          <w:tcPr>
            <w:tcW w:type="dxa" w:w="3005"/>
            <w:shd w:val="clear" w:color="auto" w:fill="F2F2F2"/>
          </w:tcPr>
          <w:p>
            <w:pPr>
              <w:spacing w:before="40" w:after="40"/>
              <w:jc w:val="center"/>
            </w:pPr>
            <w:r/>
            <w:r>
              <w:rPr>
                <w:rFonts w:ascii="Calibri" w:hAnsi="Calibri"/>
                <w:b w:val="0"/>
                <w:i w:val="0"/>
                <w:sz w:val="19"/>
              </w:rPr>
              <w:t>148.064</w:t>
            </w:r>
          </w:p>
        </w:tc>
        <w:tc>
          <w:tcPr>
            <w:tcW w:type="dxa" w:w="3005"/>
            <w:shd w:val="clear" w:color="auto" w:fill="F2F2F2"/>
          </w:tcPr>
          <w:p>
            <w:pPr>
              <w:spacing w:before="40" w:after="40"/>
              <w:jc w:val="center"/>
            </w:pPr>
            <w:r/>
            <w:r>
              <w:rPr>
                <w:rFonts w:ascii="Calibri" w:hAnsi="Calibri"/>
                <w:b w:val="0"/>
                <w:i w:val="0"/>
                <w:sz w:val="19"/>
              </w:rPr>
              <w:t>146.618</w:t>
            </w:r>
          </w:p>
        </w:tc>
      </w:tr>
      <w:tr>
        <w:tc>
          <w:tcPr>
            <w:tcW w:type="dxa" w:w="3402"/>
          </w:tcPr>
          <w:p>
            <w:pPr>
              <w:spacing w:before="40" w:after="40"/>
              <w:jc w:val="left"/>
            </w:pPr>
            <w:r/>
            <w:r>
              <w:rPr>
                <w:rFonts w:ascii="Calibri" w:hAnsi="Calibri"/>
                <w:b w:val="0"/>
                <w:i w:val="0"/>
                <w:sz w:val="19"/>
              </w:rPr>
              <w:t>Venta que se conserva</w:t>
            </w:r>
          </w:p>
        </w:tc>
        <w:tc>
          <w:tcPr>
            <w:tcW w:type="dxa" w:w="3005"/>
          </w:tcPr>
          <w:p>
            <w:pPr>
              <w:spacing w:before="40" w:after="40"/>
              <w:jc w:val="center"/>
            </w:pPr>
            <w:r/>
            <w:r>
              <w:rPr>
                <w:rFonts w:ascii="Calibri" w:hAnsi="Calibri"/>
                <w:b w:val="0"/>
                <w:i w:val="0"/>
                <w:sz w:val="19"/>
              </w:rPr>
              <w:t>100,0%</w:t>
            </w:r>
          </w:p>
        </w:tc>
        <w:tc>
          <w:tcPr>
            <w:tcW w:type="dxa" w:w="3005"/>
          </w:tcPr>
          <w:p>
            <w:pPr>
              <w:spacing w:before="40" w:after="40"/>
              <w:jc w:val="center"/>
            </w:pPr>
            <w:r/>
            <w:r>
              <w:rPr>
                <w:rFonts w:ascii="Calibri" w:hAnsi="Calibri"/>
                <w:b w:val="0"/>
                <w:i w:val="0"/>
                <w:sz w:val="19"/>
              </w:rPr>
              <w:t>99,0%</w:t>
            </w:r>
          </w:p>
        </w:tc>
      </w:tr>
    </w:tbl>
    <w:p/>
    <w:p>
      <w:pPr>
        <w:spacing w:after="120"/>
        <w:jc w:val="both"/>
      </w:pPr>
      <w:r>
        <w:rPr>
          <w:rFonts w:ascii="Calibri" w:hAnsi="Calibri"/>
          <w:b w:val="0"/>
          <w:i w:val="0"/>
          <w:sz w:val="22"/>
        </w:rPr>
        <w:t>El filtro elimina el 12,7% de los códigos y solo el 1,0% de las unidades. Esa diferencia es la que justifica la regla: lo que se descarta casi no mueve volumen.</w:t>
      </w:r>
    </w:p>
    <w:p/>
    <w:tbl>
      <w:tblPr>
        <w:tblW w:type="auto" w:w="0"/>
        <w:jc w:val="center"/>
        <w:tblLook w:firstColumn="1" w:firstRow="1" w:lastColumn="0" w:lastRow="0" w:noHBand="0" w:noVBand="1" w:val="04A0"/>
      </w:tblPr>
      <w:tblGrid>
        <w:gridCol w:w="9746"/>
      </w:tblGrid>
      <w:tr>
        <w:tc>
          <w:tcPr>
            <w:tcW w:type="dxa" w:w="9411"/>
            <w:shd w:val="clear" w:color="auto" w:fill="FFE699"/>
          </w:tcPr>
          <w:p>
            <w:pPr>
              <w:spacing w:before="40" w:after="40"/>
              <w:jc w:val="both"/>
            </w:pPr>
            <w:r/>
            <w:r>
              <w:rPr>
                <w:rFonts w:ascii="Calibri" w:hAnsi="Calibri"/>
                <w:b w:val="0"/>
                <w:i w:val="0"/>
                <w:color w:val="BF6000"/>
                <w:sz w:val="20"/>
              </w:rPr>
              <w:t>ADVERTENCIA: la regla no distingue un material descontinuado de uno que dejó de venderse por falta de stock. Si existe información de quiebres, conviene incorporarla antes de dar por definitiva la exclusión de un código.</w:t>
            </w:r>
          </w:p>
        </w:tc>
      </w:tr>
    </w:tbl>
    <w:p/>
    <w:p>
      <w:r>
        <w:br w:type="page"/>
      </w:r>
    </w:p>
    <w:p>
      <w:pPr>
        <w:pStyle w:val="Ttulo1"/>
      </w:pPr>
      <w:r>
        <w:rPr>
          <w:rFonts w:ascii="Calibri" w:hAnsi="Calibri"/>
          <w:b/>
          <w:color w:val="1F497D"/>
          <w:sz w:val="32"/>
        </w:rPr>
        <w:t>6. Resultado: la base de entrenamiento</w:t>
      </w:r>
    </w:p>
    <w:p>
      <w:pPr>
        <w:pStyle w:val="Ttulo2"/>
      </w:pPr>
      <w:r>
        <w:rPr>
          <w:rFonts w:ascii="Calibri" w:hAnsi="Calibri"/>
          <w:b/>
          <w:color w:val="2E74B5"/>
          <w:sz w:val="26"/>
        </w:rPr>
        <w:t>6.1 Trazabilidad del filtrado</w:t>
      </w:r>
    </w:p>
    <w:tbl>
      <w:tblPr>
        <w:tblStyle w:val="Tablaconcuadrcula"/>
        <w:tblW w:type="auto" w:w="0"/>
        <w:jc w:val="center"/>
        <w:tblLook w:firstColumn="1" w:firstRow="1" w:lastColumn="0" w:lastRow="0" w:noHBand="0" w:noVBand="1" w:val="04A0"/>
      </w:tblPr>
      <w:tblGrid>
        <w:gridCol w:w="1624"/>
        <w:gridCol w:w="1624"/>
        <w:gridCol w:w="1624"/>
        <w:gridCol w:w="1624"/>
        <w:gridCol w:w="1624"/>
        <w:gridCol w:w="1624"/>
      </w:tblGrid>
      <w:tr>
        <w:tc>
          <w:tcPr>
            <w:tcW w:type="dxa" w:w="794"/>
            <w:shd w:val="clear" w:color="auto" w:fill="1F497D"/>
          </w:tcPr>
          <w:p>
            <w:pPr>
              <w:spacing w:before="40" w:after="40"/>
              <w:jc w:val="center"/>
            </w:pPr>
            <w:r/>
            <w:r>
              <w:rPr>
                <w:rFonts w:ascii="Calibri" w:hAnsi="Calibri"/>
                <w:b/>
                <w:i w:val="0"/>
                <w:color w:val="FFFFFF"/>
                <w:sz w:val="19"/>
              </w:rPr>
              <w:t>Paso</w:t>
            </w:r>
          </w:p>
        </w:tc>
        <w:tc>
          <w:tcPr>
            <w:tcW w:type="dxa" w:w="3061"/>
            <w:shd w:val="clear" w:color="auto" w:fill="1F497D"/>
          </w:tcPr>
          <w:p>
            <w:pPr>
              <w:spacing w:before="40" w:after="40"/>
              <w:jc w:val="center"/>
            </w:pPr>
            <w:r/>
            <w:r>
              <w:rPr>
                <w:rFonts w:ascii="Calibri" w:hAnsi="Calibri"/>
                <w:b/>
                <w:i w:val="0"/>
                <w:color w:val="FFFFFF"/>
                <w:sz w:val="19"/>
              </w:rPr>
              <w:t>Regla</w:t>
            </w:r>
          </w:p>
        </w:tc>
        <w:tc>
          <w:tcPr>
            <w:tcW w:type="dxa" w:w="1361"/>
            <w:shd w:val="clear" w:color="auto" w:fill="1F497D"/>
          </w:tcPr>
          <w:p>
            <w:pPr>
              <w:spacing w:before="40" w:after="40"/>
              <w:jc w:val="center"/>
            </w:pPr>
            <w:r/>
            <w:r>
              <w:rPr>
                <w:rFonts w:ascii="Calibri" w:hAnsi="Calibri"/>
                <w:b/>
                <w:i w:val="0"/>
                <w:color w:val="FFFFFF"/>
                <w:sz w:val="19"/>
              </w:rPr>
              <w:t>Entran</w:t>
            </w:r>
          </w:p>
        </w:tc>
        <w:tc>
          <w:tcPr>
            <w:tcW w:type="dxa" w:w="1474"/>
            <w:shd w:val="clear" w:color="auto" w:fill="1F497D"/>
          </w:tcPr>
          <w:p>
            <w:pPr>
              <w:spacing w:before="40" w:after="40"/>
              <w:jc w:val="center"/>
            </w:pPr>
            <w:r/>
            <w:r>
              <w:rPr>
                <w:rFonts w:ascii="Calibri" w:hAnsi="Calibri"/>
                <w:b/>
                <w:i w:val="0"/>
                <w:color w:val="FFFFFF"/>
                <w:sz w:val="19"/>
              </w:rPr>
              <w:t>Se eliminan</w:t>
            </w:r>
          </w:p>
        </w:tc>
        <w:tc>
          <w:tcPr>
            <w:tcW w:type="dxa" w:w="1361"/>
            <w:shd w:val="clear" w:color="auto" w:fill="1F497D"/>
          </w:tcPr>
          <w:p>
            <w:pPr>
              <w:spacing w:before="40" w:after="40"/>
              <w:jc w:val="center"/>
            </w:pPr>
            <w:r/>
            <w:r>
              <w:rPr>
                <w:rFonts w:ascii="Calibri" w:hAnsi="Calibri"/>
                <w:b/>
                <w:i w:val="0"/>
                <w:color w:val="FFFFFF"/>
                <w:sz w:val="19"/>
              </w:rPr>
              <w:t>Quedan</w:t>
            </w:r>
          </w:p>
        </w:tc>
        <w:tc>
          <w:tcPr>
            <w:tcW w:type="dxa" w:w="1361"/>
            <w:shd w:val="clear" w:color="auto" w:fill="1F497D"/>
          </w:tcPr>
          <w:p>
            <w:pPr>
              <w:spacing w:before="40" w:after="40"/>
              <w:jc w:val="center"/>
            </w:pPr>
            <w:r/>
            <w:r>
              <w:rPr>
                <w:rFonts w:ascii="Calibri" w:hAnsi="Calibri"/>
                <w:b/>
                <w:i w:val="0"/>
                <w:color w:val="FFFFFF"/>
                <w:sz w:val="19"/>
              </w:rPr>
              <w:t>% que sobrevive</w:t>
            </w:r>
          </w:p>
        </w:tc>
      </w:tr>
      <w:tr>
        <w:tc>
          <w:tcPr>
            <w:tcW w:type="dxa" w:w="794"/>
          </w:tcPr>
          <w:p>
            <w:pPr>
              <w:spacing w:before="40" w:after="40"/>
              <w:jc w:val="left"/>
            </w:pPr>
            <w:r/>
            <w:r>
              <w:rPr>
                <w:rFonts w:ascii="Calibri" w:hAnsi="Calibri"/>
                <w:b w:val="0"/>
                <w:i w:val="0"/>
                <w:sz w:val="19"/>
              </w:rPr>
              <w:t>-</w:t>
            </w:r>
          </w:p>
        </w:tc>
        <w:tc>
          <w:tcPr>
            <w:tcW w:type="dxa" w:w="3061"/>
          </w:tcPr>
          <w:p>
            <w:pPr>
              <w:spacing w:before="40" w:after="40"/>
              <w:jc w:val="center"/>
            </w:pPr>
            <w:r/>
            <w:r>
              <w:rPr>
                <w:rFonts w:ascii="Calibri" w:hAnsi="Calibri"/>
                <w:b w:val="0"/>
                <w:i w:val="0"/>
                <w:sz w:val="19"/>
              </w:rPr>
              <w:t>Base original</w:t>
            </w:r>
          </w:p>
        </w:tc>
        <w:tc>
          <w:tcPr>
            <w:tcW w:type="dxa" w:w="1361"/>
          </w:tcPr>
          <w:p>
            <w:pPr>
              <w:spacing w:before="40" w:after="40"/>
              <w:jc w:val="center"/>
            </w:pPr>
            <w:r/>
            <w:r>
              <w:rPr>
                <w:rFonts w:ascii="Calibri" w:hAnsi="Calibri"/>
                <w:b w:val="0"/>
                <w:i w:val="0"/>
                <w:sz w:val="19"/>
              </w:rPr>
              <w:t>-</w:t>
            </w:r>
          </w:p>
        </w:tc>
        <w:tc>
          <w:tcPr>
            <w:tcW w:type="dxa" w:w="1474"/>
          </w:tcPr>
          <w:p>
            <w:pPr>
              <w:spacing w:before="40" w:after="40"/>
              <w:jc w:val="center"/>
            </w:pPr>
            <w:r/>
            <w:r>
              <w:rPr>
                <w:rFonts w:ascii="Calibri" w:hAnsi="Calibri"/>
                <w:b w:val="0"/>
                <w:i w:val="0"/>
                <w:sz w:val="19"/>
              </w:rPr>
              <w:t>-</w:t>
            </w:r>
          </w:p>
        </w:tc>
        <w:tc>
          <w:tcPr>
            <w:tcW w:type="dxa" w:w="1361"/>
          </w:tcPr>
          <w:p>
            <w:pPr>
              <w:spacing w:before="40" w:after="40"/>
              <w:jc w:val="center"/>
            </w:pPr>
            <w:r/>
            <w:r>
              <w:rPr>
                <w:rFonts w:ascii="Calibri" w:hAnsi="Calibri"/>
                <w:b w:val="0"/>
                <w:i w:val="0"/>
                <w:sz w:val="19"/>
              </w:rPr>
              <w:t>108.672</w:t>
            </w:r>
          </w:p>
        </w:tc>
        <w:tc>
          <w:tcPr>
            <w:tcW w:type="dxa" w:w="1361"/>
          </w:tcPr>
          <w:p>
            <w:pPr>
              <w:spacing w:before="40" w:after="40"/>
              <w:jc w:val="center"/>
            </w:pPr>
            <w:r/>
            <w:r>
              <w:rPr>
                <w:rFonts w:ascii="Calibri" w:hAnsi="Calibri"/>
                <w:b w:val="0"/>
                <w:i w:val="0"/>
                <w:sz w:val="19"/>
              </w:rPr>
              <w:t>100,00%</w:t>
            </w:r>
          </w:p>
        </w:tc>
      </w:tr>
      <w:tr>
        <w:tc>
          <w:tcPr>
            <w:tcW w:type="dxa" w:w="794"/>
            <w:shd w:val="clear" w:color="auto" w:fill="F2F2F2"/>
          </w:tcPr>
          <w:p>
            <w:pPr>
              <w:spacing w:before="40" w:after="40"/>
              <w:jc w:val="left"/>
            </w:pPr>
            <w:r/>
            <w:r>
              <w:rPr>
                <w:rFonts w:ascii="Calibri" w:hAnsi="Calibri"/>
                <w:b w:val="0"/>
                <w:i w:val="0"/>
                <w:sz w:val="19"/>
              </w:rPr>
              <w:t>1</w:t>
            </w:r>
          </w:p>
        </w:tc>
        <w:tc>
          <w:tcPr>
            <w:tcW w:type="dxa" w:w="3061"/>
            <w:shd w:val="clear" w:color="auto" w:fill="F2F2F2"/>
          </w:tcPr>
          <w:p>
            <w:pPr>
              <w:spacing w:before="40" w:after="40"/>
              <w:jc w:val="center"/>
            </w:pPr>
            <w:r/>
            <w:r>
              <w:rPr>
                <w:rFonts w:ascii="Calibri" w:hAnsi="Calibri"/>
                <w:b w:val="0"/>
                <w:i w:val="0"/>
                <w:sz w:val="19"/>
              </w:rPr>
              <w:t>Sin venta en 18 meses</w:t>
            </w:r>
          </w:p>
        </w:tc>
        <w:tc>
          <w:tcPr>
            <w:tcW w:type="dxa" w:w="1361"/>
            <w:shd w:val="clear" w:color="auto" w:fill="F2F2F2"/>
          </w:tcPr>
          <w:p>
            <w:pPr>
              <w:spacing w:before="40" w:after="40"/>
              <w:jc w:val="center"/>
            </w:pPr>
            <w:r/>
            <w:r>
              <w:rPr>
                <w:rFonts w:ascii="Calibri" w:hAnsi="Calibri"/>
                <w:b w:val="0"/>
                <w:i w:val="0"/>
                <w:sz w:val="19"/>
              </w:rPr>
              <w:t>108.672</w:t>
            </w:r>
          </w:p>
        </w:tc>
        <w:tc>
          <w:tcPr>
            <w:tcW w:type="dxa" w:w="1474"/>
            <w:shd w:val="clear" w:color="auto" w:fill="F2F2F2"/>
          </w:tcPr>
          <w:p>
            <w:pPr>
              <w:spacing w:before="40" w:after="40"/>
              <w:jc w:val="center"/>
            </w:pPr>
            <w:r/>
            <w:r>
              <w:rPr>
                <w:rFonts w:ascii="Calibri" w:hAnsi="Calibri"/>
                <w:b w:val="0"/>
                <w:i w:val="0"/>
                <w:sz w:val="19"/>
              </w:rPr>
              <w:t>63.157</w:t>
            </w:r>
          </w:p>
        </w:tc>
        <w:tc>
          <w:tcPr>
            <w:tcW w:type="dxa" w:w="1361"/>
            <w:shd w:val="clear" w:color="auto" w:fill="F2F2F2"/>
          </w:tcPr>
          <w:p>
            <w:pPr>
              <w:spacing w:before="40" w:after="40"/>
              <w:jc w:val="center"/>
            </w:pPr>
            <w:r/>
            <w:r>
              <w:rPr>
                <w:rFonts w:ascii="Calibri" w:hAnsi="Calibri"/>
                <w:b w:val="0"/>
                <w:i w:val="0"/>
                <w:sz w:val="19"/>
              </w:rPr>
              <w:t>45.515</w:t>
            </w:r>
          </w:p>
        </w:tc>
        <w:tc>
          <w:tcPr>
            <w:tcW w:type="dxa" w:w="1361"/>
            <w:shd w:val="clear" w:color="auto" w:fill="F2F2F2"/>
          </w:tcPr>
          <w:p>
            <w:pPr>
              <w:spacing w:before="40" w:after="40"/>
              <w:jc w:val="center"/>
            </w:pPr>
            <w:r/>
            <w:r>
              <w:rPr>
                <w:rFonts w:ascii="Calibri" w:hAnsi="Calibri"/>
                <w:b w:val="0"/>
                <w:i w:val="0"/>
                <w:sz w:val="19"/>
              </w:rPr>
              <w:t>41,9%</w:t>
            </w:r>
          </w:p>
        </w:tc>
      </w:tr>
      <w:tr>
        <w:tc>
          <w:tcPr>
            <w:tcW w:type="dxa" w:w="794"/>
          </w:tcPr>
          <w:p>
            <w:pPr>
              <w:spacing w:before="40" w:after="40"/>
              <w:jc w:val="left"/>
            </w:pPr>
            <w:r/>
            <w:r>
              <w:rPr>
                <w:rFonts w:ascii="Calibri" w:hAnsi="Calibri"/>
                <w:b w:val="0"/>
                <w:i w:val="0"/>
                <w:sz w:val="19"/>
              </w:rPr>
              <w:t>2</w:t>
            </w:r>
          </w:p>
        </w:tc>
        <w:tc>
          <w:tcPr>
            <w:tcW w:type="dxa" w:w="3061"/>
          </w:tcPr>
          <w:p>
            <w:pPr>
              <w:spacing w:before="40" w:after="40"/>
              <w:jc w:val="center"/>
            </w:pPr>
            <w:r/>
            <w:r>
              <w:rPr>
                <w:rFonts w:ascii="Calibri" w:hAnsi="Calibri"/>
                <w:b w:val="0"/>
                <w:i w:val="0"/>
                <w:sz w:val="19"/>
              </w:rPr>
              <w:t>Marca distinta de Suzuki</w:t>
            </w:r>
          </w:p>
        </w:tc>
        <w:tc>
          <w:tcPr>
            <w:tcW w:type="dxa" w:w="1361"/>
          </w:tcPr>
          <w:p>
            <w:pPr>
              <w:spacing w:before="40" w:after="40"/>
              <w:jc w:val="center"/>
            </w:pPr>
            <w:r/>
            <w:r>
              <w:rPr>
                <w:rFonts w:ascii="Calibri" w:hAnsi="Calibri"/>
                <w:b w:val="0"/>
                <w:i w:val="0"/>
                <w:sz w:val="19"/>
              </w:rPr>
              <w:t>45.515</w:t>
            </w:r>
          </w:p>
        </w:tc>
        <w:tc>
          <w:tcPr>
            <w:tcW w:type="dxa" w:w="1474"/>
          </w:tcPr>
          <w:p>
            <w:pPr>
              <w:spacing w:before="40" w:after="40"/>
              <w:jc w:val="center"/>
            </w:pPr>
            <w:r/>
            <w:r>
              <w:rPr>
                <w:rFonts w:ascii="Calibri" w:hAnsi="Calibri"/>
                <w:b w:val="0"/>
                <w:i w:val="0"/>
                <w:sz w:val="19"/>
              </w:rPr>
              <w:t>33.136</w:t>
            </w:r>
          </w:p>
        </w:tc>
        <w:tc>
          <w:tcPr>
            <w:tcW w:type="dxa" w:w="1361"/>
          </w:tcPr>
          <w:p>
            <w:pPr>
              <w:spacing w:before="40" w:after="40"/>
              <w:jc w:val="center"/>
            </w:pPr>
            <w:r/>
            <w:r>
              <w:rPr>
                <w:rFonts w:ascii="Calibri" w:hAnsi="Calibri"/>
                <w:b w:val="0"/>
                <w:i w:val="0"/>
                <w:sz w:val="19"/>
              </w:rPr>
              <w:t>12.379</w:t>
            </w:r>
          </w:p>
        </w:tc>
        <w:tc>
          <w:tcPr>
            <w:tcW w:type="dxa" w:w="1361"/>
          </w:tcPr>
          <w:p>
            <w:pPr>
              <w:spacing w:before="40" w:after="40"/>
              <w:jc w:val="center"/>
            </w:pPr>
            <w:r/>
            <w:r>
              <w:rPr>
                <w:rFonts w:ascii="Calibri" w:hAnsi="Calibri"/>
                <w:b w:val="0"/>
                <w:i w:val="0"/>
                <w:sz w:val="19"/>
              </w:rPr>
              <w:t>11,4%</w:t>
            </w:r>
          </w:p>
        </w:tc>
      </w:tr>
      <w:tr>
        <w:tc>
          <w:tcPr>
            <w:tcW w:type="dxa" w:w="794"/>
            <w:shd w:val="clear" w:color="auto" w:fill="F2F2F2"/>
          </w:tcPr>
          <w:p>
            <w:pPr>
              <w:spacing w:before="40" w:after="40"/>
              <w:jc w:val="left"/>
            </w:pPr>
            <w:r/>
            <w:r>
              <w:rPr>
                <w:rFonts w:ascii="Calibri" w:hAnsi="Calibri"/>
                <w:b w:val="0"/>
                <w:i w:val="0"/>
                <w:sz w:val="19"/>
              </w:rPr>
              <w:t>3</w:t>
            </w:r>
          </w:p>
        </w:tc>
        <w:tc>
          <w:tcPr>
            <w:tcW w:type="dxa" w:w="3061"/>
            <w:shd w:val="clear" w:color="auto" w:fill="F2F2F2"/>
          </w:tcPr>
          <w:p>
            <w:pPr>
              <w:spacing w:before="40" w:after="40"/>
              <w:jc w:val="center"/>
            </w:pPr>
            <w:r/>
            <w:r>
              <w:rPr>
                <w:rFonts w:ascii="Calibri" w:hAnsi="Calibri"/>
                <w:b w:val="0"/>
                <w:i w:val="0"/>
                <w:sz w:val="19"/>
              </w:rPr>
              <w:t>Familia distinta de Carrocería</w:t>
            </w:r>
          </w:p>
        </w:tc>
        <w:tc>
          <w:tcPr>
            <w:tcW w:type="dxa" w:w="1361"/>
            <w:shd w:val="clear" w:color="auto" w:fill="F2F2F2"/>
          </w:tcPr>
          <w:p>
            <w:pPr>
              <w:spacing w:before="40" w:after="40"/>
              <w:jc w:val="center"/>
            </w:pPr>
            <w:r/>
            <w:r>
              <w:rPr>
                <w:rFonts w:ascii="Calibri" w:hAnsi="Calibri"/>
                <w:b w:val="0"/>
                <w:i w:val="0"/>
                <w:sz w:val="19"/>
              </w:rPr>
              <w:t>12.379</w:t>
            </w:r>
          </w:p>
        </w:tc>
        <w:tc>
          <w:tcPr>
            <w:tcW w:type="dxa" w:w="1474"/>
            <w:shd w:val="clear" w:color="auto" w:fill="F2F2F2"/>
          </w:tcPr>
          <w:p>
            <w:pPr>
              <w:spacing w:before="40" w:after="40"/>
              <w:jc w:val="center"/>
            </w:pPr>
            <w:r/>
            <w:r>
              <w:rPr>
                <w:rFonts w:ascii="Calibri" w:hAnsi="Calibri"/>
                <w:b w:val="0"/>
                <w:i w:val="0"/>
                <w:sz w:val="19"/>
              </w:rPr>
              <w:t>5.057</w:t>
            </w:r>
          </w:p>
        </w:tc>
        <w:tc>
          <w:tcPr>
            <w:tcW w:type="dxa" w:w="1361"/>
            <w:shd w:val="clear" w:color="auto" w:fill="F2F2F2"/>
          </w:tcPr>
          <w:p>
            <w:pPr>
              <w:spacing w:before="40" w:after="40"/>
              <w:jc w:val="center"/>
            </w:pPr>
            <w:r/>
            <w:r>
              <w:rPr>
                <w:rFonts w:ascii="Calibri" w:hAnsi="Calibri"/>
                <w:b w:val="0"/>
                <w:i w:val="0"/>
                <w:sz w:val="19"/>
              </w:rPr>
              <w:t>7.322</w:t>
            </w:r>
          </w:p>
        </w:tc>
        <w:tc>
          <w:tcPr>
            <w:tcW w:type="dxa" w:w="1361"/>
            <w:shd w:val="clear" w:color="auto" w:fill="F2F2F2"/>
          </w:tcPr>
          <w:p>
            <w:pPr>
              <w:spacing w:before="40" w:after="40"/>
              <w:jc w:val="center"/>
            </w:pPr>
            <w:r/>
            <w:r>
              <w:rPr>
                <w:rFonts w:ascii="Calibri" w:hAnsi="Calibri"/>
                <w:b w:val="0"/>
                <w:i w:val="0"/>
                <w:sz w:val="19"/>
              </w:rPr>
              <w:t>6,7%</w:t>
            </w:r>
          </w:p>
        </w:tc>
      </w:tr>
      <w:tr>
        <w:tc>
          <w:tcPr>
            <w:tcW w:type="dxa" w:w="794"/>
          </w:tcPr>
          <w:p>
            <w:pPr>
              <w:spacing w:before="40" w:after="40"/>
              <w:jc w:val="left"/>
            </w:pPr>
            <w:r/>
            <w:r>
              <w:rPr>
                <w:rFonts w:ascii="Calibri" w:hAnsi="Calibri"/>
                <w:b w:val="0"/>
                <w:i w:val="0"/>
                <w:sz w:val="19"/>
              </w:rPr>
              <w:t>4</w:t>
            </w:r>
          </w:p>
        </w:tc>
        <w:tc>
          <w:tcPr>
            <w:tcW w:type="dxa" w:w="3061"/>
          </w:tcPr>
          <w:p>
            <w:pPr>
              <w:spacing w:before="40" w:after="40"/>
              <w:jc w:val="center"/>
            </w:pPr>
            <w:r/>
            <w:r>
              <w:rPr>
                <w:rFonts w:ascii="Calibri" w:hAnsi="Calibri"/>
                <w:b w:val="0"/>
                <w:i w:val="0"/>
                <w:sz w:val="19"/>
              </w:rPr>
              <w:t>Sin venta en 12 meses</w:t>
            </w:r>
          </w:p>
        </w:tc>
        <w:tc>
          <w:tcPr>
            <w:tcW w:type="dxa" w:w="1361"/>
          </w:tcPr>
          <w:p>
            <w:pPr>
              <w:spacing w:before="40" w:after="40"/>
              <w:jc w:val="center"/>
            </w:pPr>
            <w:r/>
            <w:r>
              <w:rPr>
                <w:rFonts w:ascii="Calibri" w:hAnsi="Calibri"/>
                <w:b w:val="0"/>
                <w:i w:val="0"/>
                <w:sz w:val="19"/>
              </w:rPr>
              <w:t>7.322</w:t>
            </w:r>
          </w:p>
        </w:tc>
        <w:tc>
          <w:tcPr>
            <w:tcW w:type="dxa" w:w="1474"/>
          </w:tcPr>
          <w:p>
            <w:pPr>
              <w:spacing w:before="40" w:after="40"/>
              <w:jc w:val="center"/>
            </w:pPr>
            <w:r/>
            <w:r>
              <w:rPr>
                <w:rFonts w:ascii="Calibri" w:hAnsi="Calibri"/>
                <w:b w:val="0"/>
                <w:i w:val="0"/>
                <w:sz w:val="19"/>
              </w:rPr>
              <w:t>929</w:t>
            </w:r>
          </w:p>
        </w:tc>
        <w:tc>
          <w:tcPr>
            <w:tcW w:type="dxa" w:w="1361"/>
          </w:tcPr>
          <w:p>
            <w:pPr>
              <w:spacing w:before="40" w:after="40"/>
              <w:jc w:val="center"/>
            </w:pPr>
            <w:r/>
            <w:r>
              <w:rPr>
                <w:rFonts w:ascii="Calibri" w:hAnsi="Calibri"/>
                <w:b w:val="0"/>
                <w:i w:val="0"/>
                <w:sz w:val="19"/>
              </w:rPr>
              <w:t>6.393</w:t>
            </w:r>
          </w:p>
        </w:tc>
        <w:tc>
          <w:tcPr>
            <w:tcW w:type="dxa" w:w="1361"/>
          </w:tcPr>
          <w:p>
            <w:pPr>
              <w:spacing w:before="40" w:after="40"/>
              <w:jc w:val="center"/>
            </w:pPr>
            <w:r/>
            <w:r>
              <w:rPr>
                <w:rFonts w:ascii="Calibri" w:hAnsi="Calibri"/>
                <w:b w:val="0"/>
                <w:i w:val="0"/>
                <w:sz w:val="19"/>
              </w:rPr>
              <w:t>5,9%</w:t>
            </w:r>
          </w:p>
        </w:tc>
      </w:tr>
    </w:tbl>
    <w:p/>
    <w:p>
      <w:pPr>
        <w:pStyle w:val="Ttulo2"/>
      </w:pPr>
      <w:r>
        <w:rPr>
          <w:rFonts w:ascii="Calibri" w:hAnsi="Calibri"/>
          <w:b/>
          <w:color w:val="2E74B5"/>
          <w:sz w:val="26"/>
        </w:rPr>
        <w:t>6.2 Características de la base final</w:t>
      </w:r>
    </w:p>
    <w:tbl>
      <w:tblPr>
        <w:tblStyle w:val="Tablaconcuadrcula"/>
        <w:tblW w:type="auto" w:w="0"/>
        <w:jc w:val="center"/>
        <w:tblLook w:firstColumn="1" w:firstRow="1" w:lastColumn="0" w:lastRow="0" w:noHBand="0" w:noVBand="1" w:val="04A0"/>
      </w:tblPr>
      <w:tblGrid>
        <w:gridCol w:w="4873"/>
        <w:gridCol w:w="4873"/>
      </w:tblGrid>
      <w:tr>
        <w:tc>
          <w:tcPr>
            <w:tcW w:type="dxa" w:w="3969"/>
            <w:shd w:val="clear" w:color="auto" w:fill="1F497D"/>
          </w:tcPr>
          <w:p>
            <w:pPr>
              <w:spacing w:before="40" w:after="40"/>
              <w:jc w:val="center"/>
            </w:pPr>
            <w:r/>
            <w:r>
              <w:rPr>
                <w:rFonts w:ascii="Calibri" w:hAnsi="Calibri"/>
                <w:b/>
                <w:i w:val="0"/>
                <w:color w:val="FFFFFF"/>
                <w:sz w:val="19"/>
              </w:rPr>
              <w:t>Característica</w:t>
            </w:r>
          </w:p>
        </w:tc>
        <w:tc>
          <w:tcPr>
            <w:tcW w:type="dxa" w:w="5443"/>
            <w:shd w:val="clear" w:color="auto" w:fill="1F497D"/>
          </w:tcPr>
          <w:p>
            <w:pPr>
              <w:spacing w:before="40" w:after="40"/>
              <w:jc w:val="center"/>
            </w:pPr>
            <w:r/>
            <w:r>
              <w:rPr>
                <w:rFonts w:ascii="Calibri" w:hAnsi="Calibri"/>
                <w:b/>
                <w:i w:val="0"/>
                <w:color w:val="FFFFFF"/>
                <w:sz w:val="19"/>
              </w:rPr>
              <w:t>Valor</w:t>
            </w:r>
          </w:p>
        </w:tc>
      </w:tr>
      <w:tr>
        <w:tc>
          <w:tcPr>
            <w:tcW w:type="dxa" w:w="3969"/>
          </w:tcPr>
          <w:p>
            <w:pPr>
              <w:spacing w:before="40" w:after="40"/>
              <w:jc w:val="left"/>
            </w:pPr>
            <w:r/>
            <w:r>
              <w:rPr>
                <w:rFonts w:ascii="Calibri" w:hAnsi="Calibri"/>
                <w:b w:val="0"/>
                <w:i w:val="0"/>
                <w:sz w:val="19"/>
              </w:rPr>
              <w:t>Archivo</w:t>
            </w:r>
          </w:p>
        </w:tc>
        <w:tc>
          <w:tcPr>
            <w:tcW w:type="dxa" w:w="5443"/>
          </w:tcPr>
          <w:p>
            <w:pPr>
              <w:spacing w:before="40" w:after="40"/>
              <w:jc w:val="center"/>
            </w:pPr>
            <w:r/>
            <w:r>
              <w:rPr>
                <w:rFonts w:ascii="Calibri" w:hAnsi="Calibri"/>
                <w:b w:val="0"/>
                <w:i w:val="0"/>
                <w:sz w:val="19"/>
              </w:rPr>
              <w:t>03_Suzuki_CARROCERIA_Activos_12m.xlsx</w:t>
            </w:r>
          </w:p>
        </w:tc>
      </w:tr>
      <w:tr>
        <w:tc>
          <w:tcPr>
            <w:tcW w:type="dxa" w:w="3969"/>
            <w:shd w:val="clear" w:color="auto" w:fill="F2F2F2"/>
          </w:tcPr>
          <w:p>
            <w:pPr>
              <w:spacing w:before="40" w:after="40"/>
              <w:jc w:val="left"/>
            </w:pPr>
            <w:r/>
            <w:r>
              <w:rPr>
                <w:rFonts w:ascii="Calibri" w:hAnsi="Calibri"/>
                <w:b w:val="0"/>
                <w:i w:val="0"/>
                <w:sz w:val="19"/>
              </w:rPr>
              <w:t>Marca y familia</w:t>
            </w:r>
          </w:p>
        </w:tc>
        <w:tc>
          <w:tcPr>
            <w:tcW w:type="dxa" w:w="5443"/>
            <w:shd w:val="clear" w:color="auto" w:fill="F2F2F2"/>
          </w:tcPr>
          <w:p>
            <w:pPr>
              <w:spacing w:before="40" w:after="40"/>
              <w:jc w:val="center"/>
            </w:pPr>
            <w:r/>
            <w:r>
              <w:rPr>
                <w:rFonts w:ascii="Calibri" w:hAnsi="Calibri"/>
                <w:b w:val="0"/>
                <w:i w:val="0"/>
                <w:sz w:val="19"/>
              </w:rPr>
              <w:t>Suzuki · Carrocería</w:t>
            </w:r>
          </w:p>
        </w:tc>
      </w:tr>
      <w:tr>
        <w:tc>
          <w:tcPr>
            <w:tcW w:type="dxa" w:w="3969"/>
          </w:tcPr>
          <w:p>
            <w:pPr>
              <w:spacing w:before="40" w:after="40"/>
              <w:jc w:val="left"/>
            </w:pPr>
            <w:r/>
            <w:r>
              <w:rPr>
                <w:rFonts w:ascii="Calibri" w:hAnsi="Calibri"/>
                <w:b w:val="0"/>
                <w:i w:val="0"/>
                <w:sz w:val="19"/>
              </w:rPr>
              <w:t>Materiales</w:t>
            </w:r>
          </w:p>
        </w:tc>
        <w:tc>
          <w:tcPr>
            <w:tcW w:type="dxa" w:w="5443"/>
          </w:tcPr>
          <w:p>
            <w:pPr>
              <w:spacing w:before="40" w:after="40"/>
              <w:jc w:val="center"/>
            </w:pPr>
            <w:r/>
            <w:r>
              <w:rPr>
                <w:rFonts w:ascii="Calibri" w:hAnsi="Calibri"/>
                <w:b w:val="0"/>
                <w:i w:val="0"/>
                <w:sz w:val="19"/>
              </w:rPr>
              <w:t>6.393</w:t>
            </w:r>
          </w:p>
        </w:tc>
      </w:tr>
      <w:tr>
        <w:tc>
          <w:tcPr>
            <w:tcW w:type="dxa" w:w="3969"/>
            <w:shd w:val="clear" w:color="auto" w:fill="F2F2F2"/>
          </w:tcPr>
          <w:p>
            <w:pPr>
              <w:spacing w:before="40" w:after="40"/>
              <w:jc w:val="left"/>
            </w:pPr>
            <w:r/>
            <w:r>
              <w:rPr>
                <w:rFonts w:ascii="Calibri" w:hAnsi="Calibri"/>
                <w:b w:val="0"/>
                <w:i w:val="0"/>
                <w:sz w:val="19"/>
              </w:rPr>
              <w:t>Período</w:t>
            </w:r>
          </w:p>
        </w:tc>
        <w:tc>
          <w:tcPr>
            <w:tcW w:type="dxa" w:w="5443"/>
            <w:shd w:val="clear" w:color="auto" w:fill="F2F2F2"/>
          </w:tcPr>
          <w:p>
            <w:pPr>
              <w:spacing w:before="40" w:after="40"/>
              <w:jc w:val="center"/>
            </w:pPr>
            <w:r/>
            <w:r>
              <w:rPr>
                <w:rFonts w:ascii="Calibri" w:hAnsi="Calibri"/>
                <w:b w:val="0"/>
                <w:i w:val="0"/>
                <w:sz w:val="19"/>
              </w:rPr>
              <w:t>enero de 2025 a junio de 2026 (18 meses)</w:t>
            </w:r>
          </w:p>
        </w:tc>
      </w:tr>
      <w:tr>
        <w:tc>
          <w:tcPr>
            <w:tcW w:type="dxa" w:w="3969"/>
          </w:tcPr>
          <w:p>
            <w:pPr>
              <w:spacing w:before="40" w:after="40"/>
              <w:jc w:val="left"/>
            </w:pPr>
            <w:r/>
            <w:r>
              <w:rPr>
                <w:rFonts w:ascii="Calibri" w:hAnsi="Calibri"/>
                <w:b w:val="0"/>
                <w:i w:val="0"/>
                <w:sz w:val="19"/>
              </w:rPr>
              <w:t>Observaciones (material por mes)</w:t>
            </w:r>
          </w:p>
        </w:tc>
        <w:tc>
          <w:tcPr>
            <w:tcW w:type="dxa" w:w="5443"/>
          </w:tcPr>
          <w:p>
            <w:pPr>
              <w:spacing w:before="40" w:after="40"/>
              <w:jc w:val="center"/>
            </w:pPr>
            <w:r/>
            <w:r>
              <w:rPr>
                <w:rFonts w:ascii="Calibri" w:hAnsi="Calibri"/>
                <w:b w:val="0"/>
                <w:i w:val="0"/>
                <w:sz w:val="19"/>
              </w:rPr>
              <w:t>115.074</w:t>
            </w:r>
          </w:p>
        </w:tc>
      </w:tr>
      <w:tr>
        <w:tc>
          <w:tcPr>
            <w:tcW w:type="dxa" w:w="3969"/>
            <w:shd w:val="clear" w:color="auto" w:fill="F2F2F2"/>
          </w:tcPr>
          <w:p>
            <w:pPr>
              <w:spacing w:before="40" w:after="40"/>
              <w:jc w:val="left"/>
            </w:pPr>
            <w:r/>
            <w:r>
              <w:rPr>
                <w:rFonts w:ascii="Calibri" w:hAnsi="Calibri"/>
                <w:b w:val="0"/>
                <w:i w:val="0"/>
                <w:sz w:val="19"/>
              </w:rPr>
              <w:t>Unidades vendidas</w:t>
            </w:r>
          </w:p>
        </w:tc>
        <w:tc>
          <w:tcPr>
            <w:tcW w:type="dxa" w:w="5443"/>
            <w:shd w:val="clear" w:color="auto" w:fill="F2F2F2"/>
          </w:tcPr>
          <w:p>
            <w:pPr>
              <w:spacing w:before="40" w:after="40"/>
              <w:jc w:val="center"/>
            </w:pPr>
            <w:r/>
            <w:r>
              <w:rPr>
                <w:rFonts w:ascii="Calibri" w:hAnsi="Calibri"/>
                <w:b w:val="0"/>
                <w:i w:val="0"/>
                <w:sz w:val="19"/>
              </w:rPr>
              <w:t>146.618</w:t>
            </w:r>
          </w:p>
        </w:tc>
      </w:tr>
      <w:tr>
        <w:tc>
          <w:tcPr>
            <w:tcW w:type="dxa" w:w="3969"/>
          </w:tcPr>
          <w:p>
            <w:pPr>
              <w:spacing w:before="40" w:after="40"/>
              <w:jc w:val="left"/>
            </w:pPr>
            <w:r/>
            <w:r>
              <w:rPr>
                <w:rFonts w:ascii="Calibri" w:hAnsi="Calibri"/>
                <w:b w:val="0"/>
                <w:i w:val="0"/>
                <w:sz w:val="19"/>
              </w:rPr>
              <w:t>Celdas en cero</w:t>
            </w:r>
          </w:p>
        </w:tc>
        <w:tc>
          <w:tcPr>
            <w:tcW w:type="dxa" w:w="5443"/>
          </w:tcPr>
          <w:p>
            <w:pPr>
              <w:spacing w:before="40" w:after="40"/>
              <w:jc w:val="center"/>
            </w:pPr>
            <w:r/>
            <w:r>
              <w:rPr>
                <w:rFonts w:ascii="Calibri" w:hAnsi="Calibri"/>
                <w:b w:val="0"/>
                <w:i w:val="0"/>
                <w:sz w:val="19"/>
              </w:rPr>
              <w:t>64,2%</w:t>
            </w:r>
          </w:p>
        </w:tc>
      </w:tr>
      <w:tr>
        <w:tc>
          <w:tcPr>
            <w:tcW w:type="dxa" w:w="3969"/>
            <w:shd w:val="clear" w:color="auto" w:fill="F2F2F2"/>
          </w:tcPr>
          <w:p>
            <w:pPr>
              <w:spacing w:before="40" w:after="40"/>
              <w:jc w:val="left"/>
            </w:pPr>
            <w:r/>
            <w:r>
              <w:rPr>
                <w:rFonts w:ascii="Calibri" w:hAnsi="Calibri"/>
                <w:b w:val="0"/>
                <w:i w:val="0"/>
                <w:sz w:val="19"/>
              </w:rPr>
              <w:t>Meses con venta por material</w:t>
            </w:r>
          </w:p>
        </w:tc>
        <w:tc>
          <w:tcPr>
            <w:tcW w:type="dxa" w:w="5443"/>
            <w:shd w:val="clear" w:color="auto" w:fill="F2F2F2"/>
          </w:tcPr>
          <w:p>
            <w:pPr>
              <w:spacing w:before="40" w:after="40"/>
              <w:jc w:val="center"/>
            </w:pPr>
            <w:r/>
            <w:r>
              <w:rPr>
                <w:rFonts w:ascii="Calibri" w:hAnsi="Calibri"/>
                <w:b w:val="0"/>
                <w:i w:val="0"/>
                <w:sz w:val="19"/>
              </w:rPr>
              <w:t>6.4 en promedio</w:t>
            </w:r>
          </w:p>
        </w:tc>
      </w:tr>
    </w:tbl>
    <w:p/>
    <w:p>
      <w:pPr>
        <w:spacing w:after="120"/>
        <w:jc w:val="both"/>
      </w:pPr>
      <w:r>
        <w:rPr>
          <w:rFonts w:ascii="Calibri" w:hAnsi="Calibri"/>
          <w:b w:val="0"/>
          <w:i w:val="0"/>
          <w:sz w:val="22"/>
        </w:rPr>
        <w:t>La comparación con el punto de partida muestra el efecto de la depuración: la base pasa de 89,1% a 64,2% de celdas en cero. Sigue siendo una base con muchos meses sin venta, que es propio del negocio de repuestos, pero ya no está dominada por series completamente vacías.</w:t>
      </w:r>
    </w:p>
    <w:p/>
    <w:tbl>
      <w:tblPr>
        <w:tblW w:type="auto" w:w="0"/>
        <w:jc w:val="center"/>
        <w:tblLook w:firstColumn="1" w:firstRow="1" w:lastColumn="0" w:lastRow="0" w:noHBand="0" w:noVBand="1" w:val="04A0"/>
      </w:tblPr>
      <w:tblGrid>
        <w:gridCol w:w="9746"/>
      </w:tblGrid>
      <w:tr>
        <w:tc>
          <w:tcPr>
            <w:tcW w:type="dxa" w:w="9411"/>
            <w:shd w:val="clear" w:color="auto" w:fill="E2EFDA"/>
          </w:tcPr>
          <w:p>
            <w:pPr>
              <w:spacing w:before="40" w:after="40"/>
              <w:jc w:val="both"/>
            </w:pPr>
            <w:r/>
            <w:r>
              <w:rPr>
                <w:rFonts w:ascii="Calibri" w:hAnsi="Calibri"/>
                <w:b w:val="0"/>
                <w:i w:val="0"/>
                <w:color w:val="378610"/>
                <w:sz w:val="20"/>
              </w:rPr>
              <w:t>EN RESUMEN: se pasa de 108.672 materiales a 6.393, es decir el 5,9% del catálogo original. La reducción es grande, pero lo que se elimina son códigos sin venta reciente, que no aportan información al modelo y sí distorsionan su aprendizaje.</w:t>
            </w:r>
          </w:p>
        </w:tc>
      </w:tr>
    </w:tbl>
    <w:p/>
    <w:p>
      <w:r>
        <w:br w:type="page"/>
      </w:r>
    </w:p>
    <w:p>
      <w:pPr>
        <w:pStyle w:val="Ttulo1"/>
      </w:pPr>
      <w:r>
        <w:rPr>
          <w:rFonts w:ascii="Calibri" w:hAnsi="Calibri"/>
          <w:b/>
          <w:color w:val="1F497D"/>
          <w:sz w:val="32"/>
        </w:rPr>
        <w:t>7. Reutilización y fase siguiente</w:t>
      </w:r>
    </w:p>
    <w:p>
      <w:pPr>
        <w:pStyle w:val="Ttulo2"/>
      </w:pPr>
      <w:r>
        <w:rPr>
          <w:rFonts w:ascii="Calibri" w:hAnsi="Calibri"/>
          <w:b/>
          <w:color w:val="2E74B5"/>
          <w:sz w:val="26"/>
        </w:rPr>
        <w:t>7.1 Carga mensual</w:t>
      </w:r>
    </w:p>
    <w:p>
      <w:pPr>
        <w:spacing w:after="120"/>
        <w:jc w:val="both"/>
      </w:pPr>
      <w:r>
        <w:rPr>
          <w:rFonts w:ascii="Calibri" w:hAnsi="Calibri"/>
          <w:b w:val="0"/>
          <w:i w:val="0"/>
          <w:sz w:val="22"/>
        </w:rPr>
        <w:t>Cuando llegue la base actualizada no hay que modificar nada. El proceso detecta las columnas de mes por su nombre, toma como fecha de corte el último mes disponible y recalcula la ventana de inactividad. Basta con ejecutar el proceso completo.</w:t>
      </w:r>
    </w:p>
    <w:p>
      <w:pPr>
        <w:pStyle w:val="Ttulo2"/>
      </w:pPr>
      <w:r>
        <w:rPr>
          <w:rFonts w:ascii="Calibri" w:hAnsi="Calibri"/>
          <w:b/>
          <w:color w:val="2E74B5"/>
          <w:sz w:val="26"/>
        </w:rPr>
        <w:t>7.2 Ampliar a otras familias y marcas</w:t>
      </w:r>
    </w:p>
    <w:p>
      <w:pPr>
        <w:spacing w:after="120"/>
        <w:jc w:val="both"/>
      </w:pPr>
      <w:r>
        <w:rPr>
          <w:rFonts w:ascii="Calibri" w:hAnsi="Calibri"/>
          <w:b w:val="0"/>
          <w:i w:val="0"/>
          <w:sz w:val="22"/>
        </w:rPr>
        <w:t>La selección de marca y familia está en la configuración inicial del proceso. Cambiar el alcance no requiere modificar la lógica:</w:t>
      </w:r>
    </w:p>
    <w:tbl>
      <w:tblPr>
        <w:tblStyle w:val="Tablaconcuadrcula"/>
        <w:tblW w:type="auto" w:w="0"/>
        <w:jc w:val="center"/>
        <w:tblLook w:firstColumn="1" w:firstRow="1" w:lastColumn="0" w:lastRow="0" w:noHBand="0" w:noVBand="1" w:val="04A0"/>
      </w:tblPr>
      <w:tblGrid>
        <w:gridCol w:w="4873"/>
        <w:gridCol w:w="4873"/>
      </w:tblGrid>
      <w:tr>
        <w:tc>
          <w:tcPr>
            <w:tcW w:type="dxa" w:w="3402"/>
            <w:shd w:val="clear" w:color="auto" w:fill="1F497D"/>
          </w:tcPr>
          <w:p>
            <w:pPr>
              <w:spacing w:before="40" w:after="40"/>
              <w:jc w:val="center"/>
            </w:pPr>
            <w:r/>
            <w:r>
              <w:rPr>
                <w:rFonts w:ascii="Calibri" w:hAnsi="Calibri"/>
                <w:b/>
                <w:i w:val="0"/>
                <w:color w:val="FFFFFF"/>
                <w:sz w:val="19"/>
              </w:rPr>
              <w:t>Para trabajar con</w:t>
            </w:r>
          </w:p>
        </w:tc>
        <w:tc>
          <w:tcPr>
            <w:tcW w:type="dxa" w:w="6009"/>
            <w:shd w:val="clear" w:color="auto" w:fill="1F497D"/>
          </w:tcPr>
          <w:p>
            <w:pPr>
              <w:spacing w:before="40" w:after="40"/>
              <w:jc w:val="center"/>
            </w:pPr>
            <w:r/>
            <w:r>
              <w:rPr>
                <w:rFonts w:ascii="Calibri" w:hAnsi="Calibri"/>
                <w:b/>
                <w:i w:val="0"/>
                <w:color w:val="FFFFFF"/>
                <w:sz w:val="19"/>
              </w:rPr>
              <w:t>Qué se modifica</w:t>
            </w:r>
          </w:p>
        </w:tc>
      </w:tr>
      <w:tr>
        <w:tc>
          <w:tcPr>
            <w:tcW w:type="dxa" w:w="3402"/>
          </w:tcPr>
          <w:p>
            <w:pPr>
              <w:spacing w:before="40" w:after="40"/>
              <w:jc w:val="left"/>
            </w:pPr>
            <w:r/>
            <w:r>
              <w:rPr>
                <w:rFonts w:ascii="Calibri" w:hAnsi="Calibri"/>
                <w:b w:val="0"/>
                <w:i w:val="0"/>
                <w:sz w:val="19"/>
              </w:rPr>
              <w:t>Otra familia de Suzuki</w:t>
            </w:r>
          </w:p>
        </w:tc>
        <w:tc>
          <w:tcPr>
            <w:tcW w:type="dxa" w:w="6009"/>
          </w:tcPr>
          <w:p>
            <w:pPr>
              <w:spacing w:before="40" w:after="40"/>
              <w:jc w:val="left"/>
            </w:pPr>
            <w:r/>
            <w:r>
              <w:rPr>
                <w:rFonts w:ascii="Calibri" w:hAnsi="Calibri"/>
                <w:b w:val="0"/>
                <w:i w:val="0"/>
                <w:sz w:val="19"/>
              </w:rPr>
              <w:t>Se cambia la familia en la configuración</w:t>
            </w:r>
          </w:p>
        </w:tc>
      </w:tr>
      <w:tr>
        <w:tc>
          <w:tcPr>
            <w:tcW w:type="dxa" w:w="3402"/>
            <w:shd w:val="clear" w:color="auto" w:fill="F2F2F2"/>
          </w:tcPr>
          <w:p>
            <w:pPr>
              <w:spacing w:before="40" w:after="40"/>
              <w:jc w:val="left"/>
            </w:pPr>
            <w:r/>
            <w:r>
              <w:rPr>
                <w:rFonts w:ascii="Calibri" w:hAnsi="Calibri"/>
                <w:b w:val="0"/>
                <w:i w:val="0"/>
                <w:sz w:val="19"/>
              </w:rPr>
              <w:t>Otra marca</w:t>
            </w:r>
          </w:p>
        </w:tc>
        <w:tc>
          <w:tcPr>
            <w:tcW w:type="dxa" w:w="6009"/>
            <w:shd w:val="clear" w:color="auto" w:fill="F2F2F2"/>
          </w:tcPr>
          <w:p>
            <w:pPr>
              <w:spacing w:before="40" w:after="40"/>
              <w:jc w:val="left"/>
            </w:pPr>
            <w:r/>
            <w:r>
              <w:rPr>
                <w:rFonts w:ascii="Calibri" w:hAnsi="Calibri"/>
                <w:b w:val="0"/>
                <w:i w:val="0"/>
                <w:sz w:val="19"/>
              </w:rPr>
              <w:t>Se cambia la marca y se vuelve a revisar el gráfico de familias</w:t>
            </w:r>
          </w:p>
        </w:tc>
      </w:tr>
      <w:tr>
        <w:tc>
          <w:tcPr>
            <w:tcW w:type="dxa" w:w="3402"/>
          </w:tcPr>
          <w:p>
            <w:pPr>
              <w:spacing w:before="40" w:after="40"/>
              <w:jc w:val="left"/>
            </w:pPr>
            <w:r/>
            <w:r>
              <w:rPr>
                <w:rFonts w:ascii="Calibri" w:hAnsi="Calibri"/>
                <w:b w:val="0"/>
                <w:i w:val="0"/>
                <w:sz w:val="19"/>
              </w:rPr>
              <w:t>El catálogo activo completo</w:t>
            </w:r>
          </w:p>
        </w:tc>
        <w:tc>
          <w:tcPr>
            <w:tcW w:type="dxa" w:w="6009"/>
          </w:tcPr>
          <w:p>
            <w:pPr>
              <w:spacing w:before="40" w:after="40"/>
              <w:jc w:val="left"/>
            </w:pPr>
            <w:r/>
            <w:r>
              <w:rPr>
                <w:rFonts w:ascii="Calibri" w:hAnsi="Calibri"/>
                <w:b w:val="0"/>
                <w:i w:val="0"/>
                <w:sz w:val="19"/>
              </w:rPr>
              <w:t>Se dejan marca y familia sin especificar</w:t>
            </w:r>
          </w:p>
        </w:tc>
      </w:tr>
    </w:tbl>
    <w:p/>
    <w:p>
      <w:pPr>
        <w:spacing w:after="120"/>
        <w:jc w:val="both"/>
      </w:pPr>
      <w:r>
        <w:rPr>
          <w:rFonts w:ascii="Calibri" w:hAnsi="Calibri"/>
          <w:b w:val="0"/>
          <w:i w:val="0"/>
          <w:sz w:val="22"/>
        </w:rPr>
        <w:t>Los nombres de los archivos de salida se construyen con esos valores, de modo que las distintas corridas no se sobrescriben entre sí.</w:t>
      </w:r>
    </w:p>
    <w:p>
      <w:pPr>
        <w:pStyle w:val="Ttulo2"/>
      </w:pPr>
      <w:r>
        <w:rPr>
          <w:rFonts w:ascii="Calibri" w:hAnsi="Calibri"/>
          <w:b/>
          <w:color w:val="2E74B5"/>
          <w:sz w:val="26"/>
        </w:rPr>
        <w:t>7.3 Qué falta antes de entrenar</w:t>
      </w:r>
    </w:p>
    <w:p>
      <w:pPr>
        <w:pStyle w:val="Listaconvietas"/>
        <w:spacing w:after="60"/>
      </w:pPr>
      <w:r>
        <w:rPr>
          <w:rFonts w:ascii="Calibri" w:hAnsi="Calibri"/>
          <w:b/>
          <w:sz w:val="22"/>
        </w:rPr>
        <w:t xml:space="preserve">Variables predictoras: </w:t>
      </w:r>
      <w:r>
        <w:rPr>
          <w:rFonts w:ascii="Calibri" w:hAnsi="Calibri"/>
          <w:sz w:val="22"/>
        </w:rPr>
        <w:t>la base contiene la venta mensual. Falta construir rezagos, medias móviles, tendencia, variables de calendario y los atributos del material.</w:t>
      </w:r>
    </w:p>
    <w:p>
      <w:pPr>
        <w:pStyle w:val="Listaconvietas"/>
        <w:spacing w:after="60"/>
      </w:pPr>
      <w:r>
        <w:rPr>
          <w:rFonts w:ascii="Calibri" w:hAnsi="Calibri"/>
          <w:b/>
          <w:sz w:val="22"/>
        </w:rPr>
        <w:t xml:space="preserve">Corte de entrenamiento y prueba: </w:t>
      </w:r>
      <w:r>
        <w:rPr>
          <w:rFonts w:ascii="Calibri" w:hAnsi="Calibri"/>
          <w:sz w:val="22"/>
        </w:rPr>
        <w:t>definir qué meses se usan para entrenar y cuáles se reservan para evaluar, respetando el orden temporal. Con 18 meses de historia el margen es estrecho.</w:t>
      </w:r>
    </w:p>
    <w:p>
      <w:pPr>
        <w:pStyle w:val="Listaconvietas"/>
        <w:spacing w:after="60"/>
      </w:pPr>
      <w:r>
        <w:rPr>
          <w:rFonts w:ascii="Calibri" w:hAnsi="Calibri"/>
          <w:b/>
          <w:sz w:val="22"/>
        </w:rPr>
        <w:t xml:space="preserve">Tratamiento de los ceros restantes: </w:t>
      </w:r>
      <w:r>
        <w:rPr>
          <w:rFonts w:ascii="Calibri" w:hAnsi="Calibri"/>
          <w:sz w:val="22"/>
        </w:rPr>
        <w:t>decidir si los meses sin venta se modelan como demanda cero o si se separa la probabilidad de que haya venta de su magnitud.</w:t>
      </w:r>
    </w:p>
    <w:p>
      <w:pPr>
        <w:pStyle w:val="Listaconvietas"/>
        <w:spacing w:after="60"/>
      </w:pPr>
      <w:r>
        <w:rPr>
          <w:rFonts w:ascii="Calibri" w:hAnsi="Calibri"/>
          <w:b/>
          <w:sz w:val="22"/>
        </w:rPr>
        <w:t xml:space="preserve">Valores negativos: </w:t>
      </w:r>
      <w:r>
        <w:rPr>
          <w:rFonts w:ascii="Calibri" w:hAnsi="Calibri"/>
          <w:sz w:val="22"/>
        </w:rPr>
        <w:t>confirmar con el negocio si las devoluciones se descuentan del mes en que aparecen o se tratan por separado.</w:t>
      </w:r>
    </w:p>
    <w:p/>
    <w:tbl>
      <w:tblPr>
        <w:tblW w:type="auto" w:w="0"/>
        <w:jc w:val="center"/>
        <w:tblLook w:firstColumn="1" w:firstRow="1" w:lastColumn="0" w:lastRow="0" w:noHBand="0" w:noVBand="1" w:val="04A0"/>
      </w:tblPr>
      <w:tblGrid>
        <w:gridCol w:w="9746"/>
      </w:tblGrid>
      <w:tr>
        <w:tc>
          <w:tcPr>
            <w:tcW w:type="dxa" w:w="9411"/>
            <w:shd w:val="clear" w:color="auto" w:fill="FFE699"/>
          </w:tcPr>
          <w:p>
            <w:pPr>
              <w:spacing w:before="40" w:after="40"/>
              <w:jc w:val="both"/>
            </w:pPr>
            <w:r/>
            <w:r>
              <w:rPr>
                <w:rFonts w:ascii="Calibri" w:hAnsi="Calibri"/>
                <w:b w:val="0"/>
                <w:i w:val="0"/>
                <w:color w:val="BF6000"/>
                <w:sz w:val="20"/>
              </w:rPr>
              <w:t>ATENCIÓN: la base de entrenamiento tiene 115.074 observaciones, de las cuales el 64,2% son ceros. Es suficiente para construir y validar el método sobre este grupo, pero la capacidad del modelo para generalizar a otras familias y marcas solo podrá evaluarse cuando se amplíe el alcance.</w:t>
            </w:r>
          </w:p>
        </w:tc>
      </w:tr>
    </w:tbl>
    <w:p/>
    <w:p>
      <w:r>
        <w:br w:type="page"/>
      </w:r>
    </w:p>
    <w:p>
      <w:pPr>
        <w:pStyle w:val="Ttulo1"/>
      </w:pPr>
      <w:r>
        <w:rPr>
          <w:rFonts w:ascii="Calibri" w:hAnsi="Calibri"/>
          <w:b/>
          <w:color w:val="1F497D"/>
          <w:sz w:val="32"/>
        </w:rPr>
        <w:t>GLOSARIO DE TÉRMINOS</w:t>
      </w:r>
    </w:p>
    <w:tbl>
      <w:tblPr>
        <w:tblStyle w:val="Tablaconcuadrcula"/>
        <w:tblW w:type="auto" w:w="0"/>
        <w:jc w:val="center"/>
        <w:tblLook w:firstColumn="1" w:firstRow="1" w:lastColumn="0" w:lastRow="0" w:noHBand="0" w:noVBand="1" w:val="04A0"/>
      </w:tblPr>
      <w:tblGrid>
        <w:gridCol w:w="4873"/>
        <w:gridCol w:w="4873"/>
      </w:tblGrid>
      <w:tr>
        <w:tc>
          <w:tcPr>
            <w:tcW w:type="dxa" w:w="2494"/>
            <w:shd w:val="clear" w:color="auto" w:fill="1F497D"/>
          </w:tcPr>
          <w:p>
            <w:pPr>
              <w:spacing w:before="40" w:after="40"/>
              <w:jc w:val="center"/>
            </w:pPr>
            <w:r/>
            <w:r>
              <w:rPr>
                <w:rFonts w:ascii="Calibri" w:hAnsi="Calibri"/>
                <w:b/>
                <w:i w:val="0"/>
                <w:color w:val="FFFFFF"/>
                <w:sz w:val="19"/>
              </w:rPr>
              <w:t>Término</w:t>
            </w:r>
          </w:p>
        </w:tc>
        <w:tc>
          <w:tcPr>
            <w:tcW w:type="dxa" w:w="6917"/>
            <w:shd w:val="clear" w:color="auto" w:fill="1F497D"/>
          </w:tcPr>
          <w:p>
            <w:pPr>
              <w:spacing w:before="40" w:after="40"/>
              <w:jc w:val="center"/>
            </w:pPr>
            <w:r/>
            <w:r>
              <w:rPr>
                <w:rFonts w:ascii="Calibri" w:hAnsi="Calibri"/>
                <w:b/>
                <w:i w:val="0"/>
                <w:color w:val="FFFFFF"/>
                <w:sz w:val="19"/>
              </w:rPr>
              <w:t>Definición</w:t>
            </w:r>
          </w:p>
        </w:tc>
      </w:tr>
      <w:tr>
        <w:tc>
          <w:tcPr>
            <w:tcW w:type="dxa" w:w="2494"/>
          </w:tcPr>
          <w:p>
            <w:pPr>
              <w:spacing w:before="40" w:after="40"/>
              <w:jc w:val="left"/>
            </w:pPr>
            <w:r/>
            <w:r>
              <w:rPr>
                <w:rFonts w:ascii="Calibri" w:hAnsi="Calibri"/>
                <w:b w:val="0"/>
                <w:i w:val="0"/>
                <w:sz w:val="19"/>
              </w:rPr>
              <w:t>Material o código</w:t>
            </w:r>
          </w:p>
        </w:tc>
        <w:tc>
          <w:tcPr>
            <w:tcW w:type="dxa" w:w="6917"/>
          </w:tcPr>
          <w:p>
            <w:pPr>
              <w:spacing w:before="40" w:after="40"/>
              <w:jc w:val="center"/>
            </w:pPr>
            <w:r/>
            <w:r>
              <w:rPr>
                <w:rFonts w:ascii="Calibri" w:hAnsi="Calibri"/>
                <w:b w:val="0"/>
                <w:i w:val="0"/>
                <w:sz w:val="19"/>
              </w:rPr>
              <w:t>Cada repuesto del catálogo, identificado por el código de la columna Último Eslabón.</w:t>
            </w:r>
          </w:p>
        </w:tc>
      </w:tr>
      <w:tr>
        <w:tc>
          <w:tcPr>
            <w:tcW w:type="dxa" w:w="2494"/>
            <w:shd w:val="clear" w:color="auto" w:fill="F2F2F2"/>
          </w:tcPr>
          <w:p>
            <w:pPr>
              <w:spacing w:before="40" w:after="40"/>
              <w:jc w:val="left"/>
            </w:pPr>
            <w:r/>
            <w:r>
              <w:rPr>
                <w:rFonts w:ascii="Calibri" w:hAnsi="Calibri"/>
                <w:b w:val="0"/>
                <w:i w:val="0"/>
                <w:sz w:val="19"/>
              </w:rPr>
              <w:t>Catálogo</w:t>
            </w:r>
          </w:p>
        </w:tc>
        <w:tc>
          <w:tcPr>
            <w:tcW w:type="dxa" w:w="6917"/>
            <w:shd w:val="clear" w:color="auto" w:fill="F2F2F2"/>
          </w:tcPr>
          <w:p>
            <w:pPr>
              <w:spacing w:before="40" w:after="40"/>
              <w:jc w:val="center"/>
            </w:pPr>
            <w:r/>
            <w:r>
              <w:rPr>
                <w:rFonts w:ascii="Calibri" w:hAnsi="Calibri"/>
                <w:b w:val="0"/>
                <w:i w:val="0"/>
                <w:sz w:val="19"/>
              </w:rPr>
              <w:t>Conjunto completo de materiales que existen en la base, vendan o no.</w:t>
            </w:r>
          </w:p>
        </w:tc>
      </w:tr>
      <w:tr>
        <w:tc>
          <w:tcPr>
            <w:tcW w:type="dxa" w:w="2494"/>
          </w:tcPr>
          <w:p>
            <w:pPr>
              <w:spacing w:before="40" w:after="40"/>
              <w:jc w:val="left"/>
            </w:pPr>
            <w:r/>
            <w:r>
              <w:rPr>
                <w:rFonts w:ascii="Calibri" w:hAnsi="Calibri"/>
                <w:b w:val="0"/>
                <w:i w:val="0"/>
                <w:sz w:val="19"/>
              </w:rPr>
              <w:t>Código activo</w:t>
            </w:r>
          </w:p>
        </w:tc>
        <w:tc>
          <w:tcPr>
            <w:tcW w:type="dxa" w:w="6917"/>
          </w:tcPr>
          <w:p>
            <w:pPr>
              <w:spacing w:before="40" w:after="40"/>
              <w:jc w:val="center"/>
            </w:pPr>
            <w:r/>
            <w:r>
              <w:rPr>
                <w:rFonts w:ascii="Calibri" w:hAnsi="Calibri"/>
                <w:b w:val="0"/>
                <w:i w:val="0"/>
                <w:sz w:val="19"/>
              </w:rPr>
              <w:t>Material que registró al menos una venta dentro de la ventana considerada.</w:t>
            </w:r>
          </w:p>
        </w:tc>
      </w:tr>
      <w:tr>
        <w:tc>
          <w:tcPr>
            <w:tcW w:type="dxa" w:w="2494"/>
            <w:shd w:val="clear" w:color="auto" w:fill="F2F2F2"/>
          </w:tcPr>
          <w:p>
            <w:pPr>
              <w:spacing w:before="40" w:after="40"/>
              <w:jc w:val="left"/>
            </w:pPr>
            <w:r/>
            <w:r>
              <w:rPr>
                <w:rFonts w:ascii="Calibri" w:hAnsi="Calibri"/>
                <w:b w:val="0"/>
                <w:i w:val="0"/>
                <w:sz w:val="19"/>
              </w:rPr>
              <w:t>Código inactivo</w:t>
            </w:r>
          </w:p>
        </w:tc>
        <w:tc>
          <w:tcPr>
            <w:tcW w:type="dxa" w:w="6917"/>
            <w:shd w:val="clear" w:color="auto" w:fill="F2F2F2"/>
          </w:tcPr>
          <w:p>
            <w:pPr>
              <w:spacing w:before="40" w:after="40"/>
              <w:jc w:val="center"/>
            </w:pPr>
            <w:r/>
            <w:r>
              <w:rPr>
                <w:rFonts w:ascii="Calibri" w:hAnsi="Calibri"/>
                <w:b w:val="0"/>
                <w:i w:val="0"/>
                <w:sz w:val="19"/>
              </w:rPr>
              <w:t>Material que no registró ventas dentro de la ventana considerada.</w:t>
            </w:r>
          </w:p>
        </w:tc>
      </w:tr>
      <w:tr>
        <w:tc>
          <w:tcPr>
            <w:tcW w:type="dxa" w:w="2494"/>
          </w:tcPr>
          <w:p>
            <w:pPr>
              <w:spacing w:before="40" w:after="40"/>
              <w:jc w:val="left"/>
            </w:pPr>
            <w:r/>
            <w:r>
              <w:rPr>
                <w:rFonts w:ascii="Calibri" w:hAnsi="Calibri"/>
                <w:b w:val="0"/>
                <w:i w:val="0"/>
                <w:sz w:val="19"/>
              </w:rPr>
              <w:t>Período u horizonte</w:t>
            </w:r>
          </w:p>
        </w:tc>
        <w:tc>
          <w:tcPr>
            <w:tcW w:type="dxa" w:w="6917"/>
          </w:tcPr>
          <w:p>
            <w:pPr>
              <w:spacing w:before="40" w:after="40"/>
              <w:jc w:val="center"/>
            </w:pPr>
            <w:r/>
            <w:r>
              <w:rPr>
                <w:rFonts w:ascii="Calibri" w:hAnsi="Calibri"/>
                <w:b w:val="0"/>
                <w:i w:val="0"/>
                <w:sz w:val="19"/>
              </w:rPr>
              <w:t>Rango de meses que cubre la base: de enero de 2025 a junio de 2026.</w:t>
            </w:r>
          </w:p>
        </w:tc>
      </w:tr>
      <w:tr>
        <w:tc>
          <w:tcPr>
            <w:tcW w:type="dxa" w:w="2494"/>
            <w:shd w:val="clear" w:color="auto" w:fill="F2F2F2"/>
          </w:tcPr>
          <w:p>
            <w:pPr>
              <w:spacing w:before="40" w:after="40"/>
              <w:jc w:val="left"/>
            </w:pPr>
            <w:r/>
            <w:r>
              <w:rPr>
                <w:rFonts w:ascii="Calibri" w:hAnsi="Calibri"/>
                <w:b w:val="0"/>
                <w:i w:val="0"/>
                <w:sz w:val="19"/>
              </w:rPr>
              <w:t>Fecha de corte</w:t>
            </w:r>
          </w:p>
        </w:tc>
        <w:tc>
          <w:tcPr>
            <w:tcW w:type="dxa" w:w="6917"/>
            <w:shd w:val="clear" w:color="auto" w:fill="F2F2F2"/>
          </w:tcPr>
          <w:p>
            <w:pPr>
              <w:spacing w:before="40" w:after="40"/>
              <w:jc w:val="center"/>
            </w:pPr>
            <w:r/>
            <w:r>
              <w:rPr>
                <w:rFonts w:ascii="Calibri" w:hAnsi="Calibri"/>
                <w:b w:val="0"/>
                <w:i w:val="0"/>
                <w:sz w:val="19"/>
              </w:rPr>
              <w:t>Último mes con datos. Es el punto desde el cual se cuenta hacia atrás la ventana de inactividad.</w:t>
            </w:r>
          </w:p>
        </w:tc>
      </w:tr>
      <w:tr>
        <w:tc>
          <w:tcPr>
            <w:tcW w:type="dxa" w:w="2494"/>
          </w:tcPr>
          <w:p>
            <w:pPr>
              <w:spacing w:before="40" w:after="40"/>
              <w:jc w:val="left"/>
            </w:pPr>
            <w:r/>
            <w:r>
              <w:rPr>
                <w:rFonts w:ascii="Calibri" w:hAnsi="Calibri"/>
                <w:b w:val="0"/>
                <w:i w:val="0"/>
                <w:sz w:val="19"/>
              </w:rPr>
              <w:t>Ventana de inactividad</w:t>
            </w:r>
          </w:p>
        </w:tc>
        <w:tc>
          <w:tcPr>
            <w:tcW w:type="dxa" w:w="6917"/>
          </w:tcPr>
          <w:p>
            <w:pPr>
              <w:spacing w:before="40" w:after="40"/>
              <w:jc w:val="center"/>
            </w:pPr>
            <w:r/>
            <w:r>
              <w:rPr>
                <w:rFonts w:ascii="Calibri" w:hAnsi="Calibri"/>
                <w:b w:val="0"/>
                <w:i w:val="0"/>
                <w:sz w:val="19"/>
              </w:rPr>
              <w:t>Los últimos 12 meses contados desde la fecha de corte. Un material sin ventas en ese tramo queda fuera.</w:t>
            </w:r>
          </w:p>
        </w:tc>
      </w:tr>
      <w:tr>
        <w:tc>
          <w:tcPr>
            <w:tcW w:type="dxa" w:w="2494"/>
            <w:shd w:val="clear" w:color="auto" w:fill="F2F2F2"/>
          </w:tcPr>
          <w:p>
            <w:pPr>
              <w:spacing w:before="40" w:after="40"/>
              <w:jc w:val="left"/>
            </w:pPr>
            <w:r/>
            <w:r>
              <w:rPr>
                <w:rFonts w:ascii="Calibri" w:hAnsi="Calibri"/>
                <w:b w:val="0"/>
                <w:i w:val="0"/>
                <w:sz w:val="19"/>
              </w:rPr>
              <w:t>Regla móvil</w:t>
            </w:r>
          </w:p>
        </w:tc>
        <w:tc>
          <w:tcPr>
            <w:tcW w:type="dxa" w:w="6917"/>
            <w:shd w:val="clear" w:color="auto" w:fill="F2F2F2"/>
          </w:tcPr>
          <w:p>
            <w:pPr>
              <w:spacing w:before="40" w:after="40"/>
              <w:jc w:val="center"/>
            </w:pPr>
            <w:r/>
            <w:r>
              <w:rPr>
                <w:rFonts w:ascii="Calibri" w:hAnsi="Calibri"/>
                <w:b w:val="0"/>
                <w:i w:val="0"/>
                <w:sz w:val="19"/>
              </w:rPr>
              <w:t>Regla cuyo resultado cambia en cada carga porque se mide contra el último mes disponible, y no contra una fecha fija.</w:t>
            </w:r>
          </w:p>
        </w:tc>
      </w:tr>
      <w:tr>
        <w:tc>
          <w:tcPr>
            <w:tcW w:type="dxa" w:w="2494"/>
          </w:tcPr>
          <w:p>
            <w:pPr>
              <w:spacing w:before="40" w:after="40"/>
              <w:jc w:val="left"/>
            </w:pPr>
            <w:r/>
            <w:r>
              <w:rPr>
                <w:rFonts w:ascii="Calibri" w:hAnsi="Calibri"/>
                <w:b w:val="0"/>
                <w:i w:val="0"/>
                <w:sz w:val="19"/>
              </w:rPr>
              <w:t>Base de entrenamiento</w:t>
            </w:r>
          </w:p>
        </w:tc>
        <w:tc>
          <w:tcPr>
            <w:tcW w:type="dxa" w:w="6917"/>
          </w:tcPr>
          <w:p>
            <w:pPr>
              <w:spacing w:before="40" w:after="40"/>
              <w:jc w:val="center"/>
            </w:pPr>
            <w:r/>
            <w:r>
              <w:rPr>
                <w:rFonts w:ascii="Calibri" w:hAnsi="Calibri"/>
                <w:b w:val="0"/>
                <w:i w:val="0"/>
                <w:sz w:val="19"/>
              </w:rPr>
              <w:t>Conjunto de materiales y meses con el que se entrenará el modelo de pronóstico.</w:t>
            </w:r>
          </w:p>
        </w:tc>
      </w:tr>
      <w:tr>
        <w:tc>
          <w:tcPr>
            <w:tcW w:type="dxa" w:w="2494"/>
            <w:shd w:val="clear" w:color="auto" w:fill="F2F2F2"/>
          </w:tcPr>
          <w:p>
            <w:pPr>
              <w:spacing w:before="40" w:after="40"/>
              <w:jc w:val="left"/>
            </w:pPr>
            <w:r/>
            <w:r>
              <w:rPr>
                <w:rFonts w:ascii="Calibri" w:hAnsi="Calibri"/>
                <w:b w:val="0"/>
                <w:i w:val="0"/>
                <w:sz w:val="19"/>
              </w:rPr>
              <w:t>Observación</w:t>
            </w:r>
          </w:p>
        </w:tc>
        <w:tc>
          <w:tcPr>
            <w:tcW w:type="dxa" w:w="6917"/>
            <w:shd w:val="clear" w:color="auto" w:fill="F2F2F2"/>
          </w:tcPr>
          <w:p>
            <w:pPr>
              <w:spacing w:before="40" w:after="40"/>
              <w:jc w:val="center"/>
            </w:pPr>
            <w:r/>
            <w:r>
              <w:rPr>
                <w:rFonts w:ascii="Calibri" w:hAnsi="Calibri"/>
                <w:b w:val="0"/>
                <w:i w:val="0"/>
                <w:sz w:val="19"/>
              </w:rPr>
              <w:t>Cada combinación de un material con un mes. Es la unidad mínima de información del modelo.</w:t>
            </w:r>
          </w:p>
        </w:tc>
      </w:tr>
      <w:tr>
        <w:tc>
          <w:tcPr>
            <w:tcW w:type="dxa" w:w="2494"/>
          </w:tcPr>
          <w:p>
            <w:pPr>
              <w:spacing w:before="40" w:after="40"/>
              <w:jc w:val="left"/>
            </w:pPr>
            <w:r/>
            <w:r>
              <w:rPr>
                <w:rFonts w:ascii="Calibri" w:hAnsi="Calibri"/>
                <w:b w:val="0"/>
                <w:i w:val="0"/>
                <w:sz w:val="19"/>
              </w:rPr>
              <w:t>Serie</w:t>
            </w:r>
          </w:p>
        </w:tc>
        <w:tc>
          <w:tcPr>
            <w:tcW w:type="dxa" w:w="6917"/>
          </w:tcPr>
          <w:p>
            <w:pPr>
              <w:spacing w:before="40" w:after="40"/>
              <w:jc w:val="center"/>
            </w:pPr>
            <w:r/>
            <w:r>
              <w:rPr>
                <w:rFonts w:ascii="Calibri" w:hAnsi="Calibri"/>
                <w:b w:val="0"/>
                <w:i w:val="0"/>
                <w:sz w:val="19"/>
              </w:rPr>
              <w:t>Secuencia de las ventas mensuales de un mismo material a lo largo del período.</w:t>
            </w:r>
          </w:p>
        </w:tc>
      </w:tr>
      <w:tr>
        <w:tc>
          <w:tcPr>
            <w:tcW w:type="dxa" w:w="2494"/>
            <w:shd w:val="clear" w:color="auto" w:fill="F2F2F2"/>
          </w:tcPr>
          <w:p>
            <w:pPr>
              <w:spacing w:before="40" w:after="40"/>
              <w:jc w:val="left"/>
            </w:pPr>
            <w:r/>
            <w:r>
              <w:rPr>
                <w:rFonts w:ascii="Calibri" w:hAnsi="Calibri"/>
                <w:b w:val="0"/>
                <w:i w:val="0"/>
                <w:sz w:val="19"/>
              </w:rPr>
              <w:t>Celda en cero</w:t>
            </w:r>
          </w:p>
        </w:tc>
        <w:tc>
          <w:tcPr>
            <w:tcW w:type="dxa" w:w="6917"/>
            <w:shd w:val="clear" w:color="auto" w:fill="F2F2F2"/>
          </w:tcPr>
          <w:p>
            <w:pPr>
              <w:spacing w:before="40" w:after="40"/>
              <w:jc w:val="center"/>
            </w:pPr>
            <w:r/>
            <w:r>
              <w:rPr>
                <w:rFonts w:ascii="Calibri" w:hAnsi="Calibri"/>
                <w:b w:val="0"/>
                <w:i w:val="0"/>
                <w:sz w:val="19"/>
              </w:rPr>
              <w:t>Mes en que un material no registró venta.</w:t>
            </w:r>
          </w:p>
        </w:tc>
      </w:tr>
      <w:tr>
        <w:tc>
          <w:tcPr>
            <w:tcW w:type="dxa" w:w="2494"/>
          </w:tcPr>
          <w:p>
            <w:pPr>
              <w:spacing w:before="40" w:after="40"/>
              <w:jc w:val="left"/>
            </w:pPr>
            <w:r/>
            <w:r>
              <w:rPr>
                <w:rFonts w:ascii="Calibri" w:hAnsi="Calibri"/>
                <w:b w:val="0"/>
                <w:i w:val="0"/>
                <w:sz w:val="19"/>
              </w:rPr>
              <w:t>Sesgo</w:t>
            </w:r>
          </w:p>
        </w:tc>
        <w:tc>
          <w:tcPr>
            <w:tcW w:type="dxa" w:w="6917"/>
          </w:tcPr>
          <w:p>
            <w:pPr>
              <w:spacing w:before="40" w:after="40"/>
              <w:jc w:val="center"/>
            </w:pPr>
            <w:r/>
            <w:r>
              <w:rPr>
                <w:rFonts w:ascii="Calibri" w:hAnsi="Calibri"/>
                <w:b w:val="0"/>
                <w:i w:val="0"/>
                <w:sz w:val="19"/>
              </w:rPr>
              <w:t>Distorsión del aprendizaje que se produce cuando un grupo domina los datos y el modelo aplica su comportamiento al resto.</w:t>
            </w:r>
          </w:p>
        </w:tc>
      </w:tr>
      <w:tr>
        <w:tc>
          <w:tcPr>
            <w:tcW w:type="dxa" w:w="2494"/>
            <w:shd w:val="clear" w:color="auto" w:fill="F2F2F2"/>
          </w:tcPr>
          <w:p>
            <w:pPr>
              <w:spacing w:before="40" w:after="40"/>
              <w:jc w:val="left"/>
            </w:pPr>
            <w:r/>
            <w:r>
              <w:rPr>
                <w:rFonts w:ascii="Calibri" w:hAnsi="Calibri"/>
                <w:b w:val="0"/>
                <w:i w:val="0"/>
                <w:sz w:val="19"/>
              </w:rPr>
              <w:t>Punto de control</w:t>
            </w:r>
          </w:p>
        </w:tc>
        <w:tc>
          <w:tcPr>
            <w:tcW w:type="dxa" w:w="6917"/>
            <w:shd w:val="clear" w:color="auto" w:fill="F2F2F2"/>
          </w:tcPr>
          <w:p>
            <w:pPr>
              <w:spacing w:before="40" w:after="40"/>
              <w:jc w:val="center"/>
            </w:pPr>
            <w:r/>
            <w:r>
              <w:rPr>
                <w:rFonts w:ascii="Calibri" w:hAnsi="Calibri"/>
                <w:b w:val="0"/>
                <w:i w:val="0"/>
                <w:sz w:val="19"/>
              </w:rPr>
              <w:t>Archivo intermedio que permite verificar y reproducir un paso del proceso sin repetir los anteriores.</w:t>
            </w:r>
          </w:p>
        </w:tc>
      </w:tr>
      <w:tr>
        <w:tc>
          <w:tcPr>
            <w:tcW w:type="dxa" w:w="2494"/>
          </w:tcPr>
          <w:p>
            <w:pPr>
              <w:spacing w:before="40" w:after="40"/>
              <w:jc w:val="left"/>
            </w:pPr>
            <w:r/>
            <w:r>
              <w:rPr>
                <w:rFonts w:ascii="Calibri" w:hAnsi="Calibri"/>
                <w:b w:val="0"/>
                <w:i w:val="0"/>
                <w:sz w:val="19"/>
              </w:rPr>
              <w:t>Trazabilidad</w:t>
            </w:r>
          </w:p>
        </w:tc>
        <w:tc>
          <w:tcPr>
            <w:tcW w:type="dxa" w:w="6917"/>
          </w:tcPr>
          <w:p>
            <w:pPr>
              <w:spacing w:before="40" w:after="40"/>
              <w:jc w:val="center"/>
            </w:pPr>
            <w:r/>
            <w:r>
              <w:rPr>
                <w:rFonts w:ascii="Calibri" w:hAnsi="Calibri"/>
                <w:b w:val="0"/>
                <w:i w:val="0"/>
                <w:sz w:val="19"/>
              </w:rPr>
              <w:t>Registro de qué eliminó cada regla, que permite auditar cómo se llegó a la base final.</w:t>
            </w:r>
          </w:p>
        </w:tc>
      </w:tr>
      <w:tr>
        <w:tc>
          <w:tcPr>
            <w:tcW w:type="dxa" w:w="2494"/>
            <w:shd w:val="clear" w:color="auto" w:fill="F2F2F2"/>
          </w:tcPr>
          <w:p>
            <w:pPr>
              <w:spacing w:before="40" w:after="40"/>
              <w:jc w:val="left"/>
            </w:pPr>
            <w:r/>
            <w:r>
              <w:rPr>
                <w:rFonts w:ascii="Calibri" w:hAnsi="Calibri"/>
                <w:b w:val="0"/>
                <w:i w:val="0"/>
                <w:sz w:val="19"/>
              </w:rPr>
              <w:t>CRISP-DM</w:t>
            </w:r>
          </w:p>
        </w:tc>
        <w:tc>
          <w:tcPr>
            <w:tcW w:type="dxa" w:w="6917"/>
            <w:shd w:val="clear" w:color="auto" w:fill="F2F2F2"/>
          </w:tcPr>
          <w:p>
            <w:pPr>
              <w:spacing w:before="40" w:after="40"/>
              <w:jc w:val="center"/>
            </w:pPr>
            <w:r/>
            <w:r>
              <w:rPr>
                <w:rFonts w:ascii="Calibri" w:hAnsi="Calibri"/>
                <w:b w:val="0"/>
                <w:i w:val="0"/>
                <w:sz w:val="19"/>
              </w:rPr>
              <w:t>Metodología de proyectos de datos en seis fases. Este documento corresponde a la fase 3, preparación de los datos.</w:t>
            </w:r>
          </w:p>
        </w:tc>
      </w:tr>
    </w:tbl>
    <w:p/>
    <w:sectPr w:rsidR="00DA3B4F" w:rsidRPr="001F06AB" w:rsidSect="001F06AB">
      <w:footerReference w:type="default" r:id="rId8"/>
      <w:pgSz w:w="12240" w:h="15840"/>
      <w:pgMar w:top="1134" w:right="1247" w:bottom="1134" w:left="1247"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387C9" w14:textId="77777777" w:rsidR="00F54C37" w:rsidRDefault="00F54C37" w:rsidP="001F06AB">
      <w:pPr>
        <w:spacing w:after="0" w:line="240" w:lineRule="auto"/>
      </w:pPr>
      <w:r>
        <w:separator/>
      </w:r>
    </w:p>
  </w:endnote>
  <w:endnote w:type="continuationSeparator" w:id="0">
    <w:p w14:paraId="02D63DE2" w14:textId="77777777" w:rsidR="00F54C37" w:rsidRDefault="00F54C37" w:rsidP="001F06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5C39C" w14:textId="07164508" w:rsidR="001F06AB" w:rsidRDefault="00035796">
    <w:pPr>
      <w:pStyle w:val="Piedepgina"/>
    </w:pPr>
    <w:r>
      <w:rPr>
        <w:noProof/>
      </w:rPr>
      <w:drawing>
        <wp:anchor distT="0" distB="0" distL="114300" distR="114300" simplePos="0" relativeHeight="251661312" behindDoc="1" locked="0" layoutInCell="1" allowOverlap="1" wp14:anchorId="40E9906C" wp14:editId="11B62AE2">
          <wp:simplePos x="0" y="0"/>
          <wp:positionH relativeFrom="column">
            <wp:posOffset>5204460</wp:posOffset>
          </wp:positionH>
          <wp:positionV relativeFrom="paragraph">
            <wp:posOffset>6985</wp:posOffset>
          </wp:positionV>
          <wp:extent cx="1511300" cy="297061"/>
          <wp:effectExtent l="0" t="0" r="0" b="8255"/>
          <wp:wrapNone/>
          <wp:docPr id="115454583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855827" name="Imagen 580855827"/>
                  <pic:cNvPicPr/>
                </pic:nvPicPr>
                <pic:blipFill>
                  <a:blip r:embed="rId1">
                    <a:extLst>
                      <a:ext uri="{28A0092B-C50C-407E-A947-70E740481C1C}">
                        <a14:useLocalDpi xmlns:a14="http://schemas.microsoft.com/office/drawing/2010/main" val="0"/>
                      </a:ext>
                    </a:extLst>
                  </a:blip>
                  <a:stretch>
                    <a:fillRect/>
                  </a:stretch>
                </pic:blipFill>
                <pic:spPr>
                  <a:xfrm>
                    <a:off x="0" y="0"/>
                    <a:ext cx="1511300" cy="297061"/>
                  </a:xfrm>
                  <a:prstGeom prst="rect">
                    <a:avLst/>
                  </a:prstGeom>
                </pic:spPr>
              </pic:pic>
            </a:graphicData>
          </a:graphic>
          <wp14:sizeRelH relativeFrom="margin">
            <wp14:pctWidth>0</wp14:pctWidth>
          </wp14:sizeRelH>
          <wp14:sizeRelV relativeFrom="margin">
            <wp14:pctHeight>0</wp14:pctHeight>
          </wp14:sizeRelV>
        </wp:anchor>
      </w:drawing>
    </w:r>
    <w:r w:rsidR="001F06AB">
      <w:rPr>
        <w:noProof/>
        <w:color w:val="4F81BD" w:themeColor="accent1"/>
      </w:rPr>
      <mc:AlternateContent>
        <mc:Choice Requires="wps">
          <w:drawing>
            <wp:anchor distT="0" distB="0" distL="114300" distR="114300" simplePos="0" relativeHeight="251659264" behindDoc="0" locked="0" layoutInCell="1" allowOverlap="1" wp14:anchorId="323D421A" wp14:editId="731DB34A">
              <wp:simplePos x="0" y="0"/>
              <wp:positionH relativeFrom="page">
                <wp:align>center</wp:align>
              </wp:positionH>
              <wp:positionV relativeFrom="page">
                <wp:align>center</wp:align>
              </wp:positionV>
              <wp:extent cx="7364730" cy="9528810"/>
              <wp:effectExtent l="0" t="0" r="26670" b="26670"/>
              <wp:wrapNone/>
              <wp:docPr id="452" name="Rectángulo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1144DDE" id="Rectángulo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938953 [1614]" strokeweight="1.25pt">
              <w10:wrap anchorx="page" anchory="page"/>
            </v:rect>
          </w:pict>
        </mc:Fallback>
      </mc:AlternateContent>
    </w:r>
    <w:r w:rsidR="001F06AB">
      <w:rPr>
        <w:color w:val="4F81BD" w:themeColor="accent1"/>
        <w:lang w:val="es-MX"/>
      </w:rPr>
      <w:t xml:space="preserve"> </w:t>
    </w:r>
    <w:r w:rsidR="001F06AB">
      <w:rPr>
        <w:rFonts w:asciiTheme="majorHAnsi" w:eastAsiaTheme="majorEastAsia" w:hAnsiTheme="majorHAnsi" w:cstheme="majorBidi"/>
        <w:color w:val="4F81BD" w:themeColor="accent1"/>
        <w:sz w:val="20"/>
        <w:szCs w:val="20"/>
        <w:lang w:val="es-MX"/>
      </w:rPr>
      <w:t xml:space="preserve">pág. </w:t>
    </w:r>
    <w:r w:rsidR="001F06AB">
      <w:rPr>
        <w:color w:val="4F81BD" w:themeColor="accent1"/>
        <w:sz w:val="20"/>
        <w:szCs w:val="20"/>
      </w:rPr>
      <w:fldChar w:fldCharType="begin"/>
    </w:r>
    <w:r w:rsidR="001F06AB">
      <w:rPr>
        <w:color w:val="4F81BD" w:themeColor="accent1"/>
        <w:sz w:val="20"/>
        <w:szCs w:val="20"/>
      </w:rPr>
      <w:instrText>PAGE    \* MERGEFORMAT</w:instrText>
    </w:r>
    <w:r w:rsidR="001F06AB">
      <w:rPr>
        <w:color w:val="4F81BD" w:themeColor="accent1"/>
        <w:sz w:val="20"/>
        <w:szCs w:val="20"/>
      </w:rPr>
      <w:fldChar w:fldCharType="separate"/>
    </w:r>
    <w:r w:rsidR="001F06AB">
      <w:rPr>
        <w:rFonts w:asciiTheme="majorHAnsi" w:eastAsiaTheme="majorEastAsia" w:hAnsiTheme="majorHAnsi" w:cstheme="majorBidi"/>
        <w:color w:val="4F81BD" w:themeColor="accent1"/>
        <w:sz w:val="20"/>
        <w:szCs w:val="20"/>
        <w:lang w:val="es-MX"/>
      </w:rPr>
      <w:t>2</w:t>
    </w:r>
    <w:r w:rsidR="001F06AB">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38E1" w14:textId="77777777" w:rsidR="00F54C37" w:rsidRDefault="00F54C37" w:rsidP="001F06AB">
      <w:pPr>
        <w:spacing w:after="0" w:line="240" w:lineRule="auto"/>
      </w:pPr>
      <w:r>
        <w:separator/>
      </w:r>
    </w:p>
  </w:footnote>
  <w:footnote w:type="continuationSeparator" w:id="0">
    <w:p w14:paraId="4B2EA56A" w14:textId="77777777" w:rsidR="00F54C37" w:rsidRDefault="00F54C37" w:rsidP="001F06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84409815">
    <w:abstractNumId w:val="8"/>
  </w:num>
  <w:num w:numId="2" w16cid:durableId="1897737740">
    <w:abstractNumId w:val="6"/>
  </w:num>
  <w:num w:numId="3" w16cid:durableId="742921085">
    <w:abstractNumId w:val="5"/>
  </w:num>
  <w:num w:numId="4" w16cid:durableId="12341027">
    <w:abstractNumId w:val="4"/>
  </w:num>
  <w:num w:numId="5" w16cid:durableId="1935820064">
    <w:abstractNumId w:val="7"/>
  </w:num>
  <w:num w:numId="6" w16cid:durableId="762536148">
    <w:abstractNumId w:val="3"/>
  </w:num>
  <w:num w:numId="7" w16cid:durableId="756900859">
    <w:abstractNumId w:val="2"/>
  </w:num>
  <w:num w:numId="8" w16cid:durableId="526218681">
    <w:abstractNumId w:val="1"/>
  </w:num>
  <w:num w:numId="9" w16cid:durableId="264120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796"/>
    <w:rsid w:val="0006063C"/>
    <w:rsid w:val="0015074B"/>
    <w:rsid w:val="001F06AB"/>
    <w:rsid w:val="0029639D"/>
    <w:rsid w:val="002C3DBD"/>
    <w:rsid w:val="00326F90"/>
    <w:rsid w:val="004651DA"/>
    <w:rsid w:val="00663D46"/>
    <w:rsid w:val="006E6693"/>
    <w:rsid w:val="007656B5"/>
    <w:rsid w:val="00841BE9"/>
    <w:rsid w:val="009E2D4E"/>
    <w:rsid w:val="00AA1D8D"/>
    <w:rsid w:val="00B1693E"/>
    <w:rsid w:val="00B47730"/>
    <w:rsid w:val="00B73192"/>
    <w:rsid w:val="00CB0664"/>
    <w:rsid w:val="00D06C29"/>
    <w:rsid w:val="00D93CFA"/>
    <w:rsid w:val="00DA3B4F"/>
    <w:rsid w:val="00F54C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FF48CD"/>
  <w14:defaultImageDpi w14:val="300"/>
  <w15:docId w15:val="{0A57C2A3-14DD-4E0E-A5CA-5F059C557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link w:val="SinespaciadoCar"/>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inespaciadoCar">
    <w:name w:val="Sin espaciado Car"/>
    <w:basedOn w:val="Fuentedeprrafopredeter"/>
    <w:link w:val="Sinespaciado"/>
    <w:uiPriority w:val="1"/>
    <w:rsid w:val="001F06AB"/>
  </w:style>
  <w:style w:type="paragraph" w:styleId="TDC1">
    <w:name w:val="toc 1"/>
    <w:basedOn w:val="Normal"/>
    <w:next w:val="Normal"/>
    <w:autoRedefine/>
    <w:uiPriority w:val="39"/>
    <w:unhideWhenUsed/>
    <w:rsid w:val="001F06AB"/>
    <w:pPr>
      <w:spacing w:after="100"/>
    </w:pPr>
  </w:style>
  <w:style w:type="paragraph" w:styleId="TDC2">
    <w:name w:val="toc 2"/>
    <w:basedOn w:val="Normal"/>
    <w:next w:val="Normal"/>
    <w:autoRedefine/>
    <w:uiPriority w:val="39"/>
    <w:unhideWhenUsed/>
    <w:rsid w:val="001F06AB"/>
    <w:pPr>
      <w:spacing w:after="100"/>
      <w:ind w:left="220"/>
    </w:pPr>
  </w:style>
  <w:style w:type="character" w:styleId="Hipervnculo">
    <w:name w:val="Hyperlink"/>
    <w:basedOn w:val="Fuentedeprrafopredeter"/>
    <w:uiPriority w:val="99"/>
    <w:unhideWhenUsed/>
    <w:rsid w:val="001F06A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15</Pages>
  <Words>3459</Words>
  <Characters>19026</Characters>
  <Application>Microsoft Office Word</Application>
  <DocSecurity>0</DocSecurity>
  <Lines>158</Lines>
  <Paragraphs>44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22441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COMPRENSIÓN DEL NEGOCIO</dc:title>
  <dc:subject>Proyecto de pronóstico de demanda de repuestos</dc:subject>
  <dc:creator>python-docx</dc:creator>
  <cp:keywords/>
  <dc:description>generated by python-docx</dc:description>
  <cp:lastModifiedBy>ANGELO ALEXANDER HENRIQUEZ PONCE</cp:lastModifiedBy>
  <cp:revision>12</cp:revision>
  <dcterms:created xsi:type="dcterms:W3CDTF">2013-12-23T23:15:00Z</dcterms:created>
  <dcterms:modified xsi:type="dcterms:W3CDTF">2026-09-25T01:00:00Z</dcterms:modified>
  <cp:category/>
</cp:coreProperties>
</file>