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1A90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1F5A4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85953F8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5F71E32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18A1F5A4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85953F8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5F71E32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2C1D896" w14:textId="77777777" w:rsidR="001202BF" w:rsidRDefault="001202BF" w:rsidP="001202BF"/>
    <w:p w14:paraId="019EB6E8" w14:textId="77777777" w:rsidR="001202BF" w:rsidRDefault="001202BF" w:rsidP="001202BF"/>
    <w:p w14:paraId="40DB8F8A" w14:textId="77777777" w:rsidR="001202BF" w:rsidRDefault="001202BF" w:rsidP="001202BF"/>
    <w:p w14:paraId="421E6FE2" w14:textId="77777777" w:rsidR="001202BF" w:rsidRPr="00747ECB" w:rsidRDefault="001202BF" w:rsidP="001202BF"/>
    <w:p w14:paraId="24B712B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E5683C6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35F04F65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780A15B9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58EA58F7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5F22B2D3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1334063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3639F9D8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932B22D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3163D5CC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35356810" w14:textId="77777777" w:rsidTr="00434472">
        <w:trPr>
          <w:trHeight w:val="440"/>
        </w:trPr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D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DB352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b/>
                <w:color w:val="FFFFFF"/>
                <w:sz w:val="18"/>
              </w:rPr>
              <w:t>Nombre del proyecto</w:t>
            </w:r>
          </w:p>
        </w:tc>
        <w:tc>
          <w:tcPr>
            <w:tcW w:w="66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5442E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Operations Analytics Automatización de reportes SAP FBL1N</w:t>
            </w:r>
          </w:p>
        </w:tc>
      </w:tr>
      <w:tr w:rsidR="00050706" w:rsidRPr="00B4008E" w14:paraId="5A31C3F7" w14:textId="77777777" w:rsidTr="00434472">
        <w:trPr>
          <w:trHeight w:val="418"/>
        </w:trPr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D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5EF00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b/>
                <w:color w:val="FFFFFF"/>
                <w:sz w:val="18"/>
              </w:rPr>
              <w:t>Área (s) de desempeño(s)</w:t>
            </w:r>
          </w:p>
        </w:tc>
        <w:tc>
          <w:tcPr>
            <w:tcW w:w="66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EADE2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Desarrollo de software; integración de sistemas y datos; automatización de procesos; analítica y visualización; gestión de proyectos informáticos; aseguramiento de calidad y continuidad operativa.</w:t>
            </w:r>
          </w:p>
        </w:tc>
      </w:tr>
      <w:tr w:rsidR="00050706" w:rsidRPr="00B4008E" w14:paraId="620B67D4" w14:textId="77777777" w:rsidTr="00434472">
        <w:trPr>
          <w:trHeight w:val="425"/>
        </w:trPr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D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7C727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b/>
                <w:color w:val="FFFFFF"/>
                <w:sz w:val="18"/>
              </w:rPr>
              <w:t xml:space="preserve">Competencias </w:t>
            </w:r>
          </w:p>
          <w:p w14:paraId="70DFF6A3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5B264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Analizar necesidades y modelar procesos y soluciones informáticas.</w:t>
            </w:r>
          </w:p>
          <w:p w14:paraId="049984D1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Diseñar y desarrollar software modular utilizando buenas prácticas.</w:t>
            </w:r>
          </w:p>
          <w:p w14:paraId="1088FB47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Integrar aplicaciones, datos y servicios empresariales.</w:t>
            </w:r>
          </w:p>
          <w:p w14:paraId="721C92DB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Validar calidad, seguridad, trazabilidad y continuidad de una solución.</w:t>
            </w:r>
          </w:p>
          <w:p w14:paraId="4D3AC103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Gestionar trabajo colaborativo, documentación y control de versiones.</w:t>
            </w:r>
          </w:p>
        </w:tc>
      </w:tr>
    </w:tbl>
    <w:p w14:paraId="6A9B24C0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45F97792" w14:textId="77777777" w:rsidTr="7EB51544">
        <w:trPr>
          <w:trHeight w:val="388"/>
          <w:tblHeader/>
        </w:trPr>
        <w:tc>
          <w:tcPr>
            <w:tcW w:w="97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DD9CD" w14:textId="77777777" w:rsidR="001202BF" w:rsidRPr="009B676B" w:rsidRDefault="001202BF" w:rsidP="000C587E">
            <w:pPr>
              <w:spacing w:after="60"/>
              <w:rPr>
                <w:b/>
              </w:rPr>
            </w:pPr>
            <w:r w:rsidRPr="009B676B">
              <w:rPr>
                <w:b/>
                <w:color w:val="FFFFFF"/>
                <w:sz w:val="18"/>
              </w:rPr>
              <w:t>Contenidos de</w:t>
            </w:r>
            <w:r w:rsidR="006B7645">
              <w:rPr>
                <w:b/>
                <w:color w:val="FFFFFF"/>
                <w:sz w:val="18"/>
              </w:rPr>
              <w:t>l informe f</w:t>
            </w:r>
            <w:r w:rsidR="000C587E">
              <w:rPr>
                <w:b/>
                <w:color w:val="FFFFFF"/>
                <w:sz w:val="18"/>
              </w:rPr>
              <w:t>inal</w:t>
            </w:r>
          </w:p>
        </w:tc>
      </w:tr>
      <w:tr w:rsidR="001202BF" w14:paraId="342E10C4" w14:textId="77777777" w:rsidTr="7EB51544">
        <w:trPr>
          <w:trHeight w:val="2266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CFDAD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t xml:space="preserve">1. </w:t>
            </w:r>
            <w:r w:rsidR="00946E78" w:rsidRPr="00B0399B" w:rsidDel="008018E6">
              <w:rPr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C7CF7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El proyecto abordó la dependencia de tareas manuales para extraer información de SAP FBL1N, preparar reportes de pagos, actualizar archivos compartidos y comunicar su disponibilidad. El proceso original exigía intervención repetitiva, consumía tiempo operativo y estaba expuesto a errores de copia, diferencias de formato, archivos bloqueados y falta de trazabilidad.</w:t>
            </w:r>
          </w:p>
          <w:p w14:paraId="3F62BC2A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La situación se ubicó en el área de pagos de una empresa del sector energético y afectaba principalmente a analistas y usuarios que necesitaban información vigente para revisar pagos y tomar decisiones. En Ingeniería en Informática, este problema es relevante porque combina automatización, integración de sistemas legados, procesamiento de datos, control de calidad y continuidad operativa.</w:t>
            </w:r>
          </w:p>
          <w:p w14:paraId="49D96615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El aporte de valor consistió en transformar el flujo en una ejecución controlada y auditable: la solución valida la fuente, genera reportes homogéneos, publica la versión vigente, registra estados y envía una notificación cuando corresponde. Esto reduce tareas repetitivas y facilita la revisión del resultado sin incorporar credenciales ni datos empresariales al repositorio académico.</w:t>
            </w:r>
          </w:p>
        </w:tc>
      </w:tr>
      <w:tr w:rsidR="001202BF" w14:paraId="7E630553" w14:textId="77777777" w:rsidTr="7EB51544">
        <w:trPr>
          <w:trHeight w:val="838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60093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0EB49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Objetivo general</w:t>
            </w:r>
          </w:p>
          <w:p w14:paraId="209F07DE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Desarrollar e implementar una solución automatizada que procese información SAP FBL1N, genere reportes de pagos, publique resultados y notifique su disponibilidad, asegurando calidad, trazabilidad y continuidad operativa.</w:t>
            </w:r>
          </w:p>
          <w:p w14:paraId="0FFD99E8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Objetivos específicos</w:t>
            </w:r>
          </w:p>
          <w:p w14:paraId="0F060CFC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Levantar y modelar el proceso, los datos y las reglas de negocio.</w:t>
            </w:r>
          </w:p>
          <w:p w14:paraId="762CDFC2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Automatizar la extracción, validación y transformación de la fuente FBL1N.</w:t>
            </w:r>
          </w:p>
          <w:p w14:paraId="329108DE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Generar matrices, resúmenes y tablas dinámicas en Excel.</w:t>
            </w:r>
          </w:p>
          <w:p w14:paraId="010DFC00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Publicar los resultados y emitir notificaciones controladas.</w:t>
            </w:r>
          </w:p>
          <w:p w14:paraId="10894D31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Implementar pruebas, registros, controles de concurrencia y documentación.</w:t>
            </w:r>
          </w:p>
        </w:tc>
      </w:tr>
      <w:tr w:rsidR="001202BF" w14:paraId="1E239E24" w14:textId="77777777" w:rsidTr="7EB51544"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03328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t>3. Metodología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75A46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Se utilizó una metodología incremental con gestión visual mediante Kanban y prácticas DevOps. La elección fue pertinente porque el proyecto dependía de reglas de negocio que debían validarse con usuarios y de integraciones que solo podían comprobarse gradualmente en un entorno autorizado.</w:t>
            </w:r>
          </w:p>
          <w:p w14:paraId="515F19FA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Fases y procedimientos</w:t>
            </w:r>
          </w:p>
          <w:p w14:paraId="487470E6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Levantamiento: revisión de normas, nomenclaturas, proveedores, tipos de pago y modelado de procesos.</w:t>
            </w:r>
          </w:p>
          <w:p w14:paraId="361C02AB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Diseño: definición de alcance, arquitectura por capas, modelos UML, contratos de datos y plan de trabajo.</w:t>
            </w:r>
          </w:p>
          <w:p w14:paraId="6B9F2F2A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Construcción: desarrollo modular en Python, generación de matrices, resúmenes y tablas dinámicas.</w:t>
            </w:r>
          </w:p>
          <w:p w14:paraId="54E13E51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Integración: conexión controlada con SAP GUI, Excel, SharePoint/OneDrive y Outlook.</w:t>
            </w:r>
          </w:p>
          <w:p w14:paraId="60207E2B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Calidad: pruebas unitarias, simulaciones no destructivas, validación semántica, logs y estados persistidos.</w:t>
            </w:r>
          </w:p>
          <w:p w14:paraId="5995222B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Despliegue y monitoreo: programación diaria, control de concurrencia, recuperación y documentación operativa.</w:t>
            </w:r>
          </w:p>
          <w:p w14:paraId="494CB0B3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Git y GitHub permitieron mantener versiones, revisar cambios y publicar una copia académica sanitizada. Las decisiones de alto impacto se probaron antes del despliegue y se mantuvieron separadas del entorno operativo.</w:t>
            </w:r>
          </w:p>
        </w:tc>
      </w:tr>
      <w:tr w:rsidR="001202BF" w14:paraId="35EDFBF5" w14:textId="77777777" w:rsidTr="7EB51544">
        <w:trPr>
          <w:trHeight w:val="2117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6A01F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t>4. Desarrollo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9A551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Etapas desarrolladas</w:t>
            </w:r>
          </w:p>
          <w:p w14:paraId="2A780F62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Entre el 1 y el 13 de julio se revisaron normas e instructivos, se aprendieron las nomenclaturas del proceso y se construyeron seis diagramas en Bizagi. Desde el 13 de julio se definieron el problema, el alcance y la arquitectura. Entre fines de julio y agosto se desarrollaron la carga y validación de FBL1N, el procesamiento modular, las matrices, los resúmenes y las tablas dinámicas. Durante septiembre se completaron la publicación, la notificación, la programación diaria, los controles operativos y la copia académica sanitizada.</w:t>
            </w:r>
          </w:p>
          <w:p w14:paraId="5AF2FF49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Facilitadores</w:t>
            </w:r>
          </w:p>
          <w:p w14:paraId="373887CF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El acceso a usuarios conocedores del proceso, la disponibilidad de un entorno real y el uso de Python, Git, pruebas automatizadas y registros facilitaron la validación progresiva. La división de responsabilidades permitió que Tania concentrara el desarrollo e integración, mientras Camila apoyó el levantamiento, la validación funcional, las evidencias y la presentación.</w:t>
            </w:r>
          </w:p>
          <w:p w14:paraId="0EBEE672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Dificultades</w:t>
            </w:r>
          </w:p>
          <w:p w14:paraId="4C9B5983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Se presentaron variaciones en los archivos exportados, bloqueos de Excel, sesiones SAP abiertas, credenciales ingresadas incorrectamente y cierres accidentales que dejaron bloqueos huérfanos. Además, el funcionamiento local dependía de una sesión interactiva y del computador operativo.</w:t>
            </w:r>
          </w:p>
          <w:p w14:paraId="7EC5D5F8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Ajustes realizados</w:t>
            </w:r>
          </w:p>
          <w:p w14:paraId="06AE9411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 xml:space="preserve">Se incorporaron validaciones de estructura y fecha, reintentos de lectura, liberación selectiva de procesos iniciados por la automatización, restauración </w:t>
            </w:r>
            <w:r>
              <w:rPr>
                <w:sz w:val="18"/>
              </w:rPr>
              <w:lastRenderedPageBreak/>
              <w:t>segura, simulación sin envío, control de locks y una guía de recuperación. Power BI quedó como consumidor analítico en ajustes de presentación. La posible migración a GREPORTS se separó del alcance de implementación y quedó pendiente de una reunión técnica con ICT.</w:t>
            </w:r>
          </w:p>
          <w:p w14:paraId="72730526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Resultado actual</w:t>
            </w:r>
          </w:p>
          <w:p w14:paraId="41996CC1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El núcleo automatizado se encuentra implementado y validado. Genera los archivos requeridos, conserva trazabilidad, publica resultados y aplica la regla de notificación configurada. La visualización Power BI y la infraestructura corporativa se continúan tratando como líneas de perfeccionamiento y transición, sin comprometer la versión estable.</w:t>
            </w:r>
          </w:p>
        </w:tc>
      </w:tr>
      <w:tr w:rsidR="001202BF" w14:paraId="341E140C" w14:textId="77777777" w:rsidTr="7EB51544">
        <w:trPr>
          <w:trHeight w:val="1112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7C9AA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02233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Evidencias del proceso y resultado</w:t>
            </w:r>
          </w:p>
          <w:p w14:paraId="599CD525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Repositorio académico público y sanitizado con código fuente, pruebas y documentación.</w:t>
            </w:r>
          </w:p>
          <w:p w14:paraId="70A9C561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Documento de diseño con casos de uso, modelo lógico, clases, secuencia y componentes.</w:t>
            </w:r>
          </w:p>
          <w:p w14:paraId="3C060B61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Pruebas automatizadas y compilación de los módulos principales.</w:t>
            </w:r>
          </w:p>
          <w:p w14:paraId="4EEF6CDE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Logs y estados de ejecución que registran fecha, filas procesadas, resultado y artefactos.</w:t>
            </w:r>
          </w:p>
          <w:p w14:paraId="52305850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Matrices, resúmenes y tablas dinámicas Excel generadas por el pipeline.</w:t>
            </w:r>
          </w:p>
          <w:p w14:paraId="23B8E2D6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Publicación colaborativa y evidencia de notificación Outlook controlada.</w:t>
            </w:r>
          </w:p>
          <w:p w14:paraId="06E2E331" w14:textId="77777777" w:rsidR="00421807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Interfaz React y API FastAPI de consulta de resultados.</w:t>
            </w:r>
          </w:p>
          <w:p w14:paraId="49329229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Los anexos presentan las cinco vistas técnicas principales. El repositorio académico está disponible en https://github.com/TaniaCamila/automatizacion_procesos_sap y excluye credenciales, rutas personales, datos SAP reales, archivos de estado y artefactos productivos.</w:t>
            </w:r>
          </w:p>
        </w:tc>
      </w:tr>
      <w:tr w:rsidR="001202BF" w14:paraId="0D66CE0A" w14:textId="77777777" w:rsidTr="7EB51544">
        <w:trPr>
          <w:trHeight w:val="2547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3F272" w14:textId="77777777" w:rsidR="001202BF" w:rsidRPr="00B83A6D" w:rsidRDefault="00B340E1" w:rsidP="7EB51544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1202BF" w:rsidRPr="7EB51544">
              <w:rPr>
                <w:sz w:val="18"/>
                <w:szCs w:val="18"/>
              </w:rPr>
              <w:t xml:space="preserve">. </w:t>
            </w:r>
            <w:r w:rsidR="00B4008E" w:rsidRPr="7EB51544">
              <w:rPr>
                <w:sz w:val="18"/>
                <w:szCs w:val="18"/>
              </w:rPr>
              <w:t xml:space="preserve">Intereses </w:t>
            </w:r>
            <w:r w:rsidR="001202BF" w:rsidRPr="7EB51544">
              <w:rPr>
                <w:sz w:val="18"/>
                <w:szCs w:val="18"/>
              </w:rPr>
              <w:t>y proyecciones</w:t>
            </w:r>
            <w:r w:rsidR="00B4008E" w:rsidRPr="7EB51544">
              <w:rPr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8A9FA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Como equipo, el proyecto permitió confirmar el interés por el desarrollo de software, la automatización de procesos y la integración de sistemas empresariales. Trabajar con una necesidad real mostró que una solución informática no termina al escribir código: también requiere comprender el proceso, validar datos, gestionar riesgos, documentar la operación y diseñar una transición segura.</w:t>
            </w:r>
          </w:p>
          <w:p w14:paraId="468D95E4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Los intereses profesionales se mantienen y se hicieron más específicos. Tania desea profundizar en arquitectura de software, automatización, datos, DevOps y soluciones cloud. Camila busca fortalecer el análisis funcional, la gestión de proyectos y la validación de soluciones orientadas a usuarios.</w:t>
            </w:r>
          </w:p>
          <w:p w14:paraId="40BC2867" w14:textId="77777777" w:rsidR="00421807" w:rsidRDefault="00000000">
            <w:pPr>
              <w:spacing w:after="60" w:line="252" w:lineRule="auto"/>
            </w:pPr>
            <w:r>
              <w:rPr>
                <w:sz w:val="18"/>
              </w:rPr>
              <w:t>Después del proyecto, el equipo se proyecta participando en iniciativas de transformación digital, integración y analítica. Como siguiente paso técnico se espera preparar la presentación para ICT y evaluar, con autorización de la empresa, una migración a GREPORTS o a una infraestructura administrada que reemplace las dependencias del equipo local por servicios corporativos.</w:t>
            </w:r>
          </w:p>
        </w:tc>
      </w:tr>
    </w:tbl>
    <w:p w14:paraId="3BFB0836" w14:textId="77777777" w:rsidR="001202BF" w:rsidRDefault="001202BF" w:rsidP="001202BF">
      <w:pPr>
        <w:rPr>
          <w:b/>
        </w:rPr>
      </w:pPr>
    </w:p>
    <w:p w14:paraId="2876CA66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3F692B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BB286B7" w14:textId="77777777" w:rsidR="001202BF" w:rsidRDefault="001202BF"/>
    <w:p w14:paraId="1AE6EA22" w14:textId="77777777" w:rsidR="00421807" w:rsidRDefault="00000000">
      <w:pPr>
        <w:pStyle w:val="Ttulo21"/>
        <w:pageBreakBefore/>
      </w:pPr>
      <w:r>
        <w:lastRenderedPageBreak/>
        <w:t>Anexo 1 Casos de uso</w:t>
      </w:r>
    </w:p>
    <w:p w14:paraId="27B0D10D" w14:textId="77777777" w:rsidR="00421807" w:rsidRDefault="00000000">
      <w:r>
        <w:t>La vista funcional muestra quién inicia, consulta y administra la solución, además de sus sistemas externos.</w:t>
      </w:r>
    </w:p>
    <w:p w14:paraId="4550AA20" w14:textId="77777777" w:rsidR="00421807" w:rsidRDefault="00000000">
      <w:pPr>
        <w:keepNext/>
        <w:jc w:val="center"/>
      </w:pPr>
      <w:r>
        <w:rPr>
          <w:noProof/>
        </w:rPr>
        <w:drawing>
          <wp:inline distT="0" distB="0" distL="0" distR="0" wp14:anchorId="096402DB" wp14:editId="5CCE4F4B">
            <wp:extent cx="6263640" cy="352329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01_casos_de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75A0" w14:textId="77777777" w:rsidR="00421807" w:rsidRDefault="00000000">
      <w:pPr>
        <w:pStyle w:val="Descripcin1"/>
        <w:spacing w:after="160"/>
        <w:jc w:val="center"/>
      </w:pPr>
      <w:r>
        <w:t>Figura 1 Casos de uso y actores principales</w:t>
      </w:r>
    </w:p>
    <w:p w14:paraId="60FC5975" w14:textId="77777777" w:rsidR="00421807" w:rsidRDefault="00000000">
      <w:pPr>
        <w:pStyle w:val="Ttulo21"/>
        <w:pageBreakBefore/>
      </w:pPr>
      <w:r>
        <w:lastRenderedPageBreak/>
        <w:t>Anexo 2 Modelo lógico de datos</w:t>
      </w:r>
    </w:p>
    <w:p w14:paraId="4C00D1A4" w14:textId="77777777" w:rsidR="00421807" w:rsidRDefault="00000000">
      <w:r>
        <w:t>El modelo organiza transacciones, catálogos, ejecuciones y artefactos sin exponer datos reales.</w:t>
      </w:r>
    </w:p>
    <w:p w14:paraId="56776F3F" w14:textId="77777777" w:rsidR="00421807" w:rsidRDefault="00000000">
      <w:pPr>
        <w:keepNext/>
        <w:jc w:val="center"/>
      </w:pPr>
      <w:r>
        <w:rPr>
          <w:noProof/>
        </w:rPr>
        <w:drawing>
          <wp:inline distT="0" distB="0" distL="0" distR="0" wp14:anchorId="71C4D1E0" wp14:editId="26B47237">
            <wp:extent cx="6263640" cy="352329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02_modelo_logico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A897" w14:textId="77777777" w:rsidR="00421807" w:rsidRDefault="00000000">
      <w:pPr>
        <w:pStyle w:val="Descripcin1"/>
        <w:spacing w:after="160"/>
        <w:jc w:val="center"/>
      </w:pPr>
      <w:r>
        <w:t>Figura 2 Entidades conceptuales y trazabilidad</w:t>
      </w:r>
    </w:p>
    <w:p w14:paraId="2497877E" w14:textId="77777777" w:rsidR="00421807" w:rsidRDefault="00000000">
      <w:pPr>
        <w:pStyle w:val="Ttulo21"/>
        <w:pageBreakBefore/>
      </w:pPr>
      <w:r>
        <w:lastRenderedPageBreak/>
        <w:t>Anexo 3 Diagrama de clases</w:t>
      </w:r>
    </w:p>
    <w:p w14:paraId="6435B00F" w14:textId="77777777" w:rsidR="00421807" w:rsidRDefault="00000000">
      <w:r>
        <w:t>La vista de clases evidencia la modularidad de carga, procesamiento, matrices, artefactos y API.</w:t>
      </w:r>
    </w:p>
    <w:p w14:paraId="7AB00DA1" w14:textId="77777777" w:rsidR="00421807" w:rsidRDefault="00000000">
      <w:pPr>
        <w:keepNext/>
        <w:jc w:val="center"/>
      </w:pPr>
      <w:r>
        <w:rPr>
          <w:noProof/>
        </w:rPr>
        <w:drawing>
          <wp:inline distT="0" distB="0" distL="0" distR="0" wp14:anchorId="738E7AEC" wp14:editId="3C0EB2DC">
            <wp:extent cx="6263640" cy="352329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03_diagrama_de_cl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E60E" w14:textId="77777777" w:rsidR="00421807" w:rsidRDefault="00000000">
      <w:pPr>
        <w:pStyle w:val="Descripcin1"/>
        <w:spacing w:after="160"/>
        <w:jc w:val="center"/>
      </w:pPr>
      <w:r>
        <w:t>Figura 3 Responsabilidades y dependencias del software</w:t>
      </w:r>
    </w:p>
    <w:p w14:paraId="7D1177A1" w14:textId="77777777" w:rsidR="00421807" w:rsidRDefault="00000000">
      <w:pPr>
        <w:pStyle w:val="Ttulo21"/>
        <w:pageBreakBefore/>
      </w:pPr>
      <w:r>
        <w:lastRenderedPageBreak/>
        <w:t>Anexo 4 Diagrama de secuencia</w:t>
      </w:r>
    </w:p>
    <w:p w14:paraId="222765CF" w14:textId="77777777" w:rsidR="00421807" w:rsidRDefault="00000000">
      <w:r>
        <w:t>La secuencia documenta la extracción, validación, generación, publicación y notificación.</w:t>
      </w:r>
    </w:p>
    <w:p w14:paraId="5C7975A9" w14:textId="77777777" w:rsidR="00421807" w:rsidRDefault="00000000">
      <w:pPr>
        <w:keepNext/>
        <w:jc w:val="center"/>
      </w:pPr>
      <w:r>
        <w:rPr>
          <w:noProof/>
        </w:rPr>
        <w:drawing>
          <wp:inline distT="0" distB="0" distL="0" distR="0" wp14:anchorId="1AF076F8" wp14:editId="1610C1CB">
            <wp:extent cx="6263640" cy="352329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04_diagrama_de_sec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CED4" w14:textId="77777777" w:rsidR="00421807" w:rsidRDefault="00000000">
      <w:pPr>
        <w:pStyle w:val="Descripcin1"/>
        <w:spacing w:after="160"/>
        <w:jc w:val="center"/>
      </w:pPr>
      <w:r>
        <w:t>Figura 4 Flujo diario controlado</w:t>
      </w:r>
    </w:p>
    <w:p w14:paraId="39426D36" w14:textId="77777777" w:rsidR="00421807" w:rsidRDefault="00000000">
      <w:pPr>
        <w:pStyle w:val="Ttulo21"/>
        <w:pageBreakBefore/>
      </w:pPr>
      <w:r>
        <w:lastRenderedPageBreak/>
        <w:t>Anexo 5 Diagrama de componentes</w:t>
      </w:r>
    </w:p>
    <w:p w14:paraId="4464946C" w14:textId="77777777" w:rsidR="00421807" w:rsidRDefault="00000000">
      <w:r>
        <w:t>La arquitectura separa interfaz, API, orquestación, procesamiento y servicios empresariales.</w:t>
      </w:r>
    </w:p>
    <w:p w14:paraId="619ECAF9" w14:textId="77777777" w:rsidR="00421807" w:rsidRDefault="00000000">
      <w:pPr>
        <w:keepNext/>
        <w:jc w:val="center"/>
      </w:pPr>
      <w:r>
        <w:rPr>
          <w:noProof/>
        </w:rPr>
        <w:drawing>
          <wp:inline distT="0" distB="0" distL="0" distR="0" wp14:anchorId="1BE736FB" wp14:editId="1034F16F">
            <wp:extent cx="6263640" cy="352329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05_diagrama_de_compon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A733" w14:textId="77777777" w:rsidR="00421807" w:rsidRDefault="00000000">
      <w:pPr>
        <w:pStyle w:val="Descripcin1"/>
        <w:spacing w:after="160"/>
        <w:jc w:val="center"/>
      </w:pPr>
      <w:r>
        <w:t>Figura 5 Arquitectura por capas e integraciones</w:t>
      </w:r>
    </w:p>
    <w:sectPr w:rsidR="00421807">
      <w:headerReference w:type="default" r:id="rId16"/>
      <w:pgSz w:w="11906" w:h="16838"/>
      <w:pgMar w:top="936" w:right="936" w:bottom="936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1E6F" w14:textId="77777777" w:rsidR="00F55CAD" w:rsidRDefault="00F55CAD" w:rsidP="00EE1135">
      <w:pPr>
        <w:spacing w:after="0" w:line="240" w:lineRule="auto"/>
      </w:pPr>
      <w:r>
        <w:separator/>
      </w:r>
    </w:p>
  </w:endnote>
  <w:endnote w:type="continuationSeparator" w:id="0">
    <w:p w14:paraId="54D594BB" w14:textId="77777777" w:rsidR="00F55CAD" w:rsidRDefault="00F55CA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D8E05" w14:textId="77777777" w:rsidR="00F55CAD" w:rsidRDefault="00F55CAD" w:rsidP="00EE1135">
      <w:pPr>
        <w:spacing w:after="0" w:line="240" w:lineRule="auto"/>
      </w:pPr>
      <w:r>
        <w:separator/>
      </w:r>
    </w:p>
  </w:footnote>
  <w:footnote w:type="continuationSeparator" w:id="0">
    <w:p w14:paraId="6486AC07" w14:textId="77777777" w:rsidR="00F55CAD" w:rsidRDefault="00F55CA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0B60DFFB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9BC3688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484FA70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C887E45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E7D5B87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93323">
    <w:abstractNumId w:val="0"/>
  </w:num>
  <w:num w:numId="2" w16cid:durableId="510225012">
    <w:abstractNumId w:val="2"/>
  </w:num>
  <w:num w:numId="3" w16cid:durableId="1598977752">
    <w:abstractNumId w:val="5"/>
  </w:num>
  <w:num w:numId="4" w16cid:durableId="1061244981">
    <w:abstractNumId w:val="1"/>
  </w:num>
  <w:num w:numId="5" w16cid:durableId="44526589">
    <w:abstractNumId w:val="3"/>
  </w:num>
  <w:num w:numId="6" w16cid:durableId="1922716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21807"/>
    <w:rsid w:val="00434472"/>
    <w:rsid w:val="00434DA2"/>
    <w:rsid w:val="00463DB6"/>
    <w:rsid w:val="004A6C8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25C41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55CAD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8016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Arial" w:hAnsi="Arial"/>
      <w:color w:val="000000"/>
      <w:sz w:val="21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customStyle="1" w:styleId="Ttulo11">
    <w:name w:val="Título 11"/>
    <w:pPr>
      <w:keepNext/>
      <w:spacing w:before="240" w:after="120"/>
    </w:pPr>
    <w:rPr>
      <w:rFonts w:ascii="Arial" w:hAnsi="Arial"/>
      <w:b/>
      <w:color w:val="000000"/>
      <w:sz w:val="30"/>
    </w:rPr>
  </w:style>
  <w:style w:type="paragraph" w:customStyle="1" w:styleId="Ttulo21">
    <w:name w:val="Título 21"/>
    <w:pPr>
      <w:keepNext/>
      <w:spacing w:before="240" w:after="120"/>
    </w:pPr>
    <w:rPr>
      <w:rFonts w:ascii="Arial" w:hAnsi="Arial"/>
      <w:b/>
      <w:color w:val="000000"/>
      <w:sz w:val="26"/>
    </w:rPr>
  </w:style>
  <w:style w:type="paragraph" w:customStyle="1" w:styleId="Descripcin1">
    <w:name w:val="Descripción1"/>
    <w:rPr>
      <w:rFonts w:ascii="Arial" w:hAnsi="Arial"/>
      <w:i/>
      <w:color w:val="505A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1382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Proyecto APT Operations Analytics</dc:title>
  <dc:subject/>
  <dc:creator>Tania Herrera y Camila Armijo</dc:creator>
  <cp:keywords/>
  <dc:description/>
  <cp:lastModifiedBy>Herrera Rodriguez, Tania Camila (Externo)</cp:lastModifiedBy>
  <cp:revision>2</cp:revision>
  <dcterms:created xsi:type="dcterms:W3CDTF">2026-10-05T02:37:00Z</dcterms:created>
  <dcterms:modified xsi:type="dcterms:W3CDTF">2026-10-05T02:37:00Z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