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5EB7DAF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576BD42E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349C3EF0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E5882BC" w14:textId="6A03D484" w:rsidR="00C82195" w:rsidRPr="00934F44" w:rsidRDefault="00E22395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2493211B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69275274" w14:textId="69AD1174" w:rsidR="00C82195" w:rsidRPr="00934F44" w:rsidRDefault="00E22395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E22395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[</w:t>
                    </w:r>
                    <w:proofErr w:type="spellStart"/>
                    <w:r w:rsidRPr="00E22395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Operations</w:t>
                    </w:r>
                    <w:proofErr w:type="spellEnd"/>
                    <w:r w:rsidRPr="00E22395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 </w:t>
                    </w:r>
                    <w:proofErr w:type="spellStart"/>
                    <w:r w:rsidRPr="00E22395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Analytics</w:t>
                    </w:r>
                    <w:proofErr w:type="spellEnd"/>
                    <w:r w:rsidRPr="00E22395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 — Automatización de Procesos SAP]</w:t>
                    </w:r>
                  </w:p>
                </w:tc>
              </w:sdtContent>
            </w:sdt>
          </w:tr>
          <w:tr w:rsidR="00C82195" w:rsidRPr="00934F44" w14:paraId="65854A5E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B69D10A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4814B931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582DAE7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Revisión: [1.0]</w:t>
                </w:r>
              </w:p>
            </w:tc>
          </w:tr>
          <w:tr w:rsidR="00C82195" w:rsidRPr="00934F44" w14:paraId="5DC945AB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5E116E81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1 de octubre de 2026</w:t>
                    </w:r>
                  </w:p>
                </w:tc>
              </w:sdtContent>
            </w:sdt>
          </w:tr>
        </w:tbl>
        <w:p w14:paraId="0D82A62A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682D4217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5441DC02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2B4D6C56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DA21E7A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4F7821C9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4EB4F269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0EC4908C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25E9FBA4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FB85DA3" w14:textId="2D9FD09A" w:rsidR="003440BD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747510" w:history="1">
            <w:r w:rsidR="003440BD" w:rsidRPr="0096492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40BD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3440BD" w:rsidRPr="0096492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40BD">
              <w:rPr>
                <w:noProof/>
                <w:webHidden/>
              </w:rPr>
              <w:tab/>
            </w:r>
            <w:r w:rsidR="003440BD">
              <w:rPr>
                <w:noProof/>
                <w:webHidden/>
              </w:rPr>
              <w:fldChar w:fldCharType="begin"/>
            </w:r>
            <w:r w:rsidR="003440BD">
              <w:rPr>
                <w:noProof/>
                <w:webHidden/>
              </w:rPr>
              <w:instrText xml:space="preserve"> PAGEREF _Toc241747510 \h </w:instrText>
            </w:r>
            <w:r w:rsidR="003440BD">
              <w:rPr>
                <w:noProof/>
                <w:webHidden/>
              </w:rPr>
            </w:r>
            <w:r w:rsidR="003440BD"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2</w:t>
            </w:r>
            <w:r w:rsidR="003440BD">
              <w:rPr>
                <w:noProof/>
                <w:webHidden/>
              </w:rPr>
              <w:fldChar w:fldCharType="end"/>
            </w:r>
          </w:hyperlink>
        </w:p>
        <w:p w14:paraId="1EED0065" w14:textId="51500F37" w:rsidR="003440BD" w:rsidRDefault="003440BD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11" w:history="1">
            <w:r w:rsidRPr="00964922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4F5CA" w14:textId="45CAD05B" w:rsidR="003440BD" w:rsidRDefault="003440BD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12" w:history="1">
            <w:r w:rsidRPr="00964922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rFonts w:cstheme="minorHAnsi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60AB7" w14:textId="20F217E0" w:rsidR="003440BD" w:rsidRDefault="003440B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13" w:history="1">
            <w:r w:rsidRPr="00964922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rFonts w:cstheme="minorHAnsi"/>
                <w:noProof/>
              </w:rPr>
              <w:t>Requisitos comunes de las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017F" w14:textId="0817D7BF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14" w:history="1">
            <w:r w:rsidRPr="00964922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43802" w14:textId="214C6D6B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15" w:history="1">
            <w:r w:rsidRPr="00964922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57A84" w14:textId="42195D5D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16" w:history="1">
            <w:r w:rsidRPr="00964922">
              <w:rPr>
                <w:rStyle w:val="Hipervnculo"/>
                <w:noProof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A1955" w14:textId="0D51FE18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17" w:history="1">
            <w:r w:rsidRPr="00964922">
              <w:rPr>
                <w:rStyle w:val="Hipervnculo"/>
                <w:noProof/>
              </w:rPr>
              <w:t>4.1.4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AA3A1" w14:textId="441CBC7E" w:rsidR="003440BD" w:rsidRDefault="003440B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18" w:history="1">
            <w:r w:rsidRPr="00964922">
              <w:rPr>
                <w:rStyle w:val="Hipervnculo"/>
                <w:rFonts w:cstheme="minorHAnsi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rFonts w:cstheme="minorHAnsi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4117C" w14:textId="661DEA20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19" w:history="1">
            <w:r w:rsidRPr="00964922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Caso de Uso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F8C27" w14:textId="5644B0E8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20" w:history="1">
            <w:r w:rsidRPr="00964922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Caso de Uso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804C" w14:textId="35EF6EDF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21" w:history="1">
            <w:r w:rsidRPr="00964922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Caso de Uso 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6AC11" w14:textId="713EF02D" w:rsidR="003440BD" w:rsidRDefault="003440B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22" w:history="1">
            <w:r w:rsidRPr="00964922">
              <w:rPr>
                <w:rStyle w:val="Hipervnculo"/>
                <w:rFonts w:cstheme="minorHAnsi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rFonts w:cstheme="minorHAnsi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3D473" w14:textId="67EB9CE8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23" w:history="1">
            <w:r w:rsidRPr="00964922">
              <w:rPr>
                <w:rStyle w:val="Hipervnculo"/>
                <w:rFonts w:cstheme="minorHAnsi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rFonts w:cstheme="minorHAnsi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A3C89" w14:textId="3B42A0B7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24" w:history="1">
            <w:r w:rsidRPr="00964922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117E2" w14:textId="7BE0EE05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25" w:history="1">
            <w:r w:rsidRPr="00964922">
              <w:rPr>
                <w:rStyle w:val="Hipervnculo"/>
                <w:noProof/>
              </w:rPr>
              <w:t>4.3.3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F0DA" w14:textId="366CABC9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26" w:history="1">
            <w:r w:rsidRPr="00964922">
              <w:rPr>
                <w:rStyle w:val="Hipervnculo"/>
                <w:noProof/>
              </w:rPr>
              <w:t>4.3.4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D9412" w14:textId="321A87CD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27" w:history="1">
            <w:r w:rsidRPr="00964922">
              <w:rPr>
                <w:rStyle w:val="Hipervnculo"/>
                <w:noProof/>
              </w:rPr>
              <w:t>4.3.5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63BD7" w14:textId="3BCE17CE" w:rsidR="003440BD" w:rsidRDefault="003440BD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28" w:history="1">
            <w:r w:rsidRPr="00964922">
              <w:rPr>
                <w:rStyle w:val="Hipervnculo"/>
                <w:noProof/>
              </w:rPr>
              <w:t>4.3.6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2A056" w14:textId="14044086" w:rsidR="003440BD" w:rsidRDefault="003440B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29" w:history="1">
            <w:r w:rsidRPr="00964922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FF8C" w14:textId="4EEC8123" w:rsidR="003440BD" w:rsidRDefault="003440BD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747530" w:history="1">
            <w:r w:rsidRPr="00964922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964922">
              <w:rPr>
                <w:rStyle w:val="Hipervnculo"/>
                <w:noProof/>
              </w:rPr>
              <w:t>Registro de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239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C0D9B" w14:textId="77777777" w:rsidR="00E22395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  <w:p w14:paraId="3E489AF1" w14:textId="77777777" w:rsidR="00E22395" w:rsidRDefault="00E22395" w:rsidP="005D79BE">
          <w:pPr>
            <w:jc w:val="both"/>
            <w:rPr>
              <w:rFonts w:cstheme="minorHAnsi"/>
              <w:lang w:val="es-ES"/>
            </w:rPr>
          </w:pPr>
        </w:p>
        <w:p w14:paraId="268A7B47" w14:textId="77777777" w:rsidR="00E22395" w:rsidRDefault="00E22395" w:rsidP="005D79BE">
          <w:pPr>
            <w:jc w:val="both"/>
            <w:rPr>
              <w:rFonts w:cstheme="minorHAnsi"/>
              <w:lang w:val="es-ES"/>
            </w:rPr>
          </w:pPr>
        </w:p>
        <w:p w14:paraId="32FBF495" w14:textId="77777777" w:rsidR="00E22395" w:rsidRDefault="00E22395" w:rsidP="005D79BE">
          <w:pPr>
            <w:jc w:val="both"/>
            <w:rPr>
              <w:rFonts w:cstheme="minorHAnsi"/>
              <w:lang w:val="es-ES"/>
            </w:rPr>
          </w:pPr>
        </w:p>
        <w:p w14:paraId="426DB901" w14:textId="77777777" w:rsidR="00E22395" w:rsidRDefault="00E22395" w:rsidP="005D79BE">
          <w:pPr>
            <w:jc w:val="both"/>
            <w:rPr>
              <w:rFonts w:cstheme="minorHAnsi"/>
              <w:lang w:val="es-ES"/>
            </w:rPr>
          </w:pPr>
        </w:p>
        <w:p w14:paraId="0DDC39D1" w14:textId="77777777" w:rsidR="00E22395" w:rsidRDefault="00E22395" w:rsidP="005D79BE">
          <w:pPr>
            <w:jc w:val="both"/>
            <w:rPr>
              <w:rFonts w:cstheme="minorHAnsi"/>
              <w:lang w:val="es-ES"/>
            </w:rPr>
          </w:pPr>
        </w:p>
        <w:p w14:paraId="011AFB80" w14:textId="77777777" w:rsidR="00E22395" w:rsidRDefault="00E22395" w:rsidP="005D79BE">
          <w:pPr>
            <w:jc w:val="both"/>
            <w:rPr>
              <w:rFonts w:cstheme="minorHAnsi"/>
              <w:lang w:val="es-ES"/>
            </w:rPr>
          </w:pPr>
        </w:p>
        <w:p w14:paraId="712EB6B2" w14:textId="54A2B588" w:rsidR="00C82195" w:rsidRPr="00934F44" w:rsidRDefault="00000000" w:rsidP="005D79BE">
          <w:pPr>
            <w:jc w:val="both"/>
            <w:rPr>
              <w:rFonts w:cstheme="minorHAnsi"/>
              <w:lang w:val="es-ES"/>
            </w:rPr>
          </w:pPr>
        </w:p>
      </w:sdtContent>
    </w:sdt>
    <w:p w14:paraId="2823CF10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747510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00CB7128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7C0C4EE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171BC9B9" w14:textId="77777777" w:rsidTr="003029DC">
        <w:tc>
          <w:tcPr>
            <w:tcW w:w="1188" w:type="dxa"/>
            <w:shd w:val="clear" w:color="auto" w:fill="E7E6E6"/>
            <w:vAlign w:val="center"/>
          </w:tcPr>
          <w:p w14:paraId="594F972E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color w:val="000000"/>
                <w:sz w:val="18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7E6E6"/>
            <w:vAlign w:val="center"/>
          </w:tcPr>
          <w:p w14:paraId="5D67B84E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color w:val="000000"/>
                <w:sz w:val="18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7E6E6"/>
            <w:vAlign w:val="center"/>
          </w:tcPr>
          <w:p w14:paraId="6F1682C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color w:val="000000"/>
                <w:sz w:val="18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7E6E6"/>
            <w:vAlign w:val="center"/>
          </w:tcPr>
          <w:p w14:paraId="4DA391C3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color w:val="000000"/>
                <w:sz w:val="18"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7E9B368D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2016768E" w14:textId="77777777" w:rsidR="005F6179" w:rsidRDefault="00E74031">
            <w:r>
              <w:rPr>
                <w:rFonts w:ascii="Calibri" w:hAnsi="Calibri"/>
                <w:color w:val="000000"/>
                <w:sz w:val="18"/>
              </w:rPr>
              <w:t>01-10-2026</w:t>
            </w:r>
          </w:p>
        </w:tc>
        <w:tc>
          <w:tcPr>
            <w:tcW w:w="1080" w:type="dxa"/>
            <w:vAlign w:val="center"/>
          </w:tcPr>
          <w:p w14:paraId="18CEEFD8" w14:textId="77777777" w:rsidR="005F6179" w:rsidRDefault="00E74031">
            <w:r>
              <w:rPr>
                <w:rFonts w:ascii="Calibri" w:hAnsi="Calibri"/>
                <w:color w:val="000000"/>
                <w:sz w:val="18"/>
              </w:rPr>
              <w:t>1.0</w:t>
            </w:r>
          </w:p>
        </w:tc>
        <w:tc>
          <w:tcPr>
            <w:tcW w:w="3060" w:type="dxa"/>
            <w:vAlign w:val="center"/>
          </w:tcPr>
          <w:p w14:paraId="55D3E52B" w14:textId="77777777" w:rsidR="005F6179" w:rsidRDefault="00E74031">
            <w:r>
              <w:rPr>
                <w:rFonts w:ascii="Calibri" w:hAnsi="Calibri"/>
                <w:color w:val="000000"/>
                <w:sz w:val="18"/>
              </w:rPr>
              <w:t>Tania Herrera y Camila Armijo</w:t>
            </w:r>
          </w:p>
        </w:tc>
        <w:tc>
          <w:tcPr>
            <w:tcW w:w="3316" w:type="dxa"/>
            <w:vAlign w:val="center"/>
          </w:tcPr>
          <w:p w14:paraId="3D0B8933" w14:textId="77777777" w:rsidR="005F6179" w:rsidRDefault="00E74031">
            <w:r>
              <w:rPr>
                <w:rFonts w:ascii="Calibri" w:hAnsi="Calibri"/>
                <w:color w:val="000000"/>
                <w:sz w:val="18"/>
              </w:rPr>
              <w:t>Documento completado según el estado actual del proyecto</w:t>
            </w:r>
          </w:p>
        </w:tc>
      </w:tr>
      <w:tr w:rsidR="00C82195" w:rsidRPr="00934F44" w14:paraId="6773FA3A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2388B4F0" w14:textId="77777777" w:rsidR="005F6179" w:rsidRDefault="005F6179"/>
        </w:tc>
        <w:tc>
          <w:tcPr>
            <w:tcW w:w="1080" w:type="dxa"/>
            <w:vAlign w:val="center"/>
          </w:tcPr>
          <w:p w14:paraId="4E921C73" w14:textId="77777777" w:rsidR="005F6179" w:rsidRDefault="005F6179"/>
        </w:tc>
        <w:tc>
          <w:tcPr>
            <w:tcW w:w="3060" w:type="dxa"/>
            <w:vAlign w:val="center"/>
          </w:tcPr>
          <w:p w14:paraId="565A49A2" w14:textId="77777777" w:rsidR="005F6179" w:rsidRDefault="005F6179"/>
        </w:tc>
        <w:tc>
          <w:tcPr>
            <w:tcW w:w="3316" w:type="dxa"/>
            <w:vAlign w:val="center"/>
          </w:tcPr>
          <w:p w14:paraId="60C7AE3B" w14:textId="77777777" w:rsidR="005F6179" w:rsidRDefault="005F6179"/>
        </w:tc>
      </w:tr>
    </w:tbl>
    <w:p w14:paraId="67537961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864772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113CB34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60B62133" w14:textId="77777777" w:rsidR="00C82195" w:rsidRPr="00934F44" w:rsidRDefault="00C82195" w:rsidP="005D79BE">
      <w:pPr>
        <w:spacing w:after="120" w:line="259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ascii="Calibri" w:hAnsi="Calibri"/>
          <w:i/>
          <w:color w:val="000000"/>
          <w:sz w:val="21"/>
        </w:rPr>
        <w:t>Documento pendiente de validación por las partes.</w:t>
      </w:r>
    </w:p>
    <w:p w14:paraId="46249824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4ED652A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24EA5B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E37624C" w14:textId="77777777" w:rsidR="00C82195" w:rsidRDefault="000D643C" w:rsidP="00C61DE5">
      <w:pPr>
        <w:pStyle w:val="Ttulo1"/>
      </w:pPr>
      <w:bookmarkStart w:id="2" w:name="_Toc241747511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4895AFE3" w14:textId="77777777" w:rsidTr="000D643C">
        <w:tc>
          <w:tcPr>
            <w:tcW w:w="3539" w:type="dxa"/>
            <w:shd w:val="clear" w:color="auto" w:fill="E7E6E6"/>
            <w:vAlign w:val="center"/>
          </w:tcPr>
          <w:p w14:paraId="6DC2E622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18"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7E6E6"/>
            <w:vAlign w:val="center"/>
          </w:tcPr>
          <w:p w14:paraId="69038F19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18"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2903B88A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1897055" w14:textId="77777777" w:rsidR="005F6179" w:rsidRDefault="00E74031">
            <w:r>
              <w:rPr>
                <w:rFonts w:ascii="Calibri" w:hAnsi="Calibri"/>
                <w:b/>
                <w:color w:val="000000"/>
                <w:sz w:val="18"/>
              </w:rPr>
              <w:t>Tania Herrera</w:t>
            </w:r>
          </w:p>
        </w:tc>
        <w:tc>
          <w:tcPr>
            <w:tcW w:w="5275" w:type="dxa"/>
            <w:vAlign w:val="center"/>
          </w:tcPr>
          <w:p w14:paraId="00A730B1" w14:textId="77777777" w:rsidR="005F6179" w:rsidRDefault="00E74031">
            <w:r>
              <w:rPr>
                <w:rFonts w:ascii="Calibri" w:hAnsi="Calibri"/>
                <w:color w:val="000000"/>
                <w:sz w:val="18"/>
              </w:rPr>
              <w:t>Líder técnica, desarrolladora principal, automatización, integración y despliegue</w:t>
            </w:r>
          </w:p>
        </w:tc>
      </w:tr>
      <w:tr w:rsidR="000D643C" w:rsidRPr="00934F44" w14:paraId="4E5AF89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0ECB4F7E" w14:textId="77777777" w:rsidR="005F6179" w:rsidRDefault="00E74031">
            <w:r>
              <w:rPr>
                <w:rFonts w:ascii="Calibri" w:hAnsi="Calibri"/>
                <w:b/>
                <w:color w:val="000000"/>
                <w:sz w:val="18"/>
              </w:rPr>
              <w:t>Camila Armijo</w:t>
            </w:r>
          </w:p>
        </w:tc>
        <w:tc>
          <w:tcPr>
            <w:tcW w:w="5275" w:type="dxa"/>
            <w:vAlign w:val="center"/>
          </w:tcPr>
          <w:p w14:paraId="28B54D15" w14:textId="77777777" w:rsidR="005F6179" w:rsidRDefault="00E74031">
            <w:r>
              <w:rPr>
                <w:rFonts w:ascii="Calibri" w:hAnsi="Calibri"/>
                <w:color w:val="000000"/>
                <w:sz w:val="18"/>
              </w:rPr>
              <w:t>Analista funcional, documentación, validación y apoyo de QA</w:t>
            </w:r>
          </w:p>
        </w:tc>
      </w:tr>
      <w:tr w:rsidR="000D643C" w:rsidRPr="00934F44" w14:paraId="1FEADE51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12FF3513" w14:textId="77777777" w:rsidR="005F6179" w:rsidRDefault="005F6179"/>
        </w:tc>
        <w:tc>
          <w:tcPr>
            <w:tcW w:w="5275" w:type="dxa"/>
            <w:vAlign w:val="center"/>
          </w:tcPr>
          <w:p w14:paraId="63A3D9E4" w14:textId="77777777" w:rsidR="005F6179" w:rsidRDefault="005F6179"/>
        </w:tc>
      </w:tr>
      <w:tr w:rsidR="000D643C" w:rsidRPr="00934F44" w14:paraId="283D8083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105F7EC7" w14:textId="77777777" w:rsidR="005F6179" w:rsidRDefault="005F6179"/>
        </w:tc>
        <w:tc>
          <w:tcPr>
            <w:tcW w:w="5275" w:type="dxa"/>
            <w:vAlign w:val="center"/>
          </w:tcPr>
          <w:p w14:paraId="3A8F585B" w14:textId="77777777" w:rsidR="005F6179" w:rsidRDefault="005F6179"/>
        </w:tc>
      </w:tr>
      <w:tr w:rsidR="000D643C" w:rsidRPr="00934F44" w14:paraId="437AC38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A77F92E" w14:textId="77777777" w:rsidR="005F6179" w:rsidRDefault="005F6179"/>
        </w:tc>
        <w:tc>
          <w:tcPr>
            <w:tcW w:w="5275" w:type="dxa"/>
            <w:vAlign w:val="center"/>
          </w:tcPr>
          <w:p w14:paraId="479F4083" w14:textId="77777777" w:rsidR="005F6179" w:rsidRDefault="005F6179"/>
        </w:tc>
      </w:tr>
    </w:tbl>
    <w:p w14:paraId="57ABAEAA" w14:textId="77777777" w:rsidR="00B80F3D" w:rsidRPr="00934F44" w:rsidRDefault="00B80F3D" w:rsidP="00C61DE5"/>
    <w:p w14:paraId="7058986E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11DCAAA7" w14:textId="77777777" w:rsidR="00B80F3D" w:rsidRPr="00934F44" w:rsidRDefault="00B80F3D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747512"/>
      <w:r w:rsidRPr="00934F44">
        <w:rPr>
          <w:rFonts w:asciiTheme="minorHAnsi" w:hAnsiTheme="minorHAnsi" w:cstheme="minorHAnsi"/>
        </w:rPr>
        <w:lastRenderedPageBreak/>
        <w:t>Requisitos Específicos</w:t>
      </w:r>
      <w:bookmarkEnd w:id="3"/>
    </w:p>
    <w:p w14:paraId="598B715A" w14:textId="77777777" w:rsidR="002E3F8E" w:rsidRPr="00934F44" w:rsidRDefault="002E253F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747513"/>
      <w:r>
        <w:rPr>
          <w:rFonts w:asciiTheme="minorHAnsi" w:hAnsiTheme="minorHAnsi" w:cstheme="minorHAnsi"/>
        </w:rPr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4"/>
    </w:p>
    <w:p w14:paraId="55887BBC" w14:textId="77777777" w:rsidR="002E3F8E" w:rsidRPr="00704663" w:rsidRDefault="005C7BC8" w:rsidP="005D79BE">
      <w:pPr>
        <w:spacing w:after="120" w:line="259" w:lineRule="auto"/>
        <w:jc w:val="both"/>
        <w:rPr>
          <w:rFonts w:cstheme="minorHAnsi"/>
          <w:color w:val="FF0000"/>
        </w:rPr>
      </w:pPr>
      <w:r>
        <w:rPr>
          <w:rFonts w:ascii="Calibri" w:hAnsi="Calibri"/>
          <w:color w:val="000000"/>
          <w:sz w:val="21"/>
        </w:rPr>
        <w:t>La solución integra una interfaz web de consulta con un pipeline de automatización que opera sobre SAP FBL1N, Excel, SharePoint o OneDrive, Outlook y Power BI. Las interfaces deben conservar la trazabilidad del origen y evitar cambios directos sobre datos productivos desde la capa web.</w:t>
      </w:r>
    </w:p>
    <w:p w14:paraId="6FFFC6AB" w14:textId="77777777" w:rsidR="002E3F8E" w:rsidRPr="00934F44" w:rsidRDefault="002E3F8E" w:rsidP="005C7BC8">
      <w:pPr>
        <w:pStyle w:val="Ttulo3"/>
      </w:pPr>
      <w:bookmarkStart w:id="5" w:name="_Toc241747514"/>
      <w:r w:rsidRPr="00934F44">
        <w:t>Interfaces de usuario</w:t>
      </w:r>
      <w:bookmarkEnd w:id="5"/>
    </w:p>
    <w:p w14:paraId="42757320" w14:textId="77777777" w:rsidR="002E3F8E" w:rsidRPr="00704663" w:rsidRDefault="002E3F8E" w:rsidP="005D79BE">
      <w:pPr>
        <w:spacing w:after="120" w:line="259" w:lineRule="auto"/>
        <w:jc w:val="both"/>
        <w:rPr>
          <w:rFonts w:cstheme="minorHAnsi"/>
          <w:color w:val="FF0000"/>
        </w:rPr>
      </w:pPr>
      <w:proofErr w:type="spellStart"/>
      <w:r>
        <w:rPr>
          <w:rFonts w:ascii="Calibri" w:hAnsi="Calibri"/>
          <w:color w:val="000000"/>
          <w:sz w:val="21"/>
        </w:rPr>
        <w:t>Operations</w:t>
      </w:r>
      <w:proofErr w:type="spellEnd"/>
      <w:r>
        <w:rPr>
          <w:rFonts w:ascii="Calibri" w:hAnsi="Calibri"/>
          <w:color w:val="000000"/>
          <w:sz w:val="21"/>
        </w:rPr>
        <w:t xml:space="preserve"> </w:t>
      </w:r>
      <w:proofErr w:type="spellStart"/>
      <w:r>
        <w:rPr>
          <w:rFonts w:ascii="Calibri" w:hAnsi="Calibri"/>
          <w:color w:val="000000"/>
          <w:sz w:val="21"/>
        </w:rPr>
        <w:t>Analytics</w:t>
      </w:r>
      <w:proofErr w:type="spellEnd"/>
      <w:r>
        <w:rPr>
          <w:rFonts w:ascii="Calibri" w:hAnsi="Calibri"/>
          <w:color w:val="000000"/>
          <w:sz w:val="21"/>
        </w:rPr>
        <w:t xml:space="preserve"> ofrece una interfaz </w:t>
      </w:r>
      <w:proofErr w:type="spellStart"/>
      <w:r>
        <w:rPr>
          <w:rFonts w:ascii="Calibri" w:hAnsi="Calibri"/>
          <w:color w:val="000000"/>
          <w:sz w:val="21"/>
        </w:rPr>
        <w:t>React</w:t>
      </w:r>
      <w:proofErr w:type="spellEnd"/>
      <w:r>
        <w:rPr>
          <w:rFonts w:ascii="Calibri" w:hAnsi="Calibri"/>
          <w:color w:val="000000"/>
          <w:sz w:val="21"/>
        </w:rPr>
        <w:t xml:space="preserve"> con navegación por Inicio, </w:t>
      </w:r>
      <w:proofErr w:type="spellStart"/>
      <w:r>
        <w:rPr>
          <w:rFonts w:ascii="Calibri" w:hAnsi="Calibri"/>
          <w:color w:val="000000"/>
          <w:sz w:val="21"/>
        </w:rPr>
        <w:t>Dashboard</w:t>
      </w:r>
      <w:proofErr w:type="spellEnd"/>
      <w:r>
        <w:rPr>
          <w:rFonts w:ascii="Calibri" w:hAnsi="Calibri"/>
          <w:color w:val="000000"/>
          <w:sz w:val="21"/>
        </w:rPr>
        <w:t xml:space="preserve">, Tesorería, Margen, SEN, IMG, Configuración e Historial. La interfaz consume </w:t>
      </w:r>
      <w:proofErr w:type="spellStart"/>
      <w:r>
        <w:rPr>
          <w:rFonts w:ascii="Calibri" w:hAnsi="Calibri"/>
          <w:color w:val="000000"/>
          <w:sz w:val="21"/>
        </w:rPr>
        <w:t>endpoints</w:t>
      </w:r>
      <w:proofErr w:type="spellEnd"/>
      <w:r>
        <w:rPr>
          <w:rFonts w:ascii="Calibri" w:hAnsi="Calibri"/>
          <w:color w:val="000000"/>
          <w:sz w:val="21"/>
        </w:rPr>
        <w:t xml:space="preserve"> de lectura de </w:t>
      </w:r>
      <w:proofErr w:type="spellStart"/>
      <w:r>
        <w:rPr>
          <w:rFonts w:ascii="Calibri" w:hAnsi="Calibri"/>
          <w:color w:val="000000"/>
          <w:sz w:val="21"/>
        </w:rPr>
        <w:t>FastAPI</w:t>
      </w:r>
      <w:proofErr w:type="spellEnd"/>
      <w:r>
        <w:rPr>
          <w:rFonts w:ascii="Calibri" w:hAnsi="Calibri"/>
          <w:color w:val="000000"/>
          <w:sz w:val="21"/>
        </w:rPr>
        <w:t>, presenta indicadores y estados, y restringe las vistas según permisos configurados.</w:t>
      </w:r>
    </w:p>
    <w:p w14:paraId="2ECE66C5" w14:textId="77777777" w:rsidR="002E3F8E" w:rsidRDefault="002E3F8E" w:rsidP="005C7BC8">
      <w:pPr>
        <w:pStyle w:val="Ttulo3"/>
      </w:pPr>
      <w:bookmarkStart w:id="6" w:name="_Toc241747515"/>
      <w:r w:rsidRPr="00934F44">
        <w:t>Interfaces de hardware</w:t>
      </w:r>
      <w:bookmarkEnd w:id="6"/>
    </w:p>
    <w:p w14:paraId="3F496CBB" w14:textId="77777777" w:rsidR="005C7BC8" w:rsidRPr="005C7BC8" w:rsidRDefault="005C7BC8" w:rsidP="005C7BC8">
      <w:pPr>
        <w:spacing w:after="120" w:line="259" w:lineRule="auto"/>
        <w:rPr>
          <w:lang w:val="es-ES" w:eastAsia="es-ES"/>
        </w:rPr>
      </w:pPr>
      <w:r>
        <w:rPr>
          <w:rFonts w:ascii="Calibri" w:hAnsi="Calibri"/>
          <w:color w:val="000000"/>
          <w:sz w:val="21"/>
        </w:rPr>
        <w:t>La ejecución empresarial requiere un equipo Windows 11 de 64 bits con sesión interactiva desbloqueada. Debe disponer de capacidad para ejecutar Python, SAP GUI, Microsoft Excel y Outlook, y de almacenamiento suficiente para fuentes, resultados, respaldos, estados y logs.</w:t>
      </w:r>
    </w:p>
    <w:p w14:paraId="7EDD219D" w14:textId="77777777" w:rsidR="002E3F8E" w:rsidRDefault="002E3F8E" w:rsidP="005C7BC8">
      <w:pPr>
        <w:pStyle w:val="Ttulo3"/>
      </w:pPr>
      <w:bookmarkStart w:id="7" w:name="_Toc241747516"/>
      <w:r w:rsidRPr="00934F44">
        <w:t>Interfaces de software</w:t>
      </w:r>
      <w:bookmarkEnd w:id="7"/>
    </w:p>
    <w:p w14:paraId="045F8285" w14:textId="77777777" w:rsidR="005C7BC8" w:rsidRPr="00E22395" w:rsidRDefault="005C7BC8" w:rsidP="005C7BC8">
      <w:pPr>
        <w:spacing w:after="120" w:line="259" w:lineRule="auto"/>
        <w:rPr>
          <w:lang w:val="en-US" w:eastAsia="es-ES"/>
        </w:rPr>
      </w:pPr>
      <w:r>
        <w:rPr>
          <w:rFonts w:ascii="Calibri" w:hAnsi="Calibri"/>
          <w:color w:val="000000"/>
          <w:sz w:val="21"/>
        </w:rPr>
        <w:t xml:space="preserve">El </w:t>
      </w:r>
      <w:proofErr w:type="spellStart"/>
      <w:r>
        <w:rPr>
          <w:rFonts w:ascii="Calibri" w:hAnsi="Calibri"/>
          <w:color w:val="000000"/>
          <w:sz w:val="21"/>
        </w:rPr>
        <w:t>backend</w:t>
      </w:r>
      <w:proofErr w:type="spellEnd"/>
      <w:r>
        <w:rPr>
          <w:rFonts w:ascii="Calibri" w:hAnsi="Calibri"/>
          <w:color w:val="000000"/>
          <w:sz w:val="21"/>
        </w:rPr>
        <w:t xml:space="preserve"> utiliza Python 3.13, pandas, </w:t>
      </w:r>
      <w:proofErr w:type="spellStart"/>
      <w:r>
        <w:rPr>
          <w:rFonts w:ascii="Calibri" w:hAnsi="Calibri"/>
          <w:color w:val="000000"/>
          <w:sz w:val="21"/>
        </w:rPr>
        <w:t>openpyxl</w:t>
      </w:r>
      <w:proofErr w:type="spellEnd"/>
      <w:r>
        <w:rPr>
          <w:rFonts w:ascii="Calibri" w:hAnsi="Calibri"/>
          <w:color w:val="000000"/>
          <w:sz w:val="21"/>
        </w:rPr>
        <w:t xml:space="preserve">, pywin32, </w:t>
      </w:r>
      <w:proofErr w:type="spellStart"/>
      <w:r>
        <w:rPr>
          <w:rFonts w:ascii="Calibri" w:hAnsi="Calibri"/>
          <w:color w:val="000000"/>
          <w:sz w:val="21"/>
        </w:rPr>
        <w:t>FastAPI</w:t>
      </w:r>
      <w:proofErr w:type="spellEnd"/>
      <w:r>
        <w:rPr>
          <w:rFonts w:ascii="Calibri" w:hAnsi="Calibri"/>
          <w:color w:val="000000"/>
          <w:sz w:val="21"/>
        </w:rPr>
        <w:t xml:space="preserve">, </w:t>
      </w:r>
      <w:proofErr w:type="spellStart"/>
      <w:r>
        <w:rPr>
          <w:rFonts w:ascii="Calibri" w:hAnsi="Calibri"/>
          <w:color w:val="000000"/>
          <w:sz w:val="21"/>
        </w:rPr>
        <w:t>Uvicorn</w:t>
      </w:r>
      <w:proofErr w:type="spellEnd"/>
      <w:r>
        <w:rPr>
          <w:rFonts w:ascii="Calibri" w:hAnsi="Calibri"/>
          <w:color w:val="000000"/>
          <w:sz w:val="21"/>
        </w:rPr>
        <w:t xml:space="preserve"> y </w:t>
      </w:r>
      <w:proofErr w:type="spellStart"/>
      <w:r>
        <w:rPr>
          <w:rFonts w:ascii="Calibri" w:hAnsi="Calibri"/>
          <w:color w:val="000000"/>
          <w:sz w:val="21"/>
        </w:rPr>
        <w:t>Pydantic</w:t>
      </w:r>
      <w:proofErr w:type="spellEnd"/>
      <w:r>
        <w:rPr>
          <w:rFonts w:ascii="Calibri" w:hAnsi="Calibri"/>
          <w:color w:val="000000"/>
          <w:sz w:val="21"/>
        </w:rPr>
        <w:t xml:space="preserve">. La interfaz utiliza </w:t>
      </w:r>
      <w:proofErr w:type="spellStart"/>
      <w:r>
        <w:rPr>
          <w:rFonts w:ascii="Calibri" w:hAnsi="Calibri"/>
          <w:color w:val="000000"/>
          <w:sz w:val="21"/>
        </w:rPr>
        <w:t>React</w:t>
      </w:r>
      <w:proofErr w:type="spellEnd"/>
      <w:r>
        <w:rPr>
          <w:rFonts w:ascii="Calibri" w:hAnsi="Calibri"/>
          <w:color w:val="000000"/>
          <w:sz w:val="21"/>
        </w:rPr>
        <w:t xml:space="preserve">, </w:t>
      </w:r>
      <w:proofErr w:type="spellStart"/>
      <w:r>
        <w:rPr>
          <w:rFonts w:ascii="Calibri" w:hAnsi="Calibri"/>
          <w:color w:val="000000"/>
          <w:sz w:val="21"/>
        </w:rPr>
        <w:t>TypeScript</w:t>
      </w:r>
      <w:proofErr w:type="spellEnd"/>
      <w:r>
        <w:rPr>
          <w:rFonts w:ascii="Calibri" w:hAnsi="Calibri"/>
          <w:color w:val="000000"/>
          <w:sz w:val="21"/>
        </w:rPr>
        <w:t xml:space="preserve"> y Vite. </w:t>
      </w:r>
      <w:r w:rsidRPr="00E22395">
        <w:rPr>
          <w:rFonts w:ascii="Calibri" w:hAnsi="Calibri"/>
          <w:color w:val="000000"/>
          <w:sz w:val="21"/>
          <w:lang w:val="en-US"/>
        </w:rPr>
        <w:t xml:space="preserve">La </w:t>
      </w:r>
      <w:proofErr w:type="spellStart"/>
      <w:r w:rsidRPr="00E22395">
        <w:rPr>
          <w:rFonts w:ascii="Calibri" w:hAnsi="Calibri"/>
          <w:color w:val="000000"/>
          <w:sz w:val="21"/>
          <w:lang w:val="en-US"/>
        </w:rPr>
        <w:t>automatización</w:t>
      </w:r>
      <w:proofErr w:type="spellEnd"/>
      <w:r w:rsidRPr="00E22395">
        <w:rPr>
          <w:rFonts w:ascii="Calibri" w:hAnsi="Calibri"/>
          <w:color w:val="000000"/>
          <w:sz w:val="21"/>
          <w:lang w:val="en-US"/>
        </w:rPr>
        <w:t xml:space="preserve"> se integra con SAP GUI Scripting, Excel COM, Outlook COM, Windows Task Scheduler, SharePoint o OneDrive y Power BI.</w:t>
      </w:r>
    </w:p>
    <w:p w14:paraId="5F1ECCCE" w14:textId="77777777" w:rsidR="002E3F8E" w:rsidRDefault="002E3F8E" w:rsidP="005C7BC8">
      <w:pPr>
        <w:pStyle w:val="Ttulo3"/>
      </w:pPr>
      <w:bookmarkStart w:id="8" w:name="_Toc241747517"/>
      <w:r w:rsidRPr="00934F44">
        <w:t>Interfaces de comunicación</w:t>
      </w:r>
      <w:bookmarkEnd w:id="8"/>
    </w:p>
    <w:p w14:paraId="3BA3E649" w14:textId="77777777" w:rsidR="005C7BC8" w:rsidRDefault="005C7BC8" w:rsidP="005C7BC8">
      <w:pPr>
        <w:spacing w:after="120" w:line="259" w:lineRule="auto"/>
        <w:rPr>
          <w:lang w:val="es-ES" w:eastAsia="es-ES"/>
        </w:rPr>
      </w:pPr>
      <w:r>
        <w:rPr>
          <w:rFonts w:ascii="Calibri" w:hAnsi="Calibri"/>
          <w:color w:val="000000"/>
          <w:sz w:val="21"/>
        </w:rPr>
        <w:t xml:space="preserve">La interfaz web se comunica con </w:t>
      </w:r>
      <w:proofErr w:type="spellStart"/>
      <w:r>
        <w:rPr>
          <w:rFonts w:ascii="Calibri" w:hAnsi="Calibri"/>
          <w:color w:val="000000"/>
          <w:sz w:val="21"/>
        </w:rPr>
        <w:t>FastAPI</w:t>
      </w:r>
      <w:proofErr w:type="spellEnd"/>
      <w:r>
        <w:rPr>
          <w:rFonts w:ascii="Calibri" w:hAnsi="Calibri"/>
          <w:color w:val="000000"/>
          <w:sz w:val="21"/>
        </w:rPr>
        <w:t xml:space="preserve"> mediante HTTP o HTTPS y solicitudes JSON. La publicación utiliza una carpeta corporativa sincronizada con SharePoint o OneDrive; las notificaciones se envían mediante Outlook COM. SAP GUI Scripting y Excel COM operan localmente en la sesión autorizada.</w:t>
      </w:r>
    </w:p>
    <w:p w14:paraId="19C64421" w14:textId="77777777" w:rsidR="005C7BC8" w:rsidRDefault="005C7BC8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66307602" w14:textId="77777777" w:rsidR="005C7BC8" w:rsidRPr="005C7BC8" w:rsidRDefault="005C7BC8" w:rsidP="005C7BC8">
      <w:pPr>
        <w:rPr>
          <w:lang w:val="es-ES" w:eastAsia="es-ES"/>
        </w:rPr>
      </w:pPr>
    </w:p>
    <w:p w14:paraId="6C2C2AA0" w14:textId="77777777" w:rsidR="002E3F8E" w:rsidRDefault="002E3F8E" w:rsidP="005D79BE">
      <w:pPr>
        <w:pStyle w:val="Ttulo2"/>
        <w:jc w:val="both"/>
        <w:rPr>
          <w:rFonts w:asciiTheme="minorHAnsi" w:hAnsiTheme="minorHAnsi" w:cstheme="minorHAnsi"/>
        </w:rPr>
      </w:pPr>
      <w:bookmarkStart w:id="9" w:name="_Toc241747518"/>
      <w:r w:rsidRPr="00934F44">
        <w:rPr>
          <w:rFonts w:asciiTheme="minorHAnsi" w:hAnsiTheme="minorHAnsi" w:cstheme="minorHAnsi"/>
        </w:rPr>
        <w:t>Requisitos funcionales</w:t>
      </w:r>
      <w:bookmarkEnd w:id="9"/>
    </w:p>
    <w:p w14:paraId="756C3EA6" w14:textId="77777777" w:rsidR="005C7BC8" w:rsidRDefault="005C7BC8" w:rsidP="005C7BC8">
      <w:pPr>
        <w:spacing w:after="120" w:line="259" w:lineRule="auto"/>
      </w:pPr>
      <w:r>
        <w:rPr>
          <w:rFonts w:ascii="Calibri" w:hAnsi="Calibri"/>
          <w:color w:val="000000"/>
          <w:sz w:val="21"/>
        </w:rPr>
        <w:t>Los requisitos funcionales se agrupan en tres casos de uso que cubren el ciclo diario, la consulta operativa y el mantenimiento controlado de parámetros.</w:t>
      </w:r>
    </w:p>
    <w:p w14:paraId="54AC5054" w14:textId="77777777" w:rsidR="005C7BC8" w:rsidRDefault="002435E0" w:rsidP="002435E0">
      <w:pPr>
        <w:pStyle w:val="Ttulo3"/>
      </w:pPr>
      <w:bookmarkStart w:id="10" w:name="_Toc241747519"/>
      <w:r>
        <w:t>Caso de Uso 01</w:t>
      </w:r>
      <w:bookmarkEnd w:id="10"/>
    </w:p>
    <w:p w14:paraId="71928140" w14:textId="77777777" w:rsidR="002435E0" w:rsidRDefault="002435E0" w:rsidP="002435E0"/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7"/>
        <w:gridCol w:w="789"/>
        <w:gridCol w:w="6111"/>
      </w:tblGrid>
      <w:tr w:rsidR="00AC3A89" w:rsidRPr="006947D2" w14:paraId="38EB578E" w14:textId="77777777" w:rsidTr="001E475D">
        <w:trPr>
          <w:cantSplit/>
        </w:trPr>
        <w:tc>
          <w:tcPr>
            <w:tcW w:w="3307" w:type="dxa"/>
            <w:shd w:val="clear" w:color="auto" w:fill="E7E6E6"/>
            <w:vAlign w:val="center"/>
          </w:tcPr>
          <w:p w14:paraId="1C75732E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RF-01</w:t>
            </w:r>
          </w:p>
        </w:tc>
        <w:tc>
          <w:tcPr>
            <w:tcW w:w="6900" w:type="dxa"/>
            <w:gridSpan w:val="2"/>
            <w:shd w:val="clear" w:color="auto" w:fill="E7E6E6"/>
            <w:vAlign w:val="center"/>
          </w:tcPr>
          <w:p w14:paraId="60D07A29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Ejecutar actualización automática FBL1N</w:t>
            </w:r>
          </w:p>
        </w:tc>
      </w:tr>
      <w:tr w:rsidR="00AC3A89" w:rsidRPr="006947D2" w14:paraId="50ED31B9" w14:textId="77777777" w:rsidTr="001E475D">
        <w:trPr>
          <w:cantSplit/>
        </w:trPr>
        <w:tc>
          <w:tcPr>
            <w:tcW w:w="3307" w:type="dxa"/>
            <w:vAlign w:val="center"/>
          </w:tcPr>
          <w:p w14:paraId="378AA233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Versión</w:t>
            </w:r>
          </w:p>
        </w:tc>
        <w:tc>
          <w:tcPr>
            <w:tcW w:w="6900" w:type="dxa"/>
            <w:gridSpan w:val="2"/>
            <w:vAlign w:val="center"/>
          </w:tcPr>
          <w:p w14:paraId="5C7D6088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1.0 - 01-10-2026</w:t>
            </w:r>
          </w:p>
        </w:tc>
      </w:tr>
      <w:tr w:rsidR="00AC3A89" w:rsidRPr="00E22395" w14:paraId="6E72F8A8" w14:textId="77777777" w:rsidTr="001E475D">
        <w:trPr>
          <w:cantSplit/>
        </w:trPr>
        <w:tc>
          <w:tcPr>
            <w:tcW w:w="3307" w:type="dxa"/>
            <w:vAlign w:val="center"/>
          </w:tcPr>
          <w:p w14:paraId="36996AC3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Actores</w:t>
            </w:r>
          </w:p>
        </w:tc>
        <w:tc>
          <w:tcPr>
            <w:tcW w:w="6900" w:type="dxa"/>
            <w:gridSpan w:val="2"/>
            <w:vAlign w:val="center"/>
          </w:tcPr>
          <w:p w14:paraId="36A18B8A" w14:textId="77777777" w:rsidR="005F6179" w:rsidRPr="00E22395" w:rsidRDefault="00E74031">
            <w:pPr>
              <w:spacing w:after="0" w:line="240" w:lineRule="auto"/>
              <w:rPr>
                <w:lang w:val="en-US"/>
              </w:rPr>
            </w:pPr>
            <w:proofErr w:type="spellStart"/>
            <w:r w:rsidRPr="00E22395">
              <w:rPr>
                <w:rFonts w:ascii="Calibri" w:hAnsi="Calibri"/>
                <w:color w:val="000000"/>
                <w:sz w:val="18"/>
                <w:lang w:val="en-US"/>
              </w:rPr>
              <w:t>Primarios</w:t>
            </w:r>
            <w:proofErr w:type="spellEnd"/>
            <w:r w:rsidRPr="00E22395">
              <w:rPr>
                <w:rFonts w:ascii="Calibri" w:hAnsi="Calibri"/>
                <w:color w:val="000000"/>
                <w:sz w:val="18"/>
                <w:lang w:val="en-US"/>
              </w:rPr>
              <w:t xml:space="preserve">: Windows Task Scheduler y </w:t>
            </w:r>
            <w:proofErr w:type="spellStart"/>
            <w:r w:rsidRPr="00E22395">
              <w:rPr>
                <w:rFonts w:ascii="Calibri" w:hAnsi="Calibri"/>
                <w:color w:val="000000"/>
                <w:sz w:val="18"/>
                <w:lang w:val="en-US"/>
              </w:rPr>
              <w:t>analista</w:t>
            </w:r>
            <w:proofErr w:type="spellEnd"/>
            <w:r w:rsidRPr="00E22395">
              <w:rPr>
                <w:rFonts w:ascii="Calibri" w:hAnsi="Calibri"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Pr="00E22395">
              <w:rPr>
                <w:rFonts w:ascii="Calibri" w:hAnsi="Calibri"/>
                <w:color w:val="000000"/>
                <w:sz w:val="18"/>
                <w:lang w:val="en-US"/>
              </w:rPr>
              <w:t>autorizado</w:t>
            </w:r>
            <w:proofErr w:type="spellEnd"/>
            <w:r w:rsidRPr="00E22395">
              <w:rPr>
                <w:rFonts w:ascii="Calibri" w:hAnsi="Calibri"/>
                <w:color w:val="000000"/>
                <w:sz w:val="18"/>
                <w:lang w:val="en-US"/>
              </w:rPr>
              <w:t xml:space="preserve">. </w:t>
            </w:r>
            <w:proofErr w:type="spellStart"/>
            <w:r w:rsidRPr="00E22395">
              <w:rPr>
                <w:rFonts w:ascii="Calibri" w:hAnsi="Calibri"/>
                <w:color w:val="000000"/>
                <w:sz w:val="18"/>
                <w:lang w:val="en-US"/>
              </w:rPr>
              <w:t>Secundarios</w:t>
            </w:r>
            <w:proofErr w:type="spellEnd"/>
            <w:r w:rsidRPr="00E22395">
              <w:rPr>
                <w:rFonts w:ascii="Calibri" w:hAnsi="Calibri"/>
                <w:color w:val="000000"/>
                <w:sz w:val="18"/>
                <w:lang w:val="en-US"/>
              </w:rPr>
              <w:t>: SAP GUI, pipeline Python, Excel, SharePoint o OneDrive y Outlook.</w:t>
            </w:r>
          </w:p>
        </w:tc>
      </w:tr>
      <w:tr w:rsidR="00AC3A89" w:rsidRPr="006947D2" w14:paraId="512CEF9B" w14:textId="77777777" w:rsidTr="001E475D">
        <w:trPr>
          <w:cantSplit/>
        </w:trPr>
        <w:tc>
          <w:tcPr>
            <w:tcW w:w="3307" w:type="dxa"/>
            <w:vAlign w:val="center"/>
          </w:tcPr>
          <w:p w14:paraId="4BBA48D4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Objetivos asociados</w:t>
            </w:r>
          </w:p>
        </w:tc>
        <w:tc>
          <w:tcPr>
            <w:tcW w:w="6900" w:type="dxa"/>
            <w:gridSpan w:val="2"/>
            <w:vAlign w:val="center"/>
          </w:tcPr>
          <w:p w14:paraId="4488DA56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Automatizar la obtención, validación, consolidación, generación y publicación de información FBL1N con trazabilidad.</w:t>
            </w:r>
          </w:p>
        </w:tc>
      </w:tr>
      <w:tr w:rsidR="00AC3A89" w:rsidRPr="006947D2" w14:paraId="283B806E" w14:textId="77777777" w:rsidTr="001E475D">
        <w:trPr>
          <w:cantSplit/>
        </w:trPr>
        <w:tc>
          <w:tcPr>
            <w:tcW w:w="3307" w:type="dxa"/>
            <w:vAlign w:val="center"/>
          </w:tcPr>
          <w:p w14:paraId="43F0E965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Requerimientos asociados</w:t>
            </w:r>
          </w:p>
        </w:tc>
        <w:tc>
          <w:tcPr>
            <w:tcW w:w="6900" w:type="dxa"/>
            <w:gridSpan w:val="2"/>
            <w:vAlign w:val="center"/>
          </w:tcPr>
          <w:p w14:paraId="0C36AA9A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RF-02, RF-03 y requisitos de rendimiento, seguridad, fiabilidad y disponibilidad.</w:t>
            </w:r>
          </w:p>
        </w:tc>
      </w:tr>
      <w:tr w:rsidR="00AC3A89" w:rsidRPr="006947D2" w14:paraId="6AF1B260" w14:textId="77777777" w:rsidTr="001E475D">
        <w:trPr>
          <w:cantSplit/>
        </w:trPr>
        <w:tc>
          <w:tcPr>
            <w:tcW w:w="3307" w:type="dxa"/>
            <w:vAlign w:val="center"/>
          </w:tcPr>
          <w:p w14:paraId="0DBAD56E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Descripción</w:t>
            </w:r>
          </w:p>
        </w:tc>
        <w:tc>
          <w:tcPr>
            <w:tcW w:w="6900" w:type="dxa"/>
            <w:gridSpan w:val="2"/>
            <w:vAlign w:val="center"/>
          </w:tcPr>
          <w:p w14:paraId="539A8BCA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Ejecuta el ciclo diario, detecta cambios en las fuentes, construye la matriz y los reportes, publica los resultados y notifica cuando corresponde.</w:t>
            </w:r>
          </w:p>
        </w:tc>
      </w:tr>
      <w:tr w:rsidR="00AC3A89" w:rsidRPr="006947D2" w14:paraId="3CB00121" w14:textId="77777777" w:rsidTr="001E475D">
        <w:trPr>
          <w:cantSplit/>
        </w:trPr>
        <w:tc>
          <w:tcPr>
            <w:tcW w:w="3307" w:type="dxa"/>
            <w:vAlign w:val="center"/>
          </w:tcPr>
          <w:p w14:paraId="5554FF97" w14:textId="77777777" w:rsidR="00AC3A89" w:rsidRPr="006947D2" w:rsidRDefault="00AC3A89" w:rsidP="00AC3A89">
            <w:pPr>
              <w:spacing w:after="0" w:line="240" w:lineRule="auto"/>
            </w:pPr>
            <w:proofErr w:type="spellStart"/>
            <w:r w:rsidRPr="006947D2">
              <w:rPr>
                <w:rFonts w:ascii="Calibri" w:hAnsi="Calibri"/>
                <w:color w:val="000000"/>
                <w:sz w:val="18"/>
              </w:rPr>
              <w:t>Pre</w:t>
            </w:r>
            <w:r>
              <w:rPr>
                <w:rFonts w:ascii="Calibri" w:hAnsi="Calibri"/>
                <w:color w:val="000000"/>
                <w:sz w:val="18"/>
              </w:rPr>
              <w:t>-</w:t>
            </w:r>
            <w:r w:rsidRPr="006947D2">
              <w:rPr>
                <w:rFonts w:ascii="Calibri" w:hAnsi="Calibri"/>
                <w:color w:val="000000"/>
                <w:sz w:val="18"/>
              </w:rPr>
              <w:t>condición</w:t>
            </w:r>
            <w:proofErr w:type="spellEnd"/>
          </w:p>
        </w:tc>
        <w:tc>
          <w:tcPr>
            <w:tcW w:w="6900" w:type="dxa"/>
            <w:gridSpan w:val="2"/>
            <w:vAlign w:val="center"/>
          </w:tcPr>
          <w:p w14:paraId="38DE214B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El equipo autorizado tiene sesión interactiva; SAP GUI Scripting, Python, Excel, Outlook y las rutas configuradas están disponibles.</w:t>
            </w:r>
          </w:p>
        </w:tc>
      </w:tr>
      <w:tr w:rsidR="00AC3A89" w:rsidRPr="006947D2" w14:paraId="14F4B64E" w14:textId="77777777" w:rsidTr="001E475D">
        <w:trPr>
          <w:cantSplit/>
        </w:trPr>
        <w:tc>
          <w:tcPr>
            <w:tcW w:w="3307" w:type="dxa"/>
            <w:vMerge w:val="restart"/>
            <w:vAlign w:val="center"/>
          </w:tcPr>
          <w:p w14:paraId="47282262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Secuencia normal</w:t>
            </w:r>
            <w:r>
              <w:rPr>
                <w:rFonts w:ascii="Calibri" w:hAnsi="Calibri"/>
                <w:b/>
                <w:color w:val="000000"/>
                <w:sz w:val="18"/>
              </w:rPr>
              <w:br/>
              <w:t>Flujo principal sin errores.</w:t>
            </w:r>
          </w:p>
        </w:tc>
        <w:tc>
          <w:tcPr>
            <w:tcW w:w="789" w:type="dxa"/>
            <w:vAlign w:val="center"/>
          </w:tcPr>
          <w:p w14:paraId="69BBE9CF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Paso</w:t>
            </w:r>
          </w:p>
        </w:tc>
        <w:tc>
          <w:tcPr>
            <w:tcW w:w="6111" w:type="dxa"/>
            <w:vAlign w:val="center"/>
          </w:tcPr>
          <w:p w14:paraId="69058CBA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Acción</w:t>
            </w:r>
          </w:p>
        </w:tc>
      </w:tr>
      <w:tr w:rsidR="00AC3A89" w:rsidRPr="006947D2" w14:paraId="3B90DB7C" w14:textId="77777777" w:rsidTr="001E475D">
        <w:trPr>
          <w:cantSplit/>
        </w:trPr>
        <w:tc>
          <w:tcPr>
            <w:tcW w:w="3307" w:type="dxa"/>
            <w:vMerge/>
          </w:tcPr>
          <w:p w14:paraId="0B02960C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7D42F750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111" w:type="dxa"/>
            <w:vAlign w:val="center"/>
          </w:tcPr>
          <w:p w14:paraId="0D16B7AB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El programador inicia scripts/run_diario.py a las 09:00.</w:t>
            </w:r>
          </w:p>
        </w:tc>
      </w:tr>
      <w:tr w:rsidR="00AC3A89" w:rsidRPr="006947D2" w14:paraId="705D3C13" w14:textId="77777777" w:rsidTr="001E475D">
        <w:trPr>
          <w:cantSplit/>
        </w:trPr>
        <w:tc>
          <w:tcPr>
            <w:tcW w:w="3307" w:type="dxa"/>
            <w:vMerge/>
          </w:tcPr>
          <w:p w14:paraId="3F40FF03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3B83DD33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111" w:type="dxa"/>
            <w:vAlign w:val="center"/>
          </w:tcPr>
          <w:p w14:paraId="4CC9AF77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 xml:space="preserve">El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wrapper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ejecuta la extracción controlada de FBL1N mediante SAP GUI Scripting.</w:t>
            </w:r>
          </w:p>
        </w:tc>
      </w:tr>
      <w:tr w:rsidR="00AC3A89" w:rsidRPr="006947D2" w14:paraId="279603A8" w14:textId="77777777" w:rsidTr="001E475D">
        <w:trPr>
          <w:cantSplit/>
        </w:trPr>
        <w:tc>
          <w:tcPr>
            <w:tcW w:w="3307" w:type="dxa"/>
            <w:vMerge/>
          </w:tcPr>
          <w:p w14:paraId="43D6888F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18419FE8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6111" w:type="dxa"/>
            <w:vAlign w:val="center"/>
          </w:tcPr>
          <w:p w14:paraId="28A04579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El sistema espera la liberación y estabilidad del archivo exportado.</w:t>
            </w:r>
          </w:p>
        </w:tc>
      </w:tr>
      <w:tr w:rsidR="00AC3A89" w:rsidRPr="006947D2" w14:paraId="47D4323A" w14:textId="77777777" w:rsidTr="001E475D">
        <w:trPr>
          <w:cantSplit/>
        </w:trPr>
        <w:tc>
          <w:tcPr>
            <w:tcW w:w="3307" w:type="dxa"/>
            <w:vMerge/>
          </w:tcPr>
          <w:p w14:paraId="41170F8F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2CBCBE63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6111" w:type="dxa"/>
            <w:vAlign w:val="center"/>
          </w:tcPr>
          <w:p w14:paraId="5FE0A2D8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El orquestador valida estructura y calcula la identidad SHA-256 y semántica de las fuentes.</w:t>
            </w:r>
          </w:p>
        </w:tc>
      </w:tr>
      <w:tr w:rsidR="00AC3A89" w:rsidRPr="006947D2" w14:paraId="78DB6D63" w14:textId="77777777" w:rsidTr="001E475D">
        <w:trPr>
          <w:cantSplit/>
        </w:trPr>
        <w:tc>
          <w:tcPr>
            <w:tcW w:w="3307" w:type="dxa"/>
            <w:vMerge/>
          </w:tcPr>
          <w:p w14:paraId="3297BB48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01F87554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6111" w:type="dxa"/>
            <w:vAlign w:val="center"/>
          </w:tcPr>
          <w:p w14:paraId="33B9C586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Si existen cambios, el pipeline genera MATRIZ_FBL1N y los reportes dinámicos.</w:t>
            </w:r>
          </w:p>
        </w:tc>
      </w:tr>
      <w:tr w:rsidR="00AC3A89" w:rsidRPr="006947D2" w14:paraId="65B4EE1F" w14:textId="77777777" w:rsidTr="001E475D">
        <w:trPr>
          <w:cantSplit/>
        </w:trPr>
        <w:tc>
          <w:tcPr>
            <w:tcW w:w="3307" w:type="dxa"/>
            <w:vMerge/>
          </w:tcPr>
          <w:p w14:paraId="1500594B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496E3C21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6111" w:type="dxa"/>
            <w:vAlign w:val="center"/>
          </w:tcPr>
          <w:p w14:paraId="2505AC6F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El sistema valida los artefactos y publica la versión actual en SharePoint o OneDrive.</w:t>
            </w:r>
          </w:p>
        </w:tc>
      </w:tr>
      <w:tr w:rsidR="00AC3A89" w:rsidRPr="006947D2" w14:paraId="0AFB138C" w14:textId="77777777" w:rsidTr="001E475D">
        <w:trPr>
          <w:cantSplit/>
        </w:trPr>
        <w:tc>
          <w:tcPr>
            <w:tcW w:w="3307" w:type="dxa"/>
            <w:vMerge/>
          </w:tcPr>
          <w:p w14:paraId="69200642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0C9CFA81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111" w:type="dxa"/>
            <w:vAlign w:val="center"/>
          </w:tcPr>
          <w:p w14:paraId="7D42E93F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El sistema registra estado y logs, y Outlook envía la notificación el día configurado.</w:t>
            </w:r>
          </w:p>
        </w:tc>
      </w:tr>
      <w:tr w:rsidR="00AC3A89" w:rsidRPr="006947D2" w14:paraId="7D6F650B" w14:textId="77777777" w:rsidTr="001E475D">
        <w:trPr>
          <w:cantSplit/>
        </w:trPr>
        <w:tc>
          <w:tcPr>
            <w:tcW w:w="3307" w:type="dxa"/>
            <w:vAlign w:val="center"/>
          </w:tcPr>
          <w:p w14:paraId="5D29867F" w14:textId="77777777" w:rsidR="00AC3A89" w:rsidRPr="006947D2" w:rsidRDefault="00AC3A89" w:rsidP="00AC3A89">
            <w:pPr>
              <w:spacing w:after="0" w:line="240" w:lineRule="auto"/>
            </w:pPr>
            <w:proofErr w:type="spellStart"/>
            <w:proofErr w:type="gramStart"/>
            <w:r w:rsidRPr="006947D2">
              <w:rPr>
                <w:rFonts w:ascii="Calibri" w:hAnsi="Calibri"/>
                <w:color w:val="000000"/>
                <w:sz w:val="18"/>
              </w:rPr>
              <w:t>Post</w:t>
            </w:r>
            <w:r>
              <w:rPr>
                <w:rFonts w:ascii="Calibri" w:hAnsi="Calibri"/>
                <w:color w:val="000000"/>
                <w:sz w:val="18"/>
              </w:rPr>
              <w:t>-</w:t>
            </w:r>
            <w:r w:rsidRPr="006947D2">
              <w:rPr>
                <w:rFonts w:ascii="Calibri" w:hAnsi="Calibri"/>
                <w:color w:val="000000"/>
                <w:sz w:val="18"/>
              </w:rPr>
              <w:t>condición</w:t>
            </w:r>
            <w:proofErr w:type="spellEnd"/>
            <w:proofErr w:type="gramEnd"/>
          </w:p>
        </w:tc>
        <w:tc>
          <w:tcPr>
            <w:tcW w:w="6900" w:type="dxa"/>
            <w:gridSpan w:val="2"/>
            <w:vAlign w:val="center"/>
          </w:tcPr>
          <w:p w14:paraId="1D19AF86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Los artefactos válidos quedan publicados y la ejecución queda registrada con estado, huella, rutas, fechas y resultado de correo.</w:t>
            </w:r>
          </w:p>
        </w:tc>
      </w:tr>
      <w:tr w:rsidR="00AC3A89" w:rsidRPr="006947D2" w14:paraId="5666B2D7" w14:textId="77777777" w:rsidTr="001E475D">
        <w:trPr>
          <w:cantSplit/>
        </w:trPr>
        <w:tc>
          <w:tcPr>
            <w:tcW w:w="3307" w:type="dxa"/>
            <w:vMerge w:val="restart"/>
            <w:vAlign w:val="center"/>
          </w:tcPr>
          <w:p w14:paraId="35844E22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Excepciones</w:t>
            </w:r>
            <w:r>
              <w:rPr>
                <w:rFonts w:ascii="Calibri" w:hAnsi="Calibri"/>
                <w:b/>
                <w:color w:val="000000"/>
                <w:sz w:val="18"/>
              </w:rPr>
              <w:br/>
              <w:t>Desviaciones controladas del flujo normal.</w:t>
            </w:r>
          </w:p>
        </w:tc>
        <w:tc>
          <w:tcPr>
            <w:tcW w:w="789" w:type="dxa"/>
            <w:vAlign w:val="center"/>
          </w:tcPr>
          <w:p w14:paraId="2FB64100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Paso</w:t>
            </w:r>
          </w:p>
        </w:tc>
        <w:tc>
          <w:tcPr>
            <w:tcW w:w="6111" w:type="dxa"/>
            <w:vAlign w:val="center"/>
          </w:tcPr>
          <w:p w14:paraId="7DE85DE2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Acción</w:t>
            </w:r>
          </w:p>
        </w:tc>
      </w:tr>
      <w:tr w:rsidR="00AC3A89" w:rsidRPr="006947D2" w14:paraId="58412668" w14:textId="77777777" w:rsidTr="001E475D">
        <w:trPr>
          <w:cantSplit/>
        </w:trPr>
        <w:tc>
          <w:tcPr>
            <w:tcW w:w="3307" w:type="dxa"/>
            <w:vMerge/>
          </w:tcPr>
          <w:p w14:paraId="3CE7D92B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25831227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111" w:type="dxa"/>
            <w:vAlign w:val="center"/>
          </w:tcPr>
          <w:p w14:paraId="305C193E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Si SAP GUI o la sesión no están disponibles, se aborta sin reemplazar el artefacto vigente.</w:t>
            </w:r>
          </w:p>
        </w:tc>
      </w:tr>
      <w:tr w:rsidR="00AC3A89" w:rsidRPr="006947D2" w14:paraId="70D3B644" w14:textId="77777777" w:rsidTr="001E475D">
        <w:trPr>
          <w:cantSplit/>
        </w:trPr>
        <w:tc>
          <w:tcPr>
            <w:tcW w:w="3307" w:type="dxa"/>
            <w:vMerge/>
          </w:tcPr>
          <w:p w14:paraId="566B372D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6A30998E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111" w:type="dxa"/>
            <w:vAlign w:val="center"/>
          </w:tcPr>
          <w:p w14:paraId="657FBF1D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Si la fuente es inestable, ilegible o no cumple la estructura, se registra el error y no se publica.</w:t>
            </w:r>
          </w:p>
        </w:tc>
      </w:tr>
      <w:tr w:rsidR="00AC3A89" w:rsidRPr="006947D2" w14:paraId="06429EF5" w14:textId="77777777" w:rsidTr="001E475D">
        <w:trPr>
          <w:cantSplit/>
        </w:trPr>
        <w:tc>
          <w:tcPr>
            <w:tcW w:w="3307" w:type="dxa"/>
            <w:vMerge/>
          </w:tcPr>
          <w:p w14:paraId="05043CC7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0E9C4B54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6111" w:type="dxa"/>
            <w:vAlign w:val="center"/>
          </w:tcPr>
          <w:p w14:paraId="1D028F5D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Si falla publicación o correo, el sistema conserva el estado para reintentar solo la etapa pendiente.</w:t>
            </w:r>
          </w:p>
        </w:tc>
      </w:tr>
      <w:tr w:rsidR="00AC3A89" w:rsidRPr="006947D2" w14:paraId="39E78734" w14:textId="77777777" w:rsidTr="001E475D">
        <w:trPr>
          <w:cantSplit/>
        </w:trPr>
        <w:tc>
          <w:tcPr>
            <w:tcW w:w="3307" w:type="dxa"/>
            <w:vMerge w:val="restart"/>
            <w:vAlign w:val="center"/>
          </w:tcPr>
          <w:p w14:paraId="44D8CB03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Rendimiento</w:t>
            </w:r>
            <w:r>
              <w:rPr>
                <w:rFonts w:ascii="Calibri" w:hAnsi="Calibri"/>
                <w:b/>
                <w:color w:val="000000"/>
                <w:sz w:val="18"/>
              </w:rPr>
              <w:br/>
              <w:t>Límites técnicos configurados.</w:t>
            </w:r>
          </w:p>
        </w:tc>
        <w:tc>
          <w:tcPr>
            <w:tcW w:w="789" w:type="dxa"/>
            <w:vAlign w:val="center"/>
          </w:tcPr>
          <w:p w14:paraId="4BF0F9CC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Paso</w:t>
            </w:r>
          </w:p>
        </w:tc>
        <w:tc>
          <w:tcPr>
            <w:tcW w:w="6111" w:type="dxa"/>
            <w:vAlign w:val="center"/>
          </w:tcPr>
          <w:p w14:paraId="76ABDA6D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Cota de tiempo</w:t>
            </w:r>
          </w:p>
        </w:tc>
      </w:tr>
      <w:tr w:rsidR="00AC3A89" w:rsidRPr="006947D2" w14:paraId="74635450" w14:textId="77777777" w:rsidTr="001E475D">
        <w:trPr>
          <w:cantSplit/>
        </w:trPr>
        <w:tc>
          <w:tcPr>
            <w:tcW w:w="3307" w:type="dxa"/>
            <w:vMerge/>
          </w:tcPr>
          <w:p w14:paraId="023A9642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1CA31694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111" w:type="dxa"/>
            <w:vAlign w:val="center"/>
          </w:tcPr>
          <w:p w14:paraId="37A5F2E0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Extracción SAP: máximo configurable de 45 minutos.</w:t>
            </w:r>
          </w:p>
        </w:tc>
      </w:tr>
      <w:tr w:rsidR="00AC3A89" w:rsidRPr="00E22395" w14:paraId="1418BCF5" w14:textId="77777777" w:rsidTr="001E475D">
        <w:trPr>
          <w:cantSplit/>
        </w:trPr>
        <w:tc>
          <w:tcPr>
            <w:tcW w:w="3307" w:type="dxa"/>
            <w:vMerge/>
          </w:tcPr>
          <w:p w14:paraId="21A67235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09781986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4-6</w:t>
            </w:r>
          </w:p>
        </w:tc>
        <w:tc>
          <w:tcPr>
            <w:tcW w:w="6111" w:type="dxa"/>
            <w:vAlign w:val="center"/>
          </w:tcPr>
          <w:p w14:paraId="5F77DAFB" w14:textId="77777777" w:rsidR="005F6179" w:rsidRPr="00E22395" w:rsidRDefault="00E74031">
            <w:pPr>
              <w:spacing w:after="0" w:line="240" w:lineRule="auto"/>
              <w:rPr>
                <w:lang w:val="pt-BR"/>
              </w:rPr>
            </w:pPr>
            <w:proofErr w:type="spellStart"/>
            <w:r w:rsidRPr="00E22395">
              <w:rPr>
                <w:rFonts w:ascii="Calibri" w:hAnsi="Calibri"/>
                <w:color w:val="000000"/>
                <w:sz w:val="18"/>
                <w:lang w:val="pt-BR"/>
              </w:rPr>
              <w:t>Estabilidad</w:t>
            </w:r>
            <w:proofErr w:type="spellEnd"/>
            <w:r w:rsidRPr="00E22395">
              <w:rPr>
                <w:rFonts w:ascii="Calibri" w:hAnsi="Calibri"/>
                <w:color w:val="000000"/>
                <w:sz w:val="18"/>
                <w:lang w:val="pt-BR"/>
              </w:rPr>
              <w:t xml:space="preserve">: 300 s; </w:t>
            </w:r>
            <w:proofErr w:type="spellStart"/>
            <w:r w:rsidRPr="00E22395">
              <w:rPr>
                <w:rFonts w:ascii="Calibri" w:hAnsi="Calibri"/>
                <w:color w:val="000000"/>
                <w:sz w:val="18"/>
                <w:lang w:val="pt-BR"/>
              </w:rPr>
              <w:t>proceso</w:t>
            </w:r>
            <w:proofErr w:type="spellEnd"/>
            <w:r w:rsidRPr="00E22395">
              <w:rPr>
                <w:rFonts w:ascii="Calibri" w:hAnsi="Calibri"/>
                <w:color w:val="000000"/>
                <w:sz w:val="18"/>
                <w:lang w:val="pt-BR"/>
              </w:rPr>
              <w:t xml:space="preserve"> principal: 3 h; reporte: 1 h.</w:t>
            </w:r>
          </w:p>
        </w:tc>
      </w:tr>
      <w:tr w:rsidR="00AC3A89" w:rsidRPr="006947D2" w14:paraId="03F28EA8" w14:textId="77777777" w:rsidTr="001E475D">
        <w:trPr>
          <w:cantSplit/>
        </w:trPr>
        <w:tc>
          <w:tcPr>
            <w:tcW w:w="3307" w:type="dxa"/>
            <w:vAlign w:val="center"/>
          </w:tcPr>
          <w:p w14:paraId="1415BA74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Frecuencia esperada</w:t>
            </w:r>
          </w:p>
        </w:tc>
        <w:tc>
          <w:tcPr>
            <w:tcW w:w="6900" w:type="dxa"/>
            <w:gridSpan w:val="2"/>
            <w:vAlign w:val="center"/>
          </w:tcPr>
          <w:p w14:paraId="209EB781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Una ejecución programada de lunes a viernes a las 09:00, más ejecuciones manuales controladas.</w:t>
            </w:r>
          </w:p>
        </w:tc>
      </w:tr>
      <w:tr w:rsidR="00AC3A89" w:rsidRPr="006947D2" w14:paraId="273E12EB" w14:textId="77777777" w:rsidTr="001E475D">
        <w:trPr>
          <w:cantSplit/>
        </w:trPr>
        <w:tc>
          <w:tcPr>
            <w:tcW w:w="3307" w:type="dxa"/>
            <w:vAlign w:val="center"/>
          </w:tcPr>
          <w:p w14:paraId="0B577EC1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Comentarios</w:t>
            </w:r>
          </w:p>
        </w:tc>
        <w:tc>
          <w:tcPr>
            <w:tcW w:w="6900" w:type="dxa"/>
            <w:gridSpan w:val="2"/>
            <w:vAlign w:val="center"/>
          </w:tcPr>
          <w:p w14:paraId="36A65CAC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 xml:space="preserve">El modo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detect-only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y la simulación permiten validar cambios sin ejecutar publicación ni correo.</w:t>
            </w:r>
          </w:p>
        </w:tc>
      </w:tr>
    </w:tbl>
    <w:p w14:paraId="13689272" w14:textId="77777777" w:rsidR="00AC3A89" w:rsidRDefault="00AC3A89" w:rsidP="002435E0"/>
    <w:p w14:paraId="2DC6E76C" w14:textId="77777777" w:rsidR="00AC3A89" w:rsidRDefault="00AC3A89">
      <w:r>
        <w:br w:type="page"/>
      </w:r>
    </w:p>
    <w:p w14:paraId="42A8E311" w14:textId="77777777" w:rsidR="002435E0" w:rsidRDefault="00AC3A89" w:rsidP="00AC3A89">
      <w:pPr>
        <w:pStyle w:val="Ttulo3"/>
      </w:pPr>
      <w:bookmarkStart w:id="11" w:name="_Toc241747520"/>
      <w:r>
        <w:lastRenderedPageBreak/>
        <w:t>Caso de Uso 02</w:t>
      </w:r>
      <w:bookmarkEnd w:id="11"/>
    </w:p>
    <w:p w14:paraId="641BCBEE" w14:textId="77777777" w:rsidR="00AC3A89" w:rsidRDefault="00AC3A89" w:rsidP="00AC3A89">
      <w:pPr>
        <w:rPr>
          <w:lang w:val="es-ES" w:eastAsia="es-ES"/>
        </w:rPr>
      </w:pP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7"/>
        <w:gridCol w:w="789"/>
        <w:gridCol w:w="6111"/>
      </w:tblGrid>
      <w:tr w:rsidR="00AC3A89" w:rsidRPr="006947D2" w14:paraId="79B83E72" w14:textId="77777777" w:rsidTr="001E475D">
        <w:trPr>
          <w:cantSplit/>
        </w:trPr>
        <w:tc>
          <w:tcPr>
            <w:tcW w:w="3307" w:type="dxa"/>
            <w:shd w:val="clear" w:color="auto" w:fill="E7E6E6"/>
            <w:vAlign w:val="center"/>
          </w:tcPr>
          <w:p w14:paraId="196B519D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RF-02</w:t>
            </w:r>
          </w:p>
        </w:tc>
        <w:tc>
          <w:tcPr>
            <w:tcW w:w="6900" w:type="dxa"/>
            <w:gridSpan w:val="2"/>
            <w:shd w:val="clear" w:color="auto" w:fill="E7E6E6"/>
            <w:vAlign w:val="center"/>
          </w:tcPr>
          <w:p w14:paraId="4526B9F1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Consultar resultados y trazabilidad</w:t>
            </w:r>
          </w:p>
        </w:tc>
      </w:tr>
      <w:tr w:rsidR="00AC3A89" w:rsidRPr="006947D2" w14:paraId="7ABA9A4A" w14:textId="77777777" w:rsidTr="001E475D">
        <w:trPr>
          <w:cantSplit/>
        </w:trPr>
        <w:tc>
          <w:tcPr>
            <w:tcW w:w="3307" w:type="dxa"/>
            <w:vAlign w:val="center"/>
          </w:tcPr>
          <w:p w14:paraId="2C408AD5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Versión</w:t>
            </w:r>
          </w:p>
        </w:tc>
        <w:tc>
          <w:tcPr>
            <w:tcW w:w="6900" w:type="dxa"/>
            <w:gridSpan w:val="2"/>
            <w:vAlign w:val="center"/>
          </w:tcPr>
          <w:p w14:paraId="431AEB1D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1.0 - 01-10-2026</w:t>
            </w:r>
          </w:p>
        </w:tc>
      </w:tr>
      <w:tr w:rsidR="00AC3A89" w:rsidRPr="006947D2" w14:paraId="58013A79" w14:textId="77777777" w:rsidTr="001E475D">
        <w:trPr>
          <w:cantSplit/>
        </w:trPr>
        <w:tc>
          <w:tcPr>
            <w:tcW w:w="3307" w:type="dxa"/>
            <w:vAlign w:val="center"/>
          </w:tcPr>
          <w:p w14:paraId="63BDF228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Actores</w:t>
            </w:r>
          </w:p>
        </w:tc>
        <w:tc>
          <w:tcPr>
            <w:tcW w:w="6900" w:type="dxa"/>
            <w:gridSpan w:val="2"/>
            <w:vAlign w:val="center"/>
          </w:tcPr>
          <w:p w14:paraId="08FFCA51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 xml:space="preserve">Primario: analista de Back Office u Operaciones Comerciales. Secundarios: interfaz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React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, API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FastAPI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y repositorio de artefactos.</w:t>
            </w:r>
          </w:p>
        </w:tc>
      </w:tr>
      <w:tr w:rsidR="00AC3A89" w:rsidRPr="006947D2" w14:paraId="024F6460" w14:textId="77777777" w:rsidTr="001E475D">
        <w:trPr>
          <w:cantSplit/>
        </w:trPr>
        <w:tc>
          <w:tcPr>
            <w:tcW w:w="3307" w:type="dxa"/>
            <w:vAlign w:val="center"/>
          </w:tcPr>
          <w:p w14:paraId="422D24E0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Objetivos asociados</w:t>
            </w:r>
          </w:p>
        </w:tc>
        <w:tc>
          <w:tcPr>
            <w:tcW w:w="6900" w:type="dxa"/>
            <w:gridSpan w:val="2"/>
            <w:vAlign w:val="center"/>
          </w:tcPr>
          <w:p w14:paraId="58EC74F3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Entregar una vista consistente de indicadores, reportes, estado del sistema e historial sin recalcular FBL1N.</w:t>
            </w:r>
          </w:p>
        </w:tc>
      </w:tr>
      <w:tr w:rsidR="00AC3A89" w:rsidRPr="006947D2" w14:paraId="7EE4210C" w14:textId="77777777" w:rsidTr="001E475D">
        <w:trPr>
          <w:cantSplit/>
        </w:trPr>
        <w:tc>
          <w:tcPr>
            <w:tcW w:w="3307" w:type="dxa"/>
            <w:vAlign w:val="center"/>
          </w:tcPr>
          <w:p w14:paraId="3ACA5F0A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Requerimientos asociados</w:t>
            </w:r>
          </w:p>
        </w:tc>
        <w:tc>
          <w:tcPr>
            <w:tcW w:w="6900" w:type="dxa"/>
            <w:gridSpan w:val="2"/>
            <w:vAlign w:val="center"/>
          </w:tcPr>
          <w:p w14:paraId="00ACC3E7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RF-01 y requisitos de seguridad, disponibilidad y rendimiento.</w:t>
            </w:r>
          </w:p>
        </w:tc>
      </w:tr>
      <w:tr w:rsidR="00AC3A89" w:rsidRPr="006947D2" w14:paraId="55F3E5C9" w14:textId="77777777" w:rsidTr="001E475D">
        <w:trPr>
          <w:cantSplit/>
        </w:trPr>
        <w:tc>
          <w:tcPr>
            <w:tcW w:w="3307" w:type="dxa"/>
            <w:vAlign w:val="center"/>
          </w:tcPr>
          <w:p w14:paraId="10D4C90B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Descripción</w:t>
            </w:r>
          </w:p>
        </w:tc>
        <w:tc>
          <w:tcPr>
            <w:tcW w:w="6900" w:type="dxa"/>
            <w:gridSpan w:val="2"/>
            <w:vAlign w:val="center"/>
          </w:tcPr>
          <w:p w14:paraId="4E31576E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Permite consultar módulos analíticos, indicadores, servicios, configuración visible e historial a partir de los artefactos generados por el pipeline.</w:t>
            </w:r>
          </w:p>
        </w:tc>
      </w:tr>
      <w:tr w:rsidR="00AC3A89" w:rsidRPr="006947D2" w14:paraId="483609CC" w14:textId="77777777" w:rsidTr="001E475D">
        <w:trPr>
          <w:cantSplit/>
        </w:trPr>
        <w:tc>
          <w:tcPr>
            <w:tcW w:w="3307" w:type="dxa"/>
            <w:vAlign w:val="center"/>
          </w:tcPr>
          <w:p w14:paraId="08C32D29" w14:textId="77777777" w:rsidR="00AC3A89" w:rsidRPr="006947D2" w:rsidRDefault="00AC3A89" w:rsidP="00AC3A89">
            <w:pPr>
              <w:spacing w:after="0" w:line="240" w:lineRule="auto"/>
            </w:pPr>
            <w:proofErr w:type="spellStart"/>
            <w:r w:rsidRPr="006947D2">
              <w:rPr>
                <w:rFonts w:ascii="Calibri" w:hAnsi="Calibri"/>
                <w:color w:val="000000"/>
                <w:sz w:val="18"/>
              </w:rPr>
              <w:t>Pre</w:t>
            </w:r>
            <w:r>
              <w:rPr>
                <w:rFonts w:ascii="Calibri" w:hAnsi="Calibri"/>
                <w:color w:val="000000"/>
                <w:sz w:val="18"/>
              </w:rPr>
              <w:t>-</w:t>
            </w:r>
            <w:r w:rsidRPr="006947D2">
              <w:rPr>
                <w:rFonts w:ascii="Calibri" w:hAnsi="Calibri"/>
                <w:color w:val="000000"/>
                <w:sz w:val="18"/>
              </w:rPr>
              <w:t>condición</w:t>
            </w:r>
            <w:proofErr w:type="spellEnd"/>
          </w:p>
        </w:tc>
        <w:tc>
          <w:tcPr>
            <w:tcW w:w="6900" w:type="dxa"/>
            <w:gridSpan w:val="2"/>
            <w:vAlign w:val="center"/>
          </w:tcPr>
          <w:p w14:paraId="42A828E7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Existen artefactos válidos y el usuario cuenta con acceso a la interfaz y a los reportes autorizados.</w:t>
            </w:r>
          </w:p>
        </w:tc>
      </w:tr>
      <w:tr w:rsidR="00AC3A89" w:rsidRPr="006947D2" w14:paraId="4FC1E587" w14:textId="77777777" w:rsidTr="001E475D">
        <w:trPr>
          <w:cantSplit/>
        </w:trPr>
        <w:tc>
          <w:tcPr>
            <w:tcW w:w="3307" w:type="dxa"/>
            <w:vMerge w:val="restart"/>
            <w:vAlign w:val="center"/>
          </w:tcPr>
          <w:p w14:paraId="5C22B5D1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Secuencia normal</w:t>
            </w:r>
            <w:r>
              <w:rPr>
                <w:rFonts w:ascii="Calibri" w:hAnsi="Calibri"/>
                <w:b/>
                <w:color w:val="000000"/>
                <w:sz w:val="18"/>
              </w:rPr>
              <w:br/>
              <w:t>Flujo principal sin errores.</w:t>
            </w:r>
          </w:p>
        </w:tc>
        <w:tc>
          <w:tcPr>
            <w:tcW w:w="789" w:type="dxa"/>
            <w:vAlign w:val="center"/>
          </w:tcPr>
          <w:p w14:paraId="3AA6038B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Paso</w:t>
            </w:r>
          </w:p>
        </w:tc>
        <w:tc>
          <w:tcPr>
            <w:tcW w:w="6111" w:type="dxa"/>
            <w:vAlign w:val="center"/>
          </w:tcPr>
          <w:p w14:paraId="0DE2C590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Acción</w:t>
            </w:r>
          </w:p>
        </w:tc>
      </w:tr>
      <w:tr w:rsidR="00AC3A89" w:rsidRPr="006947D2" w14:paraId="10DE967F" w14:textId="77777777" w:rsidTr="001E475D">
        <w:trPr>
          <w:cantSplit/>
        </w:trPr>
        <w:tc>
          <w:tcPr>
            <w:tcW w:w="3307" w:type="dxa"/>
            <w:vMerge/>
          </w:tcPr>
          <w:p w14:paraId="5C8F3911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7D8D36E2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111" w:type="dxa"/>
            <w:vAlign w:val="center"/>
          </w:tcPr>
          <w:p w14:paraId="2D7F8A04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 xml:space="preserve">El usuario abre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Operations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Analytics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.</w:t>
            </w:r>
          </w:p>
        </w:tc>
      </w:tr>
      <w:tr w:rsidR="00AC3A89" w:rsidRPr="006947D2" w14:paraId="350AD3D5" w14:textId="77777777" w:rsidTr="001E475D">
        <w:trPr>
          <w:cantSplit/>
        </w:trPr>
        <w:tc>
          <w:tcPr>
            <w:tcW w:w="3307" w:type="dxa"/>
            <w:vMerge/>
          </w:tcPr>
          <w:p w14:paraId="46402DD9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272BC203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111" w:type="dxa"/>
            <w:vAlign w:val="center"/>
          </w:tcPr>
          <w:p w14:paraId="54BEC14F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La aplicación aplica el contexto de autenticación y permisos configurados.</w:t>
            </w:r>
          </w:p>
        </w:tc>
      </w:tr>
      <w:tr w:rsidR="00AC3A89" w:rsidRPr="006947D2" w14:paraId="59E22D3A" w14:textId="77777777" w:rsidTr="001E475D">
        <w:trPr>
          <w:cantSplit/>
        </w:trPr>
        <w:tc>
          <w:tcPr>
            <w:tcW w:w="3307" w:type="dxa"/>
            <w:vMerge/>
          </w:tcPr>
          <w:p w14:paraId="7B6D6DF0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301F8F0B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6111" w:type="dxa"/>
            <w:vAlign w:val="center"/>
          </w:tcPr>
          <w:p w14:paraId="45BF6067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 xml:space="preserve">La interfaz solicita datos a los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endpoints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GET de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FastAPI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.</w:t>
            </w:r>
          </w:p>
        </w:tc>
      </w:tr>
      <w:tr w:rsidR="00AC3A89" w:rsidRPr="006947D2" w14:paraId="591E2223" w14:textId="77777777" w:rsidTr="001E475D">
        <w:trPr>
          <w:cantSplit/>
        </w:trPr>
        <w:tc>
          <w:tcPr>
            <w:tcW w:w="3307" w:type="dxa"/>
            <w:vMerge/>
          </w:tcPr>
          <w:p w14:paraId="54EDF3CB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47AE97E6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6111" w:type="dxa"/>
            <w:vAlign w:val="center"/>
          </w:tcPr>
          <w:p w14:paraId="100634A4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La API lee los artefactos, estados JSON y rutas configuradas sin ejecutar el pipeline.</w:t>
            </w:r>
          </w:p>
        </w:tc>
      </w:tr>
      <w:tr w:rsidR="00AC3A89" w:rsidRPr="006947D2" w14:paraId="2949B9F6" w14:textId="77777777" w:rsidTr="001E475D">
        <w:trPr>
          <w:cantSplit/>
        </w:trPr>
        <w:tc>
          <w:tcPr>
            <w:tcW w:w="3307" w:type="dxa"/>
            <w:vMerge/>
          </w:tcPr>
          <w:p w14:paraId="74107925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370477E1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6111" w:type="dxa"/>
            <w:vAlign w:val="center"/>
          </w:tcPr>
          <w:p w14:paraId="4177BAE5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La interfaz presenta indicadores, módulos, estado de servicios e historial.</w:t>
            </w:r>
          </w:p>
        </w:tc>
      </w:tr>
      <w:tr w:rsidR="00AC3A89" w:rsidRPr="006947D2" w14:paraId="55D35C19" w14:textId="77777777" w:rsidTr="001E475D">
        <w:trPr>
          <w:cantSplit/>
        </w:trPr>
        <w:tc>
          <w:tcPr>
            <w:tcW w:w="3307" w:type="dxa"/>
            <w:vMerge/>
          </w:tcPr>
          <w:p w14:paraId="0C6FD2E2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38F9EAA3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6111" w:type="dxa"/>
            <w:vAlign w:val="center"/>
          </w:tcPr>
          <w:p w14:paraId="66AB5471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El usuario revisa el reporte o abre el archivo publicado en SharePoint o OneDrive.</w:t>
            </w:r>
          </w:p>
        </w:tc>
      </w:tr>
      <w:tr w:rsidR="00AC3A89" w:rsidRPr="006947D2" w14:paraId="65D098D1" w14:textId="77777777" w:rsidTr="001E475D">
        <w:trPr>
          <w:cantSplit/>
        </w:trPr>
        <w:tc>
          <w:tcPr>
            <w:tcW w:w="3307" w:type="dxa"/>
            <w:vMerge/>
          </w:tcPr>
          <w:p w14:paraId="28811E40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7C7237B1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111" w:type="dxa"/>
            <w:vAlign w:val="center"/>
          </w:tcPr>
          <w:p w14:paraId="44CF7537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Cuando corresponde, el usuario consulta la visualización disponible en Power BI.</w:t>
            </w:r>
          </w:p>
        </w:tc>
      </w:tr>
      <w:tr w:rsidR="00AC3A89" w:rsidRPr="006947D2" w14:paraId="17BA47B4" w14:textId="77777777" w:rsidTr="001E475D">
        <w:trPr>
          <w:cantSplit/>
        </w:trPr>
        <w:tc>
          <w:tcPr>
            <w:tcW w:w="3307" w:type="dxa"/>
            <w:vAlign w:val="center"/>
          </w:tcPr>
          <w:p w14:paraId="0E8381F7" w14:textId="77777777" w:rsidR="00AC3A89" w:rsidRPr="006947D2" w:rsidRDefault="00AC3A89" w:rsidP="00AC3A89">
            <w:pPr>
              <w:spacing w:after="0" w:line="240" w:lineRule="auto"/>
            </w:pPr>
            <w:proofErr w:type="spellStart"/>
            <w:proofErr w:type="gramStart"/>
            <w:r w:rsidRPr="006947D2">
              <w:rPr>
                <w:rFonts w:ascii="Calibri" w:hAnsi="Calibri"/>
                <w:color w:val="000000"/>
                <w:sz w:val="18"/>
              </w:rPr>
              <w:t>Post</w:t>
            </w:r>
            <w:r>
              <w:rPr>
                <w:rFonts w:ascii="Calibri" w:hAnsi="Calibri"/>
                <w:color w:val="000000"/>
                <w:sz w:val="18"/>
              </w:rPr>
              <w:t>-</w:t>
            </w:r>
            <w:r w:rsidRPr="006947D2">
              <w:rPr>
                <w:rFonts w:ascii="Calibri" w:hAnsi="Calibri"/>
                <w:color w:val="000000"/>
                <w:sz w:val="18"/>
              </w:rPr>
              <w:t>condición</w:t>
            </w:r>
            <w:proofErr w:type="spellEnd"/>
            <w:proofErr w:type="gramEnd"/>
          </w:p>
        </w:tc>
        <w:tc>
          <w:tcPr>
            <w:tcW w:w="6900" w:type="dxa"/>
            <w:gridSpan w:val="2"/>
            <w:vAlign w:val="center"/>
          </w:tcPr>
          <w:p w14:paraId="661D93C1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El usuario obtiene información de lectura actualizada según el último artefacto válido, sin alterar las fuentes ni los resultados.</w:t>
            </w:r>
          </w:p>
        </w:tc>
      </w:tr>
      <w:tr w:rsidR="00AC3A89" w:rsidRPr="006947D2" w14:paraId="1E3584A3" w14:textId="77777777" w:rsidTr="001E475D">
        <w:trPr>
          <w:cantSplit/>
        </w:trPr>
        <w:tc>
          <w:tcPr>
            <w:tcW w:w="3307" w:type="dxa"/>
            <w:vMerge w:val="restart"/>
            <w:vAlign w:val="center"/>
          </w:tcPr>
          <w:p w14:paraId="605D9024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Excepciones</w:t>
            </w:r>
            <w:r>
              <w:rPr>
                <w:rFonts w:ascii="Calibri" w:hAnsi="Calibri"/>
                <w:b/>
                <w:color w:val="000000"/>
                <w:sz w:val="18"/>
              </w:rPr>
              <w:br/>
              <w:t>Desviaciones controladas del flujo normal.</w:t>
            </w:r>
          </w:p>
        </w:tc>
        <w:tc>
          <w:tcPr>
            <w:tcW w:w="789" w:type="dxa"/>
            <w:vAlign w:val="center"/>
          </w:tcPr>
          <w:p w14:paraId="006FA76C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Paso</w:t>
            </w:r>
          </w:p>
        </w:tc>
        <w:tc>
          <w:tcPr>
            <w:tcW w:w="6111" w:type="dxa"/>
            <w:vAlign w:val="center"/>
          </w:tcPr>
          <w:p w14:paraId="567694C1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Acción</w:t>
            </w:r>
          </w:p>
        </w:tc>
      </w:tr>
      <w:tr w:rsidR="00AC3A89" w:rsidRPr="006947D2" w14:paraId="0F0B4EBB" w14:textId="77777777" w:rsidTr="001E475D">
        <w:trPr>
          <w:cantSplit/>
        </w:trPr>
        <w:tc>
          <w:tcPr>
            <w:tcW w:w="3307" w:type="dxa"/>
            <w:vMerge/>
          </w:tcPr>
          <w:p w14:paraId="062E1BF6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31F36F6E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111" w:type="dxa"/>
            <w:vAlign w:val="center"/>
          </w:tcPr>
          <w:p w14:paraId="6306983D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Si no existe un artefacto válido, la interfaz muestra un estado vacío o no disponible.</w:t>
            </w:r>
          </w:p>
        </w:tc>
      </w:tr>
      <w:tr w:rsidR="00AC3A89" w:rsidRPr="006947D2" w14:paraId="368B0478" w14:textId="77777777" w:rsidTr="001E475D">
        <w:trPr>
          <w:cantSplit/>
        </w:trPr>
        <w:tc>
          <w:tcPr>
            <w:tcW w:w="3307" w:type="dxa"/>
            <w:vMerge/>
          </w:tcPr>
          <w:p w14:paraId="3FD804FF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5D4472CB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111" w:type="dxa"/>
            <w:vAlign w:val="center"/>
          </w:tcPr>
          <w:p w14:paraId="25F4AC84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Si la API supera 120 segundos o falla, la interfaz informa el error sin presentar datos incompletos como vigentes.</w:t>
            </w:r>
          </w:p>
        </w:tc>
      </w:tr>
      <w:tr w:rsidR="00AC3A89" w:rsidRPr="006947D2" w14:paraId="0767F3DD" w14:textId="77777777" w:rsidTr="001E475D">
        <w:trPr>
          <w:cantSplit/>
        </w:trPr>
        <w:tc>
          <w:tcPr>
            <w:tcW w:w="3307" w:type="dxa"/>
            <w:vMerge/>
          </w:tcPr>
          <w:p w14:paraId="0E373222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768B0137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6111" w:type="dxa"/>
            <w:vAlign w:val="center"/>
          </w:tcPr>
          <w:p w14:paraId="4DBA8408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Si el usuario carece de permisos, el módulo o recurso no queda disponible.</w:t>
            </w:r>
          </w:p>
        </w:tc>
      </w:tr>
      <w:tr w:rsidR="00AC3A89" w:rsidRPr="006947D2" w14:paraId="6FD91029" w14:textId="77777777" w:rsidTr="001E475D">
        <w:trPr>
          <w:cantSplit/>
        </w:trPr>
        <w:tc>
          <w:tcPr>
            <w:tcW w:w="3307" w:type="dxa"/>
            <w:vMerge w:val="restart"/>
            <w:vAlign w:val="center"/>
          </w:tcPr>
          <w:p w14:paraId="3A03074E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Rendimiento</w:t>
            </w:r>
            <w:r>
              <w:rPr>
                <w:rFonts w:ascii="Calibri" w:hAnsi="Calibri"/>
                <w:b/>
                <w:color w:val="000000"/>
                <w:sz w:val="18"/>
              </w:rPr>
              <w:br/>
              <w:t>Límites técnicos configurados.</w:t>
            </w:r>
          </w:p>
        </w:tc>
        <w:tc>
          <w:tcPr>
            <w:tcW w:w="789" w:type="dxa"/>
            <w:vAlign w:val="center"/>
          </w:tcPr>
          <w:p w14:paraId="213C00A6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Paso</w:t>
            </w:r>
          </w:p>
        </w:tc>
        <w:tc>
          <w:tcPr>
            <w:tcW w:w="6111" w:type="dxa"/>
            <w:vAlign w:val="center"/>
          </w:tcPr>
          <w:p w14:paraId="15F19475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Cota de tiempo</w:t>
            </w:r>
          </w:p>
        </w:tc>
      </w:tr>
      <w:tr w:rsidR="00AC3A89" w:rsidRPr="006947D2" w14:paraId="38A0B2F9" w14:textId="77777777" w:rsidTr="001E475D">
        <w:trPr>
          <w:cantSplit/>
        </w:trPr>
        <w:tc>
          <w:tcPr>
            <w:tcW w:w="3307" w:type="dxa"/>
            <w:vMerge/>
          </w:tcPr>
          <w:p w14:paraId="754DF5EB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4AE0307B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6111" w:type="dxa"/>
            <w:vAlign w:val="center"/>
          </w:tcPr>
          <w:p w14:paraId="15B0BF1F" w14:textId="77777777" w:rsidR="005F6179" w:rsidRDefault="00E74031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000000"/>
                <w:sz w:val="18"/>
              </w:rPr>
              <w:t>Timeout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de solicitud web: 120 segundos.</w:t>
            </w:r>
          </w:p>
        </w:tc>
      </w:tr>
      <w:tr w:rsidR="00AC3A89" w:rsidRPr="006947D2" w14:paraId="0DB430D4" w14:textId="77777777" w:rsidTr="001E475D">
        <w:trPr>
          <w:cantSplit/>
        </w:trPr>
        <w:tc>
          <w:tcPr>
            <w:tcW w:w="3307" w:type="dxa"/>
            <w:vMerge/>
          </w:tcPr>
          <w:p w14:paraId="07FEC278" w14:textId="77777777" w:rsidR="00AC3A89" w:rsidRPr="006947D2" w:rsidRDefault="00AC3A89" w:rsidP="00AC3A89"/>
        </w:tc>
        <w:tc>
          <w:tcPr>
            <w:tcW w:w="789" w:type="dxa"/>
            <w:vAlign w:val="center"/>
          </w:tcPr>
          <w:p w14:paraId="5377180F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4-5</w:t>
            </w:r>
          </w:p>
        </w:tc>
        <w:tc>
          <w:tcPr>
            <w:tcW w:w="6111" w:type="dxa"/>
            <w:vAlign w:val="center"/>
          </w:tcPr>
          <w:p w14:paraId="1AE2E692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Lectura de artefactos sin recalcular el pipeline.</w:t>
            </w:r>
          </w:p>
        </w:tc>
      </w:tr>
      <w:tr w:rsidR="00AC3A89" w:rsidRPr="006947D2" w14:paraId="6E64DEE7" w14:textId="77777777" w:rsidTr="001E475D">
        <w:trPr>
          <w:cantSplit/>
        </w:trPr>
        <w:tc>
          <w:tcPr>
            <w:tcW w:w="3307" w:type="dxa"/>
            <w:vAlign w:val="center"/>
          </w:tcPr>
          <w:p w14:paraId="54C1FAEC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Frecuencia esperada</w:t>
            </w:r>
          </w:p>
        </w:tc>
        <w:tc>
          <w:tcPr>
            <w:tcW w:w="6900" w:type="dxa"/>
            <w:gridSpan w:val="2"/>
            <w:vAlign w:val="center"/>
          </w:tcPr>
          <w:p w14:paraId="30C41BA2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Bajo demanda durante la jornada operativa.</w:t>
            </w:r>
          </w:p>
        </w:tc>
      </w:tr>
      <w:tr w:rsidR="00AC3A89" w:rsidRPr="006947D2" w14:paraId="518AC461" w14:textId="77777777" w:rsidTr="001E475D">
        <w:trPr>
          <w:cantSplit/>
        </w:trPr>
        <w:tc>
          <w:tcPr>
            <w:tcW w:w="3307" w:type="dxa"/>
            <w:vAlign w:val="center"/>
          </w:tcPr>
          <w:p w14:paraId="2EC847F1" w14:textId="77777777" w:rsidR="00AC3A89" w:rsidRPr="006947D2" w:rsidRDefault="00AC3A89" w:rsidP="00AC3A89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Comentarios</w:t>
            </w:r>
          </w:p>
        </w:tc>
        <w:tc>
          <w:tcPr>
            <w:tcW w:w="6900" w:type="dxa"/>
            <w:gridSpan w:val="2"/>
            <w:vAlign w:val="center"/>
          </w:tcPr>
          <w:p w14:paraId="547CC47D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 xml:space="preserve">Los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endpoints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son de lectura; la interfaz no modifica directamente los archivos SAP ni los catálogos productivos.</w:t>
            </w:r>
          </w:p>
        </w:tc>
      </w:tr>
    </w:tbl>
    <w:p w14:paraId="539C9654" w14:textId="77777777" w:rsidR="00AC3A89" w:rsidRDefault="00AC3A89" w:rsidP="00AC3A89"/>
    <w:p w14:paraId="393FED3B" w14:textId="77777777" w:rsidR="00AC3A89" w:rsidRDefault="00AC3A89" w:rsidP="00AC3A89"/>
    <w:p w14:paraId="647CCCAB" w14:textId="77777777" w:rsidR="00AC3A89" w:rsidRDefault="00AC3A89" w:rsidP="00AC3A89">
      <w:r>
        <w:br w:type="page"/>
      </w:r>
    </w:p>
    <w:p w14:paraId="22C4ACF7" w14:textId="77777777" w:rsidR="00AC3A89" w:rsidRDefault="00AC3A89" w:rsidP="00AC3A89">
      <w:pPr>
        <w:pStyle w:val="Ttulo3"/>
      </w:pPr>
      <w:bookmarkStart w:id="12" w:name="_Toc241747521"/>
      <w:r>
        <w:lastRenderedPageBreak/>
        <w:t>Caso de Uso 03</w:t>
      </w:r>
      <w:bookmarkEnd w:id="12"/>
    </w:p>
    <w:p w14:paraId="6E2C4855" w14:textId="77777777" w:rsidR="00AC3A89" w:rsidRDefault="00AC3A89" w:rsidP="00AC3A89">
      <w:pPr>
        <w:rPr>
          <w:lang w:val="es-ES" w:eastAsia="es-ES"/>
        </w:rPr>
      </w:pP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7"/>
        <w:gridCol w:w="789"/>
        <w:gridCol w:w="6111"/>
      </w:tblGrid>
      <w:tr w:rsidR="00AC3A89" w:rsidRPr="006947D2" w14:paraId="57CAFCD0" w14:textId="77777777" w:rsidTr="001E475D">
        <w:trPr>
          <w:cantSplit/>
        </w:trPr>
        <w:tc>
          <w:tcPr>
            <w:tcW w:w="3307" w:type="dxa"/>
            <w:shd w:val="clear" w:color="auto" w:fill="E7E6E6"/>
            <w:vAlign w:val="center"/>
          </w:tcPr>
          <w:p w14:paraId="33DFE575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RF-03</w:t>
            </w:r>
          </w:p>
        </w:tc>
        <w:tc>
          <w:tcPr>
            <w:tcW w:w="6900" w:type="dxa"/>
            <w:gridSpan w:val="2"/>
            <w:shd w:val="clear" w:color="auto" w:fill="E7E6E6"/>
            <w:vAlign w:val="center"/>
          </w:tcPr>
          <w:p w14:paraId="2F7287A8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Administrar configuración y catálogos</w:t>
            </w:r>
          </w:p>
        </w:tc>
      </w:tr>
      <w:tr w:rsidR="00AC3A89" w:rsidRPr="006947D2" w14:paraId="4323C3FA" w14:textId="77777777" w:rsidTr="001E475D">
        <w:trPr>
          <w:cantSplit/>
        </w:trPr>
        <w:tc>
          <w:tcPr>
            <w:tcW w:w="3307" w:type="dxa"/>
            <w:vAlign w:val="center"/>
          </w:tcPr>
          <w:p w14:paraId="2151AE07" w14:textId="77777777" w:rsidR="00AC3A89" w:rsidRPr="006947D2" w:rsidRDefault="00AC3A89" w:rsidP="001E475D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Versión</w:t>
            </w:r>
          </w:p>
        </w:tc>
        <w:tc>
          <w:tcPr>
            <w:tcW w:w="6900" w:type="dxa"/>
            <w:gridSpan w:val="2"/>
            <w:vAlign w:val="center"/>
          </w:tcPr>
          <w:p w14:paraId="558DFCB0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1.0 - 01-10-2026</w:t>
            </w:r>
          </w:p>
        </w:tc>
      </w:tr>
      <w:tr w:rsidR="00AC3A89" w:rsidRPr="006947D2" w14:paraId="20410B9F" w14:textId="77777777" w:rsidTr="001E475D">
        <w:trPr>
          <w:cantSplit/>
        </w:trPr>
        <w:tc>
          <w:tcPr>
            <w:tcW w:w="3307" w:type="dxa"/>
            <w:vAlign w:val="center"/>
          </w:tcPr>
          <w:p w14:paraId="4E223811" w14:textId="77777777" w:rsidR="00AC3A89" w:rsidRPr="006947D2" w:rsidRDefault="00AC3A89" w:rsidP="001E475D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Actores</w:t>
            </w:r>
          </w:p>
        </w:tc>
        <w:tc>
          <w:tcPr>
            <w:tcW w:w="6900" w:type="dxa"/>
            <w:gridSpan w:val="2"/>
            <w:vAlign w:val="center"/>
          </w:tcPr>
          <w:p w14:paraId="11CDD3BF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Primarios: líder técnica y analista funcional autorizado. Secundarios: archivos de configuración, catálogos Excel, pruebas automatizadas y Git.</w:t>
            </w:r>
          </w:p>
        </w:tc>
      </w:tr>
      <w:tr w:rsidR="00AC3A89" w:rsidRPr="006947D2" w14:paraId="15740520" w14:textId="77777777" w:rsidTr="001E475D">
        <w:trPr>
          <w:cantSplit/>
        </w:trPr>
        <w:tc>
          <w:tcPr>
            <w:tcW w:w="3307" w:type="dxa"/>
            <w:vAlign w:val="center"/>
          </w:tcPr>
          <w:p w14:paraId="7A67A64E" w14:textId="77777777" w:rsidR="00AC3A89" w:rsidRPr="006947D2" w:rsidRDefault="00AC3A89" w:rsidP="001E475D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Objetivos asociados</w:t>
            </w:r>
          </w:p>
        </w:tc>
        <w:tc>
          <w:tcPr>
            <w:tcW w:w="6900" w:type="dxa"/>
            <w:gridSpan w:val="2"/>
            <w:vAlign w:val="center"/>
          </w:tcPr>
          <w:p w14:paraId="7563EC7A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Mantener sociedades, monedas, conceptos, rutas y parámetros sin introducir secretos ni cambios no validados.</w:t>
            </w:r>
          </w:p>
        </w:tc>
      </w:tr>
      <w:tr w:rsidR="00AC3A89" w:rsidRPr="006947D2" w14:paraId="7014EDBA" w14:textId="77777777" w:rsidTr="001E475D">
        <w:trPr>
          <w:cantSplit/>
        </w:trPr>
        <w:tc>
          <w:tcPr>
            <w:tcW w:w="3307" w:type="dxa"/>
            <w:vAlign w:val="center"/>
          </w:tcPr>
          <w:p w14:paraId="1EF55965" w14:textId="77777777" w:rsidR="00AC3A89" w:rsidRPr="006947D2" w:rsidRDefault="00AC3A89" w:rsidP="001E475D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Requerimientos asociados</w:t>
            </w:r>
          </w:p>
        </w:tc>
        <w:tc>
          <w:tcPr>
            <w:tcW w:w="6900" w:type="dxa"/>
            <w:gridSpan w:val="2"/>
            <w:vAlign w:val="center"/>
          </w:tcPr>
          <w:p w14:paraId="45733715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RF-01, RF-02 y requisitos de seguridad, fiabilidad y mantenibilidad.</w:t>
            </w:r>
          </w:p>
        </w:tc>
      </w:tr>
      <w:tr w:rsidR="00AC3A89" w:rsidRPr="006947D2" w14:paraId="4A7E9D8C" w14:textId="77777777" w:rsidTr="001E475D">
        <w:trPr>
          <w:cantSplit/>
        </w:trPr>
        <w:tc>
          <w:tcPr>
            <w:tcW w:w="3307" w:type="dxa"/>
            <w:vAlign w:val="center"/>
          </w:tcPr>
          <w:p w14:paraId="6DF0F540" w14:textId="77777777" w:rsidR="00AC3A89" w:rsidRPr="006947D2" w:rsidRDefault="00AC3A89" w:rsidP="001E475D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Descripción</w:t>
            </w:r>
          </w:p>
        </w:tc>
        <w:tc>
          <w:tcPr>
            <w:tcW w:w="6900" w:type="dxa"/>
            <w:gridSpan w:val="2"/>
            <w:vAlign w:val="center"/>
          </w:tcPr>
          <w:p w14:paraId="4FFD7BAE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Actualiza parámetros y catálogos de negocio, valida su estructura y prueba el efecto antes de habilitar una ejecución controlada.</w:t>
            </w:r>
          </w:p>
        </w:tc>
      </w:tr>
      <w:tr w:rsidR="00AC3A89" w:rsidRPr="006947D2" w14:paraId="313DB3FC" w14:textId="77777777" w:rsidTr="001E475D">
        <w:trPr>
          <w:cantSplit/>
        </w:trPr>
        <w:tc>
          <w:tcPr>
            <w:tcW w:w="3307" w:type="dxa"/>
            <w:vAlign w:val="center"/>
          </w:tcPr>
          <w:p w14:paraId="766EEDCE" w14:textId="77777777" w:rsidR="00AC3A89" w:rsidRPr="006947D2" w:rsidRDefault="00AC3A89" w:rsidP="001E475D">
            <w:pPr>
              <w:spacing w:after="0" w:line="240" w:lineRule="auto"/>
            </w:pPr>
            <w:proofErr w:type="spellStart"/>
            <w:r w:rsidRPr="006947D2">
              <w:rPr>
                <w:rFonts w:ascii="Calibri" w:hAnsi="Calibri"/>
                <w:color w:val="000000"/>
                <w:sz w:val="18"/>
              </w:rPr>
              <w:t>Pre</w:t>
            </w:r>
            <w:r>
              <w:rPr>
                <w:rFonts w:ascii="Calibri" w:hAnsi="Calibri"/>
                <w:color w:val="000000"/>
                <w:sz w:val="18"/>
              </w:rPr>
              <w:t>-</w:t>
            </w:r>
            <w:r w:rsidRPr="006947D2">
              <w:rPr>
                <w:rFonts w:ascii="Calibri" w:hAnsi="Calibri"/>
                <w:color w:val="000000"/>
                <w:sz w:val="18"/>
              </w:rPr>
              <w:t>condición</w:t>
            </w:r>
            <w:proofErr w:type="spellEnd"/>
          </w:p>
        </w:tc>
        <w:tc>
          <w:tcPr>
            <w:tcW w:w="6900" w:type="dxa"/>
            <w:gridSpan w:val="2"/>
            <w:vAlign w:val="center"/>
          </w:tcPr>
          <w:p w14:paraId="18A5F1E6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El responsable tiene acceso autorizado a los archivos de configuración y conoce la estructura exigida para cada catálogo.</w:t>
            </w:r>
          </w:p>
        </w:tc>
      </w:tr>
      <w:tr w:rsidR="00AC3A89" w:rsidRPr="006947D2" w14:paraId="07D5574F" w14:textId="77777777" w:rsidTr="001E475D">
        <w:trPr>
          <w:cantSplit/>
        </w:trPr>
        <w:tc>
          <w:tcPr>
            <w:tcW w:w="3307" w:type="dxa"/>
            <w:vMerge w:val="restart"/>
            <w:vAlign w:val="center"/>
          </w:tcPr>
          <w:p w14:paraId="272EA390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Secuencia normal</w:t>
            </w:r>
            <w:r>
              <w:rPr>
                <w:rFonts w:ascii="Calibri" w:hAnsi="Calibri"/>
                <w:b/>
                <w:color w:val="000000"/>
                <w:sz w:val="18"/>
              </w:rPr>
              <w:br/>
              <w:t>Flujo principal sin errores.</w:t>
            </w:r>
          </w:p>
        </w:tc>
        <w:tc>
          <w:tcPr>
            <w:tcW w:w="789" w:type="dxa"/>
            <w:vAlign w:val="center"/>
          </w:tcPr>
          <w:p w14:paraId="43459D0F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Paso</w:t>
            </w:r>
          </w:p>
        </w:tc>
        <w:tc>
          <w:tcPr>
            <w:tcW w:w="6111" w:type="dxa"/>
            <w:vAlign w:val="center"/>
          </w:tcPr>
          <w:p w14:paraId="60A728CE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Acción</w:t>
            </w:r>
          </w:p>
        </w:tc>
      </w:tr>
      <w:tr w:rsidR="00AC3A89" w:rsidRPr="006947D2" w14:paraId="4851C85F" w14:textId="77777777" w:rsidTr="001E475D">
        <w:trPr>
          <w:cantSplit/>
        </w:trPr>
        <w:tc>
          <w:tcPr>
            <w:tcW w:w="3307" w:type="dxa"/>
            <w:vMerge/>
          </w:tcPr>
          <w:p w14:paraId="1E831777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2627F8B0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111" w:type="dxa"/>
            <w:vAlign w:val="center"/>
          </w:tcPr>
          <w:p w14:paraId="667C4436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El responsable identifica el parámetro o catálogo que debe cambiar.</w:t>
            </w:r>
          </w:p>
        </w:tc>
      </w:tr>
      <w:tr w:rsidR="00AC3A89" w:rsidRPr="006947D2" w14:paraId="7676802B" w14:textId="77777777" w:rsidTr="001E475D">
        <w:trPr>
          <w:cantSplit/>
        </w:trPr>
        <w:tc>
          <w:tcPr>
            <w:tcW w:w="3307" w:type="dxa"/>
            <w:vMerge/>
          </w:tcPr>
          <w:p w14:paraId="0480CEEA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5C8E97C9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111" w:type="dxa"/>
            <w:vAlign w:val="center"/>
          </w:tcPr>
          <w:p w14:paraId="6561DD5F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Actualiza sociedades, monedas, conceptos o variables locales con valores autorizados.</w:t>
            </w:r>
          </w:p>
        </w:tc>
      </w:tr>
      <w:tr w:rsidR="00AC3A89" w:rsidRPr="006947D2" w14:paraId="56C5D8CB" w14:textId="77777777" w:rsidTr="001E475D">
        <w:trPr>
          <w:cantSplit/>
        </w:trPr>
        <w:tc>
          <w:tcPr>
            <w:tcW w:w="3307" w:type="dxa"/>
            <w:vMerge/>
          </w:tcPr>
          <w:p w14:paraId="3B1FD8B9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4FCA08A6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6111" w:type="dxa"/>
            <w:vAlign w:val="center"/>
          </w:tcPr>
          <w:p w14:paraId="14BAA12C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Comprueba que no se incorporen credenciales, datos productivos ni rutas personales al repositorio.</w:t>
            </w:r>
          </w:p>
        </w:tc>
      </w:tr>
      <w:tr w:rsidR="00AC3A89" w:rsidRPr="006947D2" w14:paraId="0A2EB759" w14:textId="77777777" w:rsidTr="001E475D">
        <w:trPr>
          <w:cantSplit/>
        </w:trPr>
        <w:tc>
          <w:tcPr>
            <w:tcW w:w="3307" w:type="dxa"/>
            <w:vMerge/>
          </w:tcPr>
          <w:p w14:paraId="7F1ACC58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421E3BB0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6111" w:type="dxa"/>
            <w:vAlign w:val="center"/>
          </w:tcPr>
          <w:p w14:paraId="1CE4A22F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Ejecuta validaciones, pruebas automatizadas o detección en modo controlado.</w:t>
            </w:r>
          </w:p>
        </w:tc>
      </w:tr>
      <w:tr w:rsidR="00AC3A89" w:rsidRPr="006947D2" w14:paraId="64195977" w14:textId="77777777" w:rsidTr="001E475D">
        <w:trPr>
          <w:cantSplit/>
        </w:trPr>
        <w:tc>
          <w:tcPr>
            <w:tcW w:w="3307" w:type="dxa"/>
            <w:vMerge/>
          </w:tcPr>
          <w:p w14:paraId="3D3C95BE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58496DA4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6111" w:type="dxa"/>
            <w:vAlign w:val="center"/>
          </w:tcPr>
          <w:p w14:paraId="140021B2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Corrige errores de estructura, rutas o reglas encontrados durante la validación.</w:t>
            </w:r>
          </w:p>
        </w:tc>
      </w:tr>
      <w:tr w:rsidR="00AC3A89" w:rsidRPr="006947D2" w14:paraId="5F399C02" w14:textId="77777777" w:rsidTr="001E475D">
        <w:trPr>
          <w:cantSplit/>
        </w:trPr>
        <w:tc>
          <w:tcPr>
            <w:tcW w:w="3307" w:type="dxa"/>
            <w:vMerge/>
          </w:tcPr>
          <w:p w14:paraId="3B8A2616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3DE3FD7F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6111" w:type="dxa"/>
            <w:vAlign w:val="center"/>
          </w:tcPr>
          <w:p w14:paraId="6E80D35D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Ejecuta el pipeline controlado y revisa logs y artefactos resultantes.</w:t>
            </w:r>
          </w:p>
        </w:tc>
      </w:tr>
      <w:tr w:rsidR="00AC3A89" w:rsidRPr="006947D2" w14:paraId="62E95C60" w14:textId="77777777" w:rsidTr="001E475D">
        <w:trPr>
          <w:cantSplit/>
        </w:trPr>
        <w:tc>
          <w:tcPr>
            <w:tcW w:w="3307" w:type="dxa"/>
            <w:vMerge/>
          </w:tcPr>
          <w:p w14:paraId="4022D111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12BB58F0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111" w:type="dxa"/>
            <w:vAlign w:val="center"/>
          </w:tcPr>
          <w:p w14:paraId="384FA7E9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Registra el cambio en Git y actualiza la documentación cuando corresponda.</w:t>
            </w:r>
          </w:p>
        </w:tc>
      </w:tr>
      <w:tr w:rsidR="00AC3A89" w:rsidRPr="006947D2" w14:paraId="0E056552" w14:textId="77777777" w:rsidTr="001E475D">
        <w:trPr>
          <w:cantSplit/>
        </w:trPr>
        <w:tc>
          <w:tcPr>
            <w:tcW w:w="3307" w:type="dxa"/>
            <w:vAlign w:val="center"/>
          </w:tcPr>
          <w:p w14:paraId="2D89BAB3" w14:textId="77777777" w:rsidR="00AC3A89" w:rsidRPr="006947D2" w:rsidRDefault="00AC3A89" w:rsidP="001E475D">
            <w:pPr>
              <w:spacing w:after="0" w:line="240" w:lineRule="auto"/>
            </w:pPr>
            <w:proofErr w:type="spellStart"/>
            <w:proofErr w:type="gramStart"/>
            <w:r w:rsidRPr="006947D2">
              <w:rPr>
                <w:rFonts w:ascii="Calibri" w:hAnsi="Calibri"/>
                <w:color w:val="000000"/>
                <w:sz w:val="18"/>
              </w:rPr>
              <w:t>Post</w:t>
            </w:r>
            <w:r>
              <w:rPr>
                <w:rFonts w:ascii="Calibri" w:hAnsi="Calibri"/>
                <w:color w:val="000000"/>
                <w:sz w:val="18"/>
              </w:rPr>
              <w:t>-</w:t>
            </w:r>
            <w:r w:rsidRPr="006947D2">
              <w:rPr>
                <w:rFonts w:ascii="Calibri" w:hAnsi="Calibri"/>
                <w:color w:val="000000"/>
                <w:sz w:val="18"/>
              </w:rPr>
              <w:t>condición</w:t>
            </w:r>
            <w:proofErr w:type="spellEnd"/>
            <w:proofErr w:type="gramEnd"/>
          </w:p>
        </w:tc>
        <w:tc>
          <w:tcPr>
            <w:tcW w:w="6900" w:type="dxa"/>
            <w:gridSpan w:val="2"/>
            <w:vAlign w:val="center"/>
          </w:tcPr>
          <w:p w14:paraId="17CC271E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La configuración validada queda disponible para futuras ejecuciones y el cambio mantiene trazabilidad técnica y funcional.</w:t>
            </w:r>
          </w:p>
        </w:tc>
      </w:tr>
      <w:tr w:rsidR="00AC3A89" w:rsidRPr="006947D2" w14:paraId="55E064D7" w14:textId="77777777" w:rsidTr="001E475D">
        <w:trPr>
          <w:cantSplit/>
        </w:trPr>
        <w:tc>
          <w:tcPr>
            <w:tcW w:w="3307" w:type="dxa"/>
            <w:vMerge w:val="restart"/>
            <w:vAlign w:val="center"/>
          </w:tcPr>
          <w:p w14:paraId="000CAFD8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Excepciones</w:t>
            </w:r>
            <w:r>
              <w:rPr>
                <w:rFonts w:ascii="Calibri" w:hAnsi="Calibri"/>
                <w:b/>
                <w:color w:val="000000"/>
                <w:sz w:val="18"/>
              </w:rPr>
              <w:br/>
              <w:t>Desviaciones controladas del flujo normal.</w:t>
            </w:r>
          </w:p>
        </w:tc>
        <w:tc>
          <w:tcPr>
            <w:tcW w:w="789" w:type="dxa"/>
            <w:vAlign w:val="center"/>
          </w:tcPr>
          <w:p w14:paraId="01C295AA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Paso</w:t>
            </w:r>
          </w:p>
        </w:tc>
        <w:tc>
          <w:tcPr>
            <w:tcW w:w="6111" w:type="dxa"/>
            <w:vAlign w:val="center"/>
          </w:tcPr>
          <w:p w14:paraId="20F443F9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Acción</w:t>
            </w:r>
          </w:p>
        </w:tc>
      </w:tr>
      <w:tr w:rsidR="00AC3A89" w:rsidRPr="006947D2" w14:paraId="4A38E351" w14:textId="77777777" w:rsidTr="001E475D">
        <w:trPr>
          <w:cantSplit/>
        </w:trPr>
        <w:tc>
          <w:tcPr>
            <w:tcW w:w="3307" w:type="dxa"/>
            <w:vMerge/>
          </w:tcPr>
          <w:p w14:paraId="1C897B60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614EE199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111" w:type="dxa"/>
            <w:vAlign w:val="center"/>
          </w:tcPr>
          <w:p w14:paraId="2A318E9D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Si faltan columnas o existen valores inválidos, el sistema rechaza el catálogo y conserva la configuración anterior.</w:t>
            </w:r>
          </w:p>
        </w:tc>
      </w:tr>
      <w:tr w:rsidR="00AC3A89" w:rsidRPr="006947D2" w14:paraId="2E2E6844" w14:textId="77777777" w:rsidTr="001E475D">
        <w:trPr>
          <w:cantSplit/>
        </w:trPr>
        <w:tc>
          <w:tcPr>
            <w:tcW w:w="3307" w:type="dxa"/>
            <w:vMerge/>
          </w:tcPr>
          <w:p w14:paraId="037582CE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4E27CD49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111" w:type="dxa"/>
            <w:vAlign w:val="center"/>
          </w:tcPr>
          <w:p w14:paraId="67FB490D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Si una ruta o aplicación externa no está disponible, la validación falla antes de publicar resultados.</w:t>
            </w:r>
          </w:p>
        </w:tc>
      </w:tr>
      <w:tr w:rsidR="00AC3A89" w:rsidRPr="006947D2" w14:paraId="4954BE24" w14:textId="77777777" w:rsidTr="001E475D">
        <w:trPr>
          <w:cantSplit/>
        </w:trPr>
        <w:tc>
          <w:tcPr>
            <w:tcW w:w="3307" w:type="dxa"/>
            <w:vMerge/>
          </w:tcPr>
          <w:p w14:paraId="4562CBCC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7A313BCE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6111" w:type="dxa"/>
            <w:vAlign w:val="center"/>
          </w:tcPr>
          <w:p w14:paraId="4DD040DA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Si existe una ejecución concurrente, el bloqueo impide iniciar un segundo proceso.</w:t>
            </w:r>
          </w:p>
        </w:tc>
      </w:tr>
      <w:tr w:rsidR="00AC3A89" w:rsidRPr="006947D2" w14:paraId="35A26419" w14:textId="77777777" w:rsidTr="001E475D">
        <w:trPr>
          <w:cantSplit/>
        </w:trPr>
        <w:tc>
          <w:tcPr>
            <w:tcW w:w="3307" w:type="dxa"/>
            <w:vMerge w:val="restart"/>
            <w:vAlign w:val="center"/>
          </w:tcPr>
          <w:p w14:paraId="530F47D7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Rendimiento</w:t>
            </w:r>
            <w:r>
              <w:rPr>
                <w:rFonts w:ascii="Calibri" w:hAnsi="Calibri"/>
                <w:b/>
                <w:color w:val="000000"/>
                <w:sz w:val="18"/>
              </w:rPr>
              <w:br/>
              <w:t>Límites técnicos configurados.</w:t>
            </w:r>
          </w:p>
        </w:tc>
        <w:tc>
          <w:tcPr>
            <w:tcW w:w="789" w:type="dxa"/>
            <w:vAlign w:val="center"/>
          </w:tcPr>
          <w:p w14:paraId="0C43D801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Paso</w:t>
            </w:r>
          </w:p>
        </w:tc>
        <w:tc>
          <w:tcPr>
            <w:tcW w:w="6111" w:type="dxa"/>
            <w:vAlign w:val="center"/>
          </w:tcPr>
          <w:p w14:paraId="21C24A20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Cota de tiempo</w:t>
            </w:r>
          </w:p>
        </w:tc>
      </w:tr>
      <w:tr w:rsidR="00AC3A89" w:rsidRPr="006947D2" w14:paraId="6858B1AF" w14:textId="77777777" w:rsidTr="001E475D">
        <w:trPr>
          <w:cantSplit/>
        </w:trPr>
        <w:tc>
          <w:tcPr>
            <w:tcW w:w="3307" w:type="dxa"/>
            <w:vMerge/>
          </w:tcPr>
          <w:p w14:paraId="31E6EEF2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036987EB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6111" w:type="dxa"/>
            <w:vAlign w:val="center"/>
          </w:tcPr>
          <w:p w14:paraId="028FF939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 xml:space="preserve">Las pruebas y la detección deben finalizar dentro de sus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timeouts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configurados.</w:t>
            </w:r>
          </w:p>
        </w:tc>
      </w:tr>
      <w:tr w:rsidR="00AC3A89" w:rsidRPr="006947D2" w14:paraId="2016AA20" w14:textId="77777777" w:rsidTr="001E475D">
        <w:trPr>
          <w:cantSplit/>
        </w:trPr>
        <w:tc>
          <w:tcPr>
            <w:tcW w:w="3307" w:type="dxa"/>
            <w:vMerge/>
          </w:tcPr>
          <w:p w14:paraId="2DA56656" w14:textId="77777777" w:rsidR="00AC3A89" w:rsidRPr="006947D2" w:rsidRDefault="00AC3A89" w:rsidP="001E475D"/>
        </w:tc>
        <w:tc>
          <w:tcPr>
            <w:tcW w:w="789" w:type="dxa"/>
            <w:vAlign w:val="center"/>
          </w:tcPr>
          <w:p w14:paraId="3D53C0F7" w14:textId="77777777" w:rsidR="005F6179" w:rsidRDefault="00E74031"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6111" w:type="dxa"/>
            <w:vAlign w:val="center"/>
          </w:tcPr>
          <w:p w14:paraId="511EA7C2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La ejecución usa los límites definidos en RF-01.</w:t>
            </w:r>
          </w:p>
        </w:tc>
      </w:tr>
      <w:tr w:rsidR="00AC3A89" w:rsidRPr="006947D2" w14:paraId="5C6B1B13" w14:textId="77777777" w:rsidTr="001E475D">
        <w:trPr>
          <w:cantSplit/>
        </w:trPr>
        <w:tc>
          <w:tcPr>
            <w:tcW w:w="3307" w:type="dxa"/>
            <w:vAlign w:val="center"/>
          </w:tcPr>
          <w:p w14:paraId="20894FA4" w14:textId="77777777" w:rsidR="00AC3A89" w:rsidRPr="006947D2" w:rsidRDefault="00AC3A89" w:rsidP="001E475D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Frecuencia esperada</w:t>
            </w:r>
          </w:p>
        </w:tc>
        <w:tc>
          <w:tcPr>
            <w:tcW w:w="6900" w:type="dxa"/>
            <w:gridSpan w:val="2"/>
            <w:vAlign w:val="center"/>
          </w:tcPr>
          <w:p w14:paraId="4EC0FB07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Según cambios de negocio, incorporación de sociedades o ajustes operativos.</w:t>
            </w:r>
          </w:p>
        </w:tc>
      </w:tr>
      <w:tr w:rsidR="00AC3A89" w:rsidRPr="006947D2" w14:paraId="7F6705EC" w14:textId="77777777" w:rsidTr="001E475D">
        <w:trPr>
          <w:cantSplit/>
        </w:trPr>
        <w:tc>
          <w:tcPr>
            <w:tcW w:w="3307" w:type="dxa"/>
            <w:vAlign w:val="center"/>
          </w:tcPr>
          <w:p w14:paraId="13FA9873" w14:textId="77777777" w:rsidR="00AC3A89" w:rsidRPr="006947D2" w:rsidRDefault="00AC3A89" w:rsidP="001E475D">
            <w:pPr>
              <w:spacing w:after="0" w:line="240" w:lineRule="auto"/>
            </w:pPr>
            <w:r w:rsidRPr="006947D2">
              <w:rPr>
                <w:rFonts w:ascii="Calibri" w:hAnsi="Calibri"/>
                <w:color w:val="000000"/>
                <w:sz w:val="18"/>
              </w:rPr>
              <w:t>Comentarios</w:t>
            </w:r>
          </w:p>
        </w:tc>
        <w:tc>
          <w:tcPr>
            <w:tcW w:w="6900" w:type="dxa"/>
            <w:gridSpan w:val="2"/>
            <w:vAlign w:val="center"/>
          </w:tcPr>
          <w:p w14:paraId="0FB72083" w14:textId="77777777" w:rsidR="005F6179" w:rsidRDefault="00E74031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Las reglas modificables por negocio se mantienen en catálogos Excel; la lógica estructural permanece en módulos versionados.</w:t>
            </w:r>
          </w:p>
        </w:tc>
      </w:tr>
    </w:tbl>
    <w:p w14:paraId="2E5B21C0" w14:textId="77777777" w:rsidR="00AC3A89" w:rsidRDefault="00AC3A89" w:rsidP="00AC3A89"/>
    <w:p w14:paraId="792A95B1" w14:textId="77777777" w:rsidR="00AC3A89" w:rsidRPr="00AC3A89" w:rsidRDefault="00AC3A89" w:rsidP="00AC3A89">
      <w:pPr>
        <w:rPr>
          <w:lang w:val="es-ES" w:eastAsia="es-ES"/>
        </w:rPr>
      </w:pPr>
    </w:p>
    <w:p w14:paraId="71BDAA6C" w14:textId="77777777" w:rsidR="005C7BC8" w:rsidRDefault="005C7BC8">
      <w:r>
        <w:br w:type="page"/>
      </w:r>
    </w:p>
    <w:p w14:paraId="143FECA5" w14:textId="77777777" w:rsidR="005C7BC8" w:rsidRDefault="005C7BC8" w:rsidP="005C7BC8"/>
    <w:p w14:paraId="73662FB5" w14:textId="77777777" w:rsidR="005C7BC8" w:rsidRPr="005C7BC8" w:rsidRDefault="005C7BC8" w:rsidP="005C7BC8"/>
    <w:p w14:paraId="324134AE" w14:textId="77777777" w:rsidR="002E3F8E" w:rsidRPr="00934F44" w:rsidRDefault="002E3F8E" w:rsidP="005D79BE">
      <w:pPr>
        <w:pStyle w:val="Ttulo2"/>
        <w:jc w:val="both"/>
        <w:rPr>
          <w:rFonts w:asciiTheme="minorHAnsi" w:hAnsiTheme="minorHAnsi" w:cstheme="minorHAnsi"/>
        </w:rPr>
      </w:pPr>
      <w:bookmarkStart w:id="13" w:name="_Toc241747522"/>
      <w:r w:rsidRPr="00934F44">
        <w:rPr>
          <w:rFonts w:asciiTheme="minorHAnsi" w:hAnsiTheme="minorHAnsi" w:cstheme="minorHAnsi"/>
        </w:rPr>
        <w:t>Requisitos no funcionales</w:t>
      </w:r>
      <w:bookmarkEnd w:id="13"/>
    </w:p>
    <w:p w14:paraId="0A8ECFDB" w14:textId="77777777" w:rsidR="002E3F8E" w:rsidRDefault="002E3F8E" w:rsidP="005D79BE">
      <w:pPr>
        <w:pStyle w:val="Ttulo3"/>
        <w:jc w:val="both"/>
        <w:rPr>
          <w:rFonts w:asciiTheme="minorHAnsi" w:hAnsiTheme="minorHAnsi" w:cstheme="minorHAnsi"/>
        </w:rPr>
      </w:pPr>
      <w:bookmarkStart w:id="14" w:name="_Toc241747523"/>
      <w:r w:rsidRPr="00934F44">
        <w:rPr>
          <w:rFonts w:asciiTheme="minorHAnsi" w:hAnsiTheme="minorHAnsi" w:cstheme="minorHAnsi"/>
        </w:rPr>
        <w:t>Requisitos de rendimiento</w:t>
      </w:r>
      <w:bookmarkEnd w:id="14"/>
    </w:p>
    <w:p w14:paraId="23C8B377" w14:textId="77777777" w:rsidR="00520512" w:rsidRDefault="00520512" w:rsidP="00520512">
      <w:pPr>
        <w:spacing w:after="120" w:line="259" w:lineRule="auto"/>
        <w:rPr>
          <w:lang w:val="es-ES" w:eastAsia="es-ES"/>
        </w:rPr>
      </w:pPr>
      <w:r>
        <w:rPr>
          <w:rFonts w:ascii="Calibri" w:hAnsi="Calibri"/>
          <w:color w:val="000000"/>
          <w:sz w:val="21"/>
        </w:rPr>
        <w:t xml:space="preserve">El sistema debe comprobar la estabilidad de una fuente mediante tres verificaciones y abortar la espera después de 300 segundos. La extracción SAP tiene un límite configurable de 45 minutos; el procesamiento principal y la construcción del reporte tienen límites de 3 horas y 1 hora. Las solicitudes de la interfaz web utilizan un </w:t>
      </w:r>
      <w:proofErr w:type="spellStart"/>
      <w:r>
        <w:rPr>
          <w:rFonts w:ascii="Calibri" w:hAnsi="Calibri"/>
          <w:color w:val="000000"/>
          <w:sz w:val="21"/>
        </w:rPr>
        <w:t>timeout</w:t>
      </w:r>
      <w:proofErr w:type="spellEnd"/>
      <w:r>
        <w:rPr>
          <w:rFonts w:ascii="Calibri" w:hAnsi="Calibri"/>
          <w:color w:val="000000"/>
          <w:sz w:val="21"/>
        </w:rPr>
        <w:t xml:space="preserve"> de 120 segundos.</w:t>
      </w:r>
    </w:p>
    <w:p w14:paraId="6599AAD4" w14:textId="77777777" w:rsidR="002E3F8E" w:rsidRPr="00934F44" w:rsidRDefault="002E3F8E" w:rsidP="005C7BC8">
      <w:pPr>
        <w:pStyle w:val="Ttulo3"/>
      </w:pPr>
      <w:bookmarkStart w:id="15" w:name="_Toc241747524"/>
      <w:r w:rsidRPr="00934F44">
        <w:t>Seguridad</w:t>
      </w:r>
      <w:bookmarkEnd w:id="15"/>
    </w:p>
    <w:p w14:paraId="533B759C" w14:textId="77777777" w:rsidR="002E3F8E" w:rsidRPr="00C61DE5" w:rsidRDefault="002E3F8E" w:rsidP="00C61DE5">
      <w:pPr>
        <w:spacing w:after="120" w:line="259" w:lineRule="auto"/>
        <w:jc w:val="both"/>
        <w:rPr>
          <w:rFonts w:cstheme="minorHAnsi"/>
          <w:color w:val="FF0000"/>
        </w:rPr>
      </w:pPr>
      <w:r>
        <w:rPr>
          <w:rFonts w:ascii="Calibri" w:hAnsi="Calibri"/>
          <w:color w:val="000000"/>
          <w:sz w:val="21"/>
        </w:rPr>
        <w:t>El repositorio no debe contener credenciales, archivos productivos ni rutas personales. El acceso a SAP, SharePoint o OneDrive, Outlook y los reportes debe limitarse a usuarios autorizados. La configuración sensible debe residir en archivos locales excluidos del control de versiones.</w:t>
      </w:r>
    </w:p>
    <w:p w14:paraId="2B1BBF69" w14:textId="77777777" w:rsidR="002E3F8E" w:rsidRPr="00934F44" w:rsidRDefault="002E3F8E" w:rsidP="005C7BC8">
      <w:pPr>
        <w:pStyle w:val="Ttulo3"/>
      </w:pPr>
      <w:bookmarkStart w:id="16" w:name="_Toc241747525"/>
      <w:r w:rsidRPr="00934F44">
        <w:t>Fiabilidad</w:t>
      </w:r>
      <w:bookmarkEnd w:id="16"/>
    </w:p>
    <w:p w14:paraId="628ADB89" w14:textId="77777777" w:rsidR="002E3F8E" w:rsidRPr="00704663" w:rsidRDefault="00C61DE5" w:rsidP="005D79BE">
      <w:pPr>
        <w:spacing w:after="120" w:line="259" w:lineRule="auto"/>
        <w:jc w:val="both"/>
        <w:rPr>
          <w:rFonts w:cstheme="minorHAnsi"/>
          <w:color w:val="FF0000"/>
        </w:rPr>
      </w:pPr>
      <w:r>
        <w:rPr>
          <w:rFonts w:ascii="Calibri" w:hAnsi="Calibri"/>
          <w:color w:val="000000"/>
          <w:sz w:val="21"/>
        </w:rPr>
        <w:t>Cada ejecución debe validar estructura, columnas, fechas, estabilidad del archivo y conteos de filas antes de publicar. El orquestador debe usar bloqueo de concurrencia, huellas SHA-256, estados persistentes, logs y respaldos. Ante fallos de publicación o correo debe reintentar solo la etapa pendiente cuando corresponda.</w:t>
      </w:r>
    </w:p>
    <w:p w14:paraId="0415000C" w14:textId="77777777" w:rsidR="002E3F8E" w:rsidRPr="00934F44" w:rsidRDefault="002E3F8E" w:rsidP="005C7BC8">
      <w:pPr>
        <w:pStyle w:val="Ttulo3"/>
      </w:pPr>
      <w:bookmarkStart w:id="17" w:name="_Toc241747526"/>
      <w:r w:rsidRPr="00934F44">
        <w:t>Disponibilidad</w:t>
      </w:r>
      <w:bookmarkEnd w:id="17"/>
    </w:p>
    <w:p w14:paraId="34AF87B4" w14:textId="77777777" w:rsidR="002E3F8E" w:rsidRPr="00704663" w:rsidRDefault="002E3F8E" w:rsidP="005D79BE">
      <w:pPr>
        <w:spacing w:after="120" w:line="259" w:lineRule="auto"/>
        <w:jc w:val="both"/>
        <w:rPr>
          <w:rFonts w:cstheme="minorHAnsi"/>
          <w:color w:val="FF0000"/>
        </w:rPr>
      </w:pPr>
      <w:r>
        <w:rPr>
          <w:rFonts w:ascii="Calibri" w:hAnsi="Calibri"/>
          <w:color w:val="000000"/>
          <w:sz w:val="21"/>
        </w:rPr>
        <w:t>La tarea se programa de lunes a viernes a las 09:00 en el equipo autorizado. La ejecución completa depende de una sesión interactiva con SAP GUI, Excel y Outlook disponibles. La consulta web puede funcionar en modo de lectura mientras existan artefactos válidos publicados.</w:t>
      </w:r>
    </w:p>
    <w:p w14:paraId="4CF5D8D6" w14:textId="77777777" w:rsidR="002E3F8E" w:rsidRPr="00934F44" w:rsidRDefault="002E3F8E" w:rsidP="005C7BC8">
      <w:pPr>
        <w:pStyle w:val="Ttulo3"/>
      </w:pPr>
      <w:bookmarkStart w:id="18" w:name="_Toc241747527"/>
      <w:r w:rsidRPr="00934F44">
        <w:t>Mantenibilidad</w:t>
      </w:r>
      <w:bookmarkEnd w:id="18"/>
    </w:p>
    <w:p w14:paraId="0E8C586C" w14:textId="77777777" w:rsidR="005F6179" w:rsidRDefault="00E74031">
      <w:pPr>
        <w:spacing w:after="120" w:line="259" w:lineRule="auto"/>
      </w:pPr>
      <w:r>
        <w:rPr>
          <w:rFonts w:ascii="Calibri" w:hAnsi="Calibri"/>
          <w:color w:val="000000"/>
          <w:sz w:val="21"/>
        </w:rPr>
        <w:t>La solución debe conservar una arquitectura modular por capas, configuración centralizada, catálogos externos y pruebas automatizadas. Los cambios deben quedar trazados en Git y en los logs de ejecución, sin duplicar reglas de negocio entre Excel, API e interfaz.</w:t>
      </w:r>
    </w:p>
    <w:p w14:paraId="3928D012" w14:textId="77777777" w:rsidR="002E3F8E" w:rsidRPr="00934F44" w:rsidRDefault="002E3F8E" w:rsidP="005C7BC8">
      <w:pPr>
        <w:pStyle w:val="Ttulo3"/>
      </w:pPr>
      <w:bookmarkStart w:id="19" w:name="_Toc241747528"/>
      <w:r w:rsidRPr="00934F44">
        <w:t>Portabilidad</w:t>
      </w:r>
      <w:bookmarkEnd w:id="19"/>
    </w:p>
    <w:p w14:paraId="6DC31C27" w14:textId="77777777" w:rsidR="001606C0" w:rsidRPr="00C61DE5" w:rsidRDefault="001606C0" w:rsidP="00C61DE5">
      <w:pPr>
        <w:spacing w:after="120" w:line="259" w:lineRule="auto"/>
        <w:jc w:val="both"/>
        <w:rPr>
          <w:rFonts w:cstheme="minorHAnsi"/>
          <w:color w:val="FF0000"/>
        </w:rPr>
      </w:pPr>
      <w:r>
        <w:rPr>
          <w:rFonts w:ascii="Calibri" w:hAnsi="Calibri"/>
          <w:color w:val="000000"/>
          <w:sz w:val="21"/>
        </w:rPr>
        <w:t xml:space="preserve">El pipeline productivo está diseñado para Windows 11 por sus dependencias de SAP GUI y Microsoft Office COM. El </w:t>
      </w:r>
      <w:proofErr w:type="spellStart"/>
      <w:r>
        <w:rPr>
          <w:rFonts w:ascii="Calibri" w:hAnsi="Calibri"/>
          <w:color w:val="000000"/>
          <w:sz w:val="21"/>
        </w:rPr>
        <w:t>backend</w:t>
      </w:r>
      <w:proofErr w:type="spellEnd"/>
      <w:r>
        <w:rPr>
          <w:rFonts w:ascii="Calibri" w:hAnsi="Calibri"/>
          <w:color w:val="000000"/>
          <w:sz w:val="21"/>
        </w:rPr>
        <w:t xml:space="preserve"> Python y la interfaz </w:t>
      </w:r>
      <w:proofErr w:type="spellStart"/>
      <w:r>
        <w:rPr>
          <w:rFonts w:ascii="Calibri" w:hAnsi="Calibri"/>
          <w:color w:val="000000"/>
          <w:sz w:val="21"/>
        </w:rPr>
        <w:t>React</w:t>
      </w:r>
      <w:proofErr w:type="spellEnd"/>
      <w:r>
        <w:rPr>
          <w:rFonts w:ascii="Calibri" w:hAnsi="Calibri"/>
          <w:color w:val="000000"/>
          <w:sz w:val="21"/>
        </w:rPr>
        <w:t xml:space="preserve"> pueden ejecutarse en entornos compatibles, pero la automatización completa requiere Python 3.13 de 64 bits y las aplicaciones corporativas instaladas.</w:t>
      </w:r>
    </w:p>
    <w:p w14:paraId="711BE74C" w14:textId="77777777" w:rsidR="00B80F3D" w:rsidRPr="00934F44" w:rsidRDefault="00B80F3D" w:rsidP="005C7BC8">
      <w:pPr>
        <w:pStyle w:val="Ttulo2"/>
      </w:pPr>
      <w:bookmarkStart w:id="20" w:name="_Toc241747529"/>
      <w:r w:rsidRPr="00934F44">
        <w:t>Otros Requisitos</w:t>
      </w:r>
      <w:bookmarkEnd w:id="20"/>
    </w:p>
    <w:p w14:paraId="56853470" w14:textId="77777777" w:rsidR="0084430C" w:rsidRDefault="0084430C" w:rsidP="0084430C">
      <w:pPr>
        <w:spacing w:after="120" w:line="259" w:lineRule="auto"/>
        <w:jc w:val="both"/>
        <w:rPr>
          <w:rFonts w:cstheme="minorHAnsi"/>
          <w:b/>
        </w:rPr>
      </w:pPr>
      <w:r>
        <w:rPr>
          <w:rFonts w:ascii="Calibri" w:hAnsi="Calibri"/>
          <w:color w:val="000000"/>
          <w:sz w:val="21"/>
        </w:rPr>
        <w:t>La matriz base debe conservar una fila por transacción, nombres y semántica de las columnas SAP, y registros sin coincidencia en catálogos. No se deben convertir importes entre monedas. Power BI consume los resultados publicados y permanece sujeto a ajustes visuales y funcionales.</w:t>
      </w:r>
    </w:p>
    <w:p w14:paraId="4F3980D5" w14:textId="77777777" w:rsidR="00C61DE5" w:rsidRDefault="00C61DE5" w:rsidP="0084430C">
      <w:pPr>
        <w:jc w:val="both"/>
        <w:rPr>
          <w:rFonts w:cstheme="minorHAnsi"/>
          <w:b/>
        </w:rPr>
      </w:pPr>
    </w:p>
    <w:p w14:paraId="6C10448B" w14:textId="77777777" w:rsidR="00690065" w:rsidRPr="00404E04" w:rsidRDefault="00690065">
      <w:pPr>
        <w:rPr>
          <w:rFonts w:cstheme="minorHAnsi"/>
          <w:b/>
        </w:rPr>
      </w:pPr>
      <w:r>
        <w:br w:type="page"/>
      </w:r>
    </w:p>
    <w:p w14:paraId="4722682E" w14:textId="77777777" w:rsidR="00CC4019" w:rsidRDefault="00690065" w:rsidP="00690065">
      <w:pPr>
        <w:pStyle w:val="Ttulo1"/>
      </w:pPr>
      <w:bookmarkStart w:id="21" w:name="_Toc241747530"/>
      <w:r>
        <w:lastRenderedPageBreak/>
        <w:t>Registro de Control de Versiones</w:t>
      </w:r>
      <w:bookmarkEnd w:id="21"/>
    </w:p>
    <w:p w14:paraId="0E0384E8" w14:textId="77777777" w:rsidR="00690065" w:rsidRDefault="00690065" w:rsidP="00690065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71"/>
        <w:gridCol w:w="3544"/>
        <w:gridCol w:w="3663"/>
      </w:tblGrid>
      <w:tr w:rsidR="008573F5" w14:paraId="3AA560B2" w14:textId="77777777" w:rsidTr="008573F5">
        <w:tc>
          <w:tcPr>
            <w:tcW w:w="1771" w:type="dxa"/>
            <w:shd w:val="clear" w:color="auto" w:fill="E7E6E6"/>
            <w:vAlign w:val="center"/>
          </w:tcPr>
          <w:p w14:paraId="380E63BE" w14:textId="77777777" w:rsidR="008573F5" w:rsidRDefault="008573F5" w:rsidP="00690065">
            <w:r>
              <w:rPr>
                <w:rFonts w:ascii="Calibri" w:hAnsi="Calibri"/>
                <w:b/>
                <w:color w:val="000000"/>
                <w:sz w:val="18"/>
              </w:rPr>
              <w:t>Fecha</w:t>
            </w:r>
          </w:p>
        </w:tc>
        <w:tc>
          <w:tcPr>
            <w:tcW w:w="3544" w:type="dxa"/>
            <w:shd w:val="clear" w:color="auto" w:fill="E7E6E6"/>
            <w:vAlign w:val="center"/>
          </w:tcPr>
          <w:p w14:paraId="1B1530FD" w14:textId="77777777" w:rsidR="008573F5" w:rsidRDefault="008573F5" w:rsidP="00690065">
            <w:r>
              <w:rPr>
                <w:rFonts w:ascii="Calibri" w:hAnsi="Calibri"/>
                <w:b/>
                <w:color w:val="000000"/>
                <w:sz w:val="18"/>
              </w:rPr>
              <w:t>Cambios</w:t>
            </w:r>
          </w:p>
        </w:tc>
        <w:tc>
          <w:tcPr>
            <w:tcW w:w="3663" w:type="dxa"/>
            <w:shd w:val="clear" w:color="auto" w:fill="E7E6E6"/>
            <w:vAlign w:val="center"/>
          </w:tcPr>
          <w:p w14:paraId="17051FE5" w14:textId="77777777" w:rsidR="008573F5" w:rsidRDefault="008573F5" w:rsidP="00690065">
            <w:r>
              <w:rPr>
                <w:rFonts w:ascii="Calibri" w:hAnsi="Calibri"/>
                <w:b/>
                <w:color w:val="000000"/>
                <w:sz w:val="18"/>
              </w:rPr>
              <w:t>Evidencia</w:t>
            </w:r>
          </w:p>
        </w:tc>
      </w:tr>
      <w:tr w:rsidR="008573F5" w14:paraId="79D57B6A" w14:textId="77777777" w:rsidTr="008573F5">
        <w:tc>
          <w:tcPr>
            <w:tcW w:w="1771" w:type="dxa"/>
            <w:vAlign w:val="center"/>
          </w:tcPr>
          <w:p w14:paraId="757B5198" w14:textId="77777777" w:rsidR="005F6179" w:rsidRDefault="00E74031">
            <w:r>
              <w:rPr>
                <w:rFonts w:ascii="Calibri" w:hAnsi="Calibri"/>
                <w:color w:val="000000"/>
                <w:sz w:val="18"/>
              </w:rPr>
              <w:t>01-10-2026</w:t>
            </w:r>
          </w:p>
        </w:tc>
        <w:tc>
          <w:tcPr>
            <w:tcW w:w="3544" w:type="dxa"/>
            <w:vAlign w:val="center"/>
          </w:tcPr>
          <w:p w14:paraId="16F6389F" w14:textId="77777777" w:rsidR="005F6179" w:rsidRDefault="00E74031">
            <w:r>
              <w:rPr>
                <w:rFonts w:ascii="Calibri" w:hAnsi="Calibri"/>
                <w:color w:val="000000"/>
                <w:sz w:val="18"/>
              </w:rPr>
              <w:t>Versión 1.0 completada con requisitos e interfaces del proyecto</w:t>
            </w:r>
          </w:p>
        </w:tc>
        <w:tc>
          <w:tcPr>
            <w:tcW w:w="3663" w:type="dxa"/>
            <w:vAlign w:val="center"/>
          </w:tcPr>
          <w:p w14:paraId="7EE6DDBC" w14:textId="77777777" w:rsidR="005F6179" w:rsidRDefault="00E74031">
            <w:r>
              <w:rPr>
                <w:rFonts w:ascii="Calibri" w:hAnsi="Calibri"/>
                <w:color w:val="000000"/>
                <w:sz w:val="18"/>
              </w:rPr>
              <w:t>README, arquitectura, código fuente, pruebas y configuración</w:t>
            </w:r>
          </w:p>
        </w:tc>
      </w:tr>
      <w:tr w:rsidR="008573F5" w14:paraId="6A613CA4" w14:textId="77777777" w:rsidTr="008573F5">
        <w:tc>
          <w:tcPr>
            <w:tcW w:w="1771" w:type="dxa"/>
            <w:vAlign w:val="center"/>
          </w:tcPr>
          <w:p w14:paraId="0DEC971C" w14:textId="77777777" w:rsidR="005F6179" w:rsidRDefault="005F6179"/>
        </w:tc>
        <w:tc>
          <w:tcPr>
            <w:tcW w:w="3544" w:type="dxa"/>
            <w:vAlign w:val="center"/>
          </w:tcPr>
          <w:p w14:paraId="486DBB8D" w14:textId="77777777" w:rsidR="005F6179" w:rsidRDefault="005F6179"/>
        </w:tc>
        <w:tc>
          <w:tcPr>
            <w:tcW w:w="3663" w:type="dxa"/>
            <w:vAlign w:val="center"/>
          </w:tcPr>
          <w:p w14:paraId="34C0FAC6" w14:textId="77777777" w:rsidR="005F6179" w:rsidRDefault="005F6179"/>
        </w:tc>
      </w:tr>
      <w:tr w:rsidR="008573F5" w14:paraId="17CCADF5" w14:textId="77777777" w:rsidTr="008573F5">
        <w:tc>
          <w:tcPr>
            <w:tcW w:w="1771" w:type="dxa"/>
            <w:vAlign w:val="center"/>
          </w:tcPr>
          <w:p w14:paraId="2F60610E" w14:textId="77777777" w:rsidR="005F6179" w:rsidRDefault="005F6179"/>
        </w:tc>
        <w:tc>
          <w:tcPr>
            <w:tcW w:w="3544" w:type="dxa"/>
            <w:vAlign w:val="center"/>
          </w:tcPr>
          <w:p w14:paraId="1F782B22" w14:textId="77777777" w:rsidR="005F6179" w:rsidRDefault="005F6179"/>
        </w:tc>
        <w:tc>
          <w:tcPr>
            <w:tcW w:w="3663" w:type="dxa"/>
            <w:vAlign w:val="center"/>
          </w:tcPr>
          <w:p w14:paraId="601B710B" w14:textId="77777777" w:rsidR="005F6179" w:rsidRDefault="005F6179"/>
        </w:tc>
      </w:tr>
      <w:tr w:rsidR="008573F5" w14:paraId="62713C81" w14:textId="77777777" w:rsidTr="008573F5">
        <w:tc>
          <w:tcPr>
            <w:tcW w:w="1771" w:type="dxa"/>
            <w:vAlign w:val="center"/>
          </w:tcPr>
          <w:p w14:paraId="223A4641" w14:textId="77777777" w:rsidR="005F6179" w:rsidRDefault="005F6179"/>
        </w:tc>
        <w:tc>
          <w:tcPr>
            <w:tcW w:w="3544" w:type="dxa"/>
            <w:vAlign w:val="center"/>
          </w:tcPr>
          <w:p w14:paraId="30A5F292" w14:textId="77777777" w:rsidR="005F6179" w:rsidRDefault="005F6179"/>
        </w:tc>
        <w:tc>
          <w:tcPr>
            <w:tcW w:w="3663" w:type="dxa"/>
            <w:vAlign w:val="center"/>
          </w:tcPr>
          <w:p w14:paraId="6957A566" w14:textId="77777777" w:rsidR="005F6179" w:rsidRDefault="005F6179"/>
        </w:tc>
      </w:tr>
      <w:tr w:rsidR="008573F5" w14:paraId="6D4EA9A6" w14:textId="77777777" w:rsidTr="008573F5">
        <w:tc>
          <w:tcPr>
            <w:tcW w:w="1771" w:type="dxa"/>
            <w:vAlign w:val="center"/>
          </w:tcPr>
          <w:p w14:paraId="2D2B03C5" w14:textId="77777777" w:rsidR="005F6179" w:rsidRDefault="005F6179"/>
        </w:tc>
        <w:tc>
          <w:tcPr>
            <w:tcW w:w="3544" w:type="dxa"/>
            <w:vAlign w:val="center"/>
          </w:tcPr>
          <w:p w14:paraId="663C6D69" w14:textId="77777777" w:rsidR="005F6179" w:rsidRDefault="005F6179"/>
        </w:tc>
        <w:tc>
          <w:tcPr>
            <w:tcW w:w="3663" w:type="dxa"/>
            <w:vAlign w:val="center"/>
          </w:tcPr>
          <w:p w14:paraId="373E54F9" w14:textId="77777777" w:rsidR="005F6179" w:rsidRDefault="005F6179"/>
        </w:tc>
      </w:tr>
      <w:tr w:rsidR="008573F5" w14:paraId="7A3FE5BC" w14:textId="77777777" w:rsidTr="008573F5">
        <w:tc>
          <w:tcPr>
            <w:tcW w:w="1771" w:type="dxa"/>
            <w:vAlign w:val="center"/>
          </w:tcPr>
          <w:p w14:paraId="7DCF334C" w14:textId="77777777" w:rsidR="005F6179" w:rsidRDefault="005F6179"/>
        </w:tc>
        <w:tc>
          <w:tcPr>
            <w:tcW w:w="3544" w:type="dxa"/>
            <w:vAlign w:val="center"/>
          </w:tcPr>
          <w:p w14:paraId="10EFDD54" w14:textId="77777777" w:rsidR="005F6179" w:rsidRDefault="005F6179"/>
        </w:tc>
        <w:tc>
          <w:tcPr>
            <w:tcW w:w="3663" w:type="dxa"/>
            <w:vAlign w:val="center"/>
          </w:tcPr>
          <w:p w14:paraId="5D0A9696" w14:textId="77777777" w:rsidR="005F6179" w:rsidRDefault="005F6179"/>
        </w:tc>
      </w:tr>
    </w:tbl>
    <w:p w14:paraId="005D570F" w14:textId="77777777" w:rsidR="00690065" w:rsidRPr="00690065" w:rsidRDefault="00690065" w:rsidP="00690065"/>
    <w:sectPr w:rsidR="00690065" w:rsidRPr="00690065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13C9" w14:textId="77777777" w:rsidR="00032013" w:rsidRDefault="00032013" w:rsidP="00893114">
      <w:pPr>
        <w:spacing w:after="0" w:line="240" w:lineRule="auto"/>
      </w:pPr>
      <w:r>
        <w:separator/>
      </w:r>
    </w:p>
  </w:endnote>
  <w:endnote w:type="continuationSeparator" w:id="0">
    <w:p w14:paraId="6DEF27C0" w14:textId="77777777" w:rsidR="00032013" w:rsidRDefault="00032013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1839F" w14:textId="77777777" w:rsidR="003440BD" w:rsidRDefault="003440B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680E5320" w14:textId="77777777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897EEC9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4A534" w14:textId="77777777" w:rsidR="003440BD" w:rsidRDefault="003440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05BF" w14:textId="77777777" w:rsidR="00032013" w:rsidRDefault="00032013" w:rsidP="00893114">
      <w:pPr>
        <w:spacing w:after="0" w:line="240" w:lineRule="auto"/>
      </w:pPr>
      <w:r>
        <w:separator/>
      </w:r>
    </w:p>
  </w:footnote>
  <w:footnote w:type="continuationSeparator" w:id="0">
    <w:p w14:paraId="06E32BBB" w14:textId="77777777" w:rsidR="00032013" w:rsidRDefault="00032013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A374D" w14:textId="77777777" w:rsidR="003440BD" w:rsidRDefault="003440B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0055" w14:textId="77777777" w:rsidR="007653EB" w:rsidRPr="00704663" w:rsidRDefault="007653E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 w:rsidRPr="00704663">
      <w:rPr>
        <w:color w:val="FF0000"/>
      </w:rPr>
      <w:t xml:space="preserve">Especificación de Requisitos, estándar de IEEE 830 </w:t>
    </w:r>
  </w:p>
  <w:p w14:paraId="0F2F699D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8F3705F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A633B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32013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C1F27"/>
    <w:rsid w:val="002D0893"/>
    <w:rsid w:val="002E253F"/>
    <w:rsid w:val="002E3F8E"/>
    <w:rsid w:val="002F7B55"/>
    <w:rsid w:val="003029DC"/>
    <w:rsid w:val="00311984"/>
    <w:rsid w:val="00326951"/>
    <w:rsid w:val="003440BD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6179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F1552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A0EF4"/>
    <w:rsid w:val="00DB571C"/>
    <w:rsid w:val="00DD3542"/>
    <w:rsid w:val="00DF15CB"/>
    <w:rsid w:val="00E07E66"/>
    <w:rsid w:val="00E22395"/>
    <w:rsid w:val="00E74031"/>
    <w:rsid w:val="00EE4515"/>
    <w:rsid w:val="00F4443B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8F9AB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2C1F27"/>
    <w:rsid w:val="004F7F49"/>
    <w:rsid w:val="0057410B"/>
    <w:rsid w:val="00595623"/>
    <w:rsid w:val="005B27DB"/>
    <w:rsid w:val="00687CD9"/>
    <w:rsid w:val="006E2FCC"/>
    <w:rsid w:val="00704192"/>
    <w:rsid w:val="00825B36"/>
    <w:rsid w:val="009007E1"/>
    <w:rsid w:val="00960213"/>
    <w:rsid w:val="00A270F6"/>
    <w:rsid w:val="00B60B35"/>
    <w:rsid w:val="00BD2436"/>
    <w:rsid w:val="00C47BA2"/>
    <w:rsid w:val="00C5036F"/>
    <w:rsid w:val="00C861E5"/>
    <w:rsid w:val="00CF44FB"/>
    <w:rsid w:val="00DD693D"/>
    <w:rsid w:val="00E07E66"/>
    <w:rsid w:val="00E5518A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9</Pages>
  <Words>2118</Words>
  <Characters>11653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[Operations Analytics — Automatización de Procesos SAP]</dc:subject>
  <dc:creator>BQuevedo</dc:creator>
  <cp:lastModifiedBy>Herrera Rodriguez, Tania Camila (Externo)</cp:lastModifiedBy>
  <cp:revision>50</cp:revision>
  <dcterms:created xsi:type="dcterms:W3CDTF">2016-01-10T17:41:00Z</dcterms:created>
  <dcterms:modified xsi:type="dcterms:W3CDTF">2026-10-01T14:59:00Z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