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rPr>
        <w:t xml:space="preserve">Portfolio Competency Matrix</w:t>
      </w:r>
    </w:p>
    <w:p>
      <w:pPr>
        <w:spacing w:after="200"/>
      </w:pPr>
      <w:r>
        <w:rPr>
          <w:i/>
          <w:iCs/>
          <w:color w:val="555555"/>
        </w:rPr>
        <w:t xml:space="preserve">Working document — Tania Vorster / Series Media</w:t>
      </w:r>
    </w:p>
    <w:p>
      <w:pPr>
        <w:spacing w:after="100"/>
      </w:pPr>
      <w:r>
        <w:rPr>
          <w:sz w:val="20"/>
          <w:szCs w:val="20"/>
        </w:rPr>
        <w:t xml:space="preserve">How to use this document: each row names a competency drawn from work already completed. The middle column suggests the type of proof that would credibly demonstrate it. Fill in the two blank columns yourself as you locate the actual artefact, screenshot, document, or link, wherever it currently lives (your computer, Gemini, ChatGPT, Claude, Google Drive, etc.). Nothing here assumes what you do or don't already have.</w:t>
      </w:r>
    </w:p>
    <w:p>
      <w:pPr>
        <w:pBdr>
          <w:bottom w:val="single" w:color="999999" w:sz="6" w:space="4"/>
        </w:pBdr>
        <w:spacing w:after="300"/>
      </w:pPr>
    </w:p>
    <w:p>
      <w:pPr>
        <w:pStyle w:val="Heading1"/>
        <w:spacing w:after="120" w:before="400"/>
      </w:pPr>
      <w:r>
        <w:rPr>
          <w:b/>
          <w:bCs/>
        </w:rPr>
        <w:t xml:space="preserve">1. Product</w:t>
      </w:r>
    </w:p>
    <w:p>
      <w:pPr>
        <w:pStyle w:val="Heading2"/>
        <w:spacing w:after="100" w:before="240"/>
      </w:pPr>
      <w:r>
        <w:rPr>
          <w:b/>
          <w:bCs/>
          <w:i/>
          <w:iCs/>
        </w:rPr>
        <w:t xml:space="preserve">AI-powered tools and applications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900"/>
        <w:gridCol w:w="1660"/>
      </w:tblGrid>
      <w:tr>
        <w:trPr>
          <w:tblHeader/>
        </w:trPr>
        <w:tc>
          <w:tcPr>
            <w:tcW w:type="dxa" w:w="34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Competency</w:t>
            </w:r>
          </w:p>
        </w:tc>
        <w:tc>
          <w:tcPr>
            <w:tcW w:type="dxa" w:w="24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Suggested proof</w:t>
            </w:r>
          </w:p>
        </w:tc>
        <w:tc>
          <w:tcPr>
            <w:tcW w:type="dxa" w:w="19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Your artefact</w:t>
            </w:r>
          </w:p>
        </w:tc>
        <w:tc>
          <w:tcPr>
            <w:tcW w:type="dxa" w:w="166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Location / link</w:t>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SaaS tool: AI-generated book blurbs with Google Docs export</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Screen recording or GIF of the tool in use, plus one before/after example (rough input to finished blurb). Link if live.</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Editorial voice/tone analysis tool generating custom author style guides</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A redacted sample style guide, shown next to the manuscript excerpt it was built from.</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Creative writing ideation and plot-structuring web app</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Screenshot of the interface mid-use, plus one example premise developed from scratch.</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Business operations audit tool (visual reporting, PDF export, CRM-gated)</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Sample of the generated PDF report itself, anonymised.</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Local SEO / Google Business Profile diagnostic tool with scoring</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Screenshot of a scored output or dashboard.</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Affiliate product scoring tool</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The scoring rubric itself as a document; the methodology is the proof here, not a screenshot.</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Story planning / mind-map application</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Screenshot of a populated mind map, not a blank interface.</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Video mockup generator for book marketing</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An actual output video or GIF; this lives or dies on the output.</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Event-management PWA with camera capture and offline mode</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A short screen recording on a phone; static screenshots read as generic.</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Cloud file-system organisation tooling</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Weak as a standalone item on its own. Consider a before/after line (e.g. loose files to structured folders with naming convention), or fold into Operations.</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bl>
    <w:p>
      <w:pPr>
        <w:pStyle w:val="Heading2"/>
        <w:spacing w:after="100" w:before="240"/>
      </w:pPr>
      <w:r>
        <w:rPr>
          <w:b/>
          <w:bCs/>
          <w:i/>
          <w:iCs/>
        </w:rPr>
        <w:t xml:space="preserve">AI systems and frameworks designed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900"/>
        <w:gridCol w:w="1660"/>
      </w:tblGrid>
      <w:tr>
        <w:trPr>
          <w:tblHeader/>
        </w:trPr>
        <w:tc>
          <w:tcPr>
            <w:tcW w:type="dxa" w:w="34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Competency</w:t>
            </w:r>
          </w:p>
        </w:tc>
        <w:tc>
          <w:tcPr>
            <w:tcW w:type="dxa" w:w="24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Suggested proof</w:t>
            </w:r>
          </w:p>
        </w:tc>
        <w:tc>
          <w:tcPr>
            <w:tcW w:type="dxa" w:w="19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Your artefact</w:t>
            </w:r>
          </w:p>
        </w:tc>
        <w:tc>
          <w:tcPr>
            <w:tcW w:type="dxa" w:w="166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Location / link</w:t>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Character-development system</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The system prompt or framework document, plus one generated character sheet as a worked example.</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Story bible / master reference system</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A redacted excerpt of an actual assembled story bible. The document itself is legitimate proof here.</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Genre-specific fiction diagnostic system</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The diagnostic framework document, plus a sample diagnosis output (anonymised).</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Microdrama / short-form story and shot architecture system</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A sample shot list or beat sheet output, formatted as a document.</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AI cinematic pre-production framework</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A sample Visual Style Lock document or reference sheet.</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AI writing course platform (multi-stage learning journey)</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The course curriculum document as the proof. State plainly whether it is a built structure or a live platform.</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bl>
    <w:p>
      <w:r>
        <w:br w:type="page"/>
      </w:r>
    </w:p>
    <w:p>
      <w:pPr>
        <w:pStyle w:val="Heading1"/>
        <w:spacing w:after="120" w:before="400"/>
      </w:pPr>
      <w:r>
        <w:rPr>
          <w:b/>
          <w:bCs/>
        </w:rPr>
        <w:t xml:space="preserve">2. Marketing</w:t>
      </w:r>
    </w:p>
    <w:p>
      <w:pPr>
        <w:pStyle w:val="Heading2"/>
        <w:spacing w:after="100" w:before="240"/>
      </w:pPr>
      <w:r>
        <w:rPr>
          <w:b/>
          <w:bCs/>
          <w:i/>
          <w:iCs/>
        </w:rPr>
        <w:t xml:space="preserve">Copywriting disciplines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900"/>
        <w:gridCol w:w="1660"/>
      </w:tblGrid>
      <w:tr>
        <w:trPr>
          <w:tblHeader/>
        </w:trPr>
        <w:tc>
          <w:tcPr>
            <w:tcW w:type="dxa" w:w="34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Competency</w:t>
            </w:r>
          </w:p>
        </w:tc>
        <w:tc>
          <w:tcPr>
            <w:tcW w:type="dxa" w:w="24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Suggested proof</w:t>
            </w:r>
          </w:p>
        </w:tc>
        <w:tc>
          <w:tcPr>
            <w:tcW w:type="dxa" w:w="19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Your artefact</w:t>
            </w:r>
          </w:p>
        </w:tc>
        <w:tc>
          <w:tcPr>
            <w:tcW w:type="dxa" w:w="166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Location / link</w:t>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Sales pages, landing pages, advertorials</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Before/after: the brief or rough ask alongside the finished copy. Crop to a hero section rather than a full-page screenshot; link if live.</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Meta ad copy (lead-gen, conversion, awareness)</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Ad mockups (headline, primary text, image placeholder), styled to look like the real ad unit.</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Cold and warm outreach sequences</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One redacted email thread with the outcome noted qualitatively, not a full sequence dump.</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CRM nurture sequences</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A flow diagram of the sequence logic (trigger, email, wait, branch).</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Video scripts (Shorts / Reels / VSL)</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The script formatted as a script, with scene or shot notes, plus the finished video if one exists.</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Lead magnets and guides</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A cover mockup or first-page screenshot of the actual guide.</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Blog / article series</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A link to the live published piece.</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Book blurb copywriting</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Side-by-side of the blurb against the book cover it belongs to.</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bl>
    <w:p>
      <w:pPr>
        <w:pStyle w:val="Heading2"/>
        <w:spacing w:after="100" w:before="240"/>
      </w:pPr>
      <w:r>
        <w:rPr>
          <w:b/>
          <w:bCs/>
          <w:i/>
          <w:iCs/>
        </w:rPr>
        <w:t xml:space="preserve">Brand and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900"/>
        <w:gridCol w:w="1660"/>
      </w:tblGrid>
      <w:tr>
        <w:trPr>
          <w:tblHeader/>
        </w:trPr>
        <w:tc>
          <w:tcPr>
            <w:tcW w:type="dxa" w:w="34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Competency</w:t>
            </w:r>
          </w:p>
        </w:tc>
        <w:tc>
          <w:tcPr>
            <w:tcW w:type="dxa" w:w="24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Suggested proof</w:t>
            </w:r>
          </w:p>
        </w:tc>
        <w:tc>
          <w:tcPr>
            <w:tcW w:type="dxa" w:w="19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Your artefact</w:t>
            </w:r>
          </w:p>
        </w:tc>
        <w:tc>
          <w:tcPr>
            <w:tcW w:type="dxa" w:w="166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Location / link</w:t>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Brand voice / tone systems</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The voice guide document itself; one page is enough.</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Style-guide generation from manuscript voice</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Same artefact type as above in Product; don't duplicate in both sections.</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Social content strategy and production</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A grid screenshot of a content calendar or an actual Instagram grid.</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bl>
    <w:p>
      <w:r>
        <w:br w:type="page"/>
      </w:r>
    </w:p>
    <w:p>
      <w:pPr>
        <w:pStyle w:val="Heading1"/>
        <w:spacing w:after="120" w:before="400"/>
      </w:pPr>
      <w:r>
        <w:rPr>
          <w:b/>
          <w:bCs/>
        </w:rPr>
        <w:t xml:space="preserve">3. Operations</w:t>
      </w:r>
    </w:p>
    <w:p>
      <w:pPr>
        <w:spacing w:after="200" w:before="100"/>
      </w:pPr>
      <w:r>
        <w:rPr>
          <w:i/>
          <w:iCs/>
          <w:color w:val="555555"/>
          <w:sz w:val="19"/>
          <w:szCs w:val="19"/>
        </w:rPr>
        <w:t xml:space="preserve">Platforms in use across these: GoHighLevel, n8n, Make, Zapier.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900"/>
        <w:gridCol w:w="1660"/>
      </w:tblGrid>
      <w:tr>
        <w:trPr>
          <w:tblHeader/>
        </w:trPr>
        <w:tc>
          <w:tcPr>
            <w:tcW w:type="dxa" w:w="34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Competency</w:t>
            </w:r>
          </w:p>
        </w:tc>
        <w:tc>
          <w:tcPr>
            <w:tcW w:type="dxa" w:w="24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Suggested proof</w:t>
            </w:r>
          </w:p>
        </w:tc>
        <w:tc>
          <w:tcPr>
            <w:tcW w:type="dxa" w:w="19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Your artefact</w:t>
            </w:r>
          </w:p>
        </w:tc>
        <w:tc>
          <w:tcPr>
            <w:tcW w:type="dxa" w:w="166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Location / link</w:t>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Automated lead-to-booking pipelines (multi-channel)</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A workflow diagram, e.g. an n8n or GHL canvas screenshot; dense and hard to fake.</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CRM restructuring and migration</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Before/after field structure or tag taxonomy as a simple table, not a screenshot of the CRM (client data risk).</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Payment automation, failure-alert workflows</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Workflow diagram, or a redacted chart if you have one that isn't attributable.</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Onboarding automation</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A flowchart of the onboarding sequence, stage by stage.</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Document-audit workflow</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The audit checklist or rubric itself.</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Email classification / triage workflow</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Workflow diagram, plus a sample classification output table.</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Multi-agent AI workflow for internal operations</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Architecture diagram showing agent roles and handoffs.</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Skills ecosystem for copywriting / editorial tasks</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A directory tree screenshot of the skill files, or one skill file excerpt.</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bl>
    <w:p>
      <w:r>
        <w:br w:type="page"/>
      </w:r>
    </w:p>
    <w:p>
      <w:pPr>
        <w:pStyle w:val="Heading1"/>
        <w:spacing w:after="120" w:before="400"/>
      </w:pPr>
      <w:r>
        <w:rPr>
          <w:b/>
          <w:bCs/>
        </w:rPr>
        <w:t xml:space="preserve">4. Clients &amp; Sales</w:t>
      </w:r>
    </w:p>
    <w:p>
      <w:pPr>
        <w:spacing w:after="200" w:before="100"/>
      </w:pPr>
      <w:r>
        <w:rPr>
          <w:i/>
          <w:iCs/>
          <w:color w:val="555555"/>
          <w:sz w:val="19"/>
          <w:szCs w:val="19"/>
        </w:rPr>
        <w:t xml:space="preserve">Competencies only — client names and figures are deliberately excluded here and reserved for a separate case-study document once outcomes are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900"/>
        <w:gridCol w:w="1660"/>
      </w:tblGrid>
      <w:tr>
        <w:trPr>
          <w:tblHeader/>
        </w:trPr>
        <w:tc>
          <w:tcPr>
            <w:tcW w:type="dxa" w:w="34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Competency</w:t>
            </w:r>
          </w:p>
        </w:tc>
        <w:tc>
          <w:tcPr>
            <w:tcW w:type="dxa" w:w="24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Suggested proof</w:t>
            </w:r>
          </w:p>
        </w:tc>
        <w:tc>
          <w:tcPr>
            <w:tcW w:type="dxa" w:w="19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Your artefact</w:t>
            </w:r>
          </w:p>
        </w:tc>
        <w:tc>
          <w:tcPr>
            <w:tcW w:type="dxa" w:w="166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Location / link</w:t>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Audit-led sales approach (diagnostic as entry point)</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The diagnostic tool's output report, anonymised. Doubles as a Product artefact.</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Proposal generation from audit data</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A proposal template with placeholder data, not a real client's numbers.</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Discovery-call and follow-up frameworks</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The framework document itself (question sets, staged sequence structure), not a transcript.</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Recruitment / onboarding process design</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A process flowchart or the onboarding checklist document.</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Sector-specific sales tools (e.g. efficiency questionnaires)</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A screenshot of the questionnaire interface, or the question set as a document.</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Retainer-based multi-account management</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No strong visual proof exists for this. Best handled as a text statement (timeframe, sectors covered) rather than an image.</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Multi-venue / multi-stakeholder coordination</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Same as above: state it rather than illustrate it.</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Cross-border operational coordination</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Same as above.</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bl>
    <w:p>
      <w:r>
        <w:br w:type="page"/>
      </w:r>
    </w:p>
    <w:p>
      <w:pPr>
        <w:pStyle w:val="Heading1"/>
        <w:spacing w:after="120" w:before="400"/>
      </w:pPr>
      <w:r>
        <w:rPr>
          <w:b/>
          <w:bCs/>
        </w:rPr>
        <w:t xml:space="preserve">5. Business Strategies and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900"/>
        <w:gridCol w:w="1660"/>
      </w:tblGrid>
      <w:tr>
        <w:trPr>
          <w:tblHeader/>
        </w:trPr>
        <w:tc>
          <w:tcPr>
            <w:tcW w:type="dxa" w:w="34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Competency</w:t>
            </w:r>
          </w:p>
        </w:tc>
        <w:tc>
          <w:tcPr>
            <w:tcW w:type="dxa" w:w="24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Suggested proof</w:t>
            </w:r>
          </w:p>
        </w:tc>
        <w:tc>
          <w:tcPr>
            <w:tcW w:type="dxa" w:w="19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Your artefact</w:t>
            </w:r>
          </w:p>
        </w:tc>
        <w:tc>
          <w:tcPr>
            <w:tcW w:type="dxa" w:w="166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Location / link</w:t>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Business framework documents</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The document itself, redacted where needed.</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Product-planning questionnaires</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The questionnaire filled in as a worked example, using a fictional or anonymised product.</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Pricing frameworks</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A simple pricing model table or calculator screenshot.</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Digital project structuring guidance</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The structuring template or framework document.</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SOPs and onboarding documentation</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One SOP excerpt, formatted, showing the documentation standard.</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Build briefs / technical spec documents</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A redacted brief excerpt, showing constraints and non-negotiables rather than the full document.</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Quarterly reporting frameworks</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A sample report structure with placeholder data, not real figures.</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bl>
    <w:p>
      <w:r>
        <w:br w:type="page"/>
      </w:r>
    </w:p>
    <w:p>
      <w:pPr>
        <w:pStyle w:val="Heading1"/>
        <w:spacing w:after="120" w:before="0"/>
      </w:pPr>
      <w:r>
        <w:rPr>
          <w:b/>
          <w:bCs/>
        </w:rPr>
        <w:t xml:space="preserve">Prompt Engineering (cross-cutting)</w:t>
      </w:r>
    </w:p>
    <w:p>
      <w:pPr>
        <w:spacing w:after="200" w:before="100"/>
      </w:pPr>
      <w:r>
        <w:rPr>
          <w:i/>
          <w:iCs/>
          <w:color w:val="555555"/>
          <w:sz w:val="19"/>
          <w:szCs w:val="19"/>
        </w:rPr>
        <w:t xml:space="preserve">Not a standalone category — these sit inside Product and Operations above, but are broken out here since prompt design is a distinct, demonstrable skill in its own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900"/>
        <w:gridCol w:w="1660"/>
      </w:tblGrid>
      <w:tr>
        <w:trPr>
          <w:tblHeader/>
        </w:trPr>
        <w:tc>
          <w:tcPr>
            <w:tcW w:type="dxa" w:w="34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Competency</w:t>
            </w:r>
          </w:p>
        </w:tc>
        <w:tc>
          <w:tcPr>
            <w:tcW w:type="dxa" w:w="24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Suggested proof</w:t>
            </w:r>
          </w:p>
        </w:tc>
        <w:tc>
          <w:tcPr>
            <w:tcW w:type="dxa" w:w="190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Your artefact</w:t>
            </w:r>
          </w:p>
        </w:tc>
        <w:tc>
          <w:tcPr>
            <w:tcW w:type="dxa" w:w="1660"/>
            <w:shd w:fill="2F5496" w:val="clear"/>
            <w:tcMar>
              <w:top w:type="dxa" w:w="100"/>
              <w:left w:type="dxa" w:w="120"/>
              <w:bottom w:type="dxa" w:w="100"/>
              <w:right w:type="dxa" w:w="120"/>
            </w:tcMar>
          </w:tcPr>
          <w:p>
            <w:r>
              <w:rPr>
                <w:rFonts w:ascii="Calibri" w:cs="Calibri" w:eastAsia="Calibri" w:hAnsi="Calibri"/>
                <w:b/>
                <w:bCs/>
                <w:i w:val="false"/>
                <w:iCs w:val="false"/>
                <w:color w:val="FFFFFF"/>
                <w:sz w:val="19"/>
                <w:szCs w:val="19"/>
              </w:rPr>
              <w:t xml:space="preserve">Location / link</w:t>
            </w:r>
          </w:p>
        </w:tc>
      </w:tr>
      <w:tr>
        <w:tc>
          <w:tcPr>
            <w:tcW w:type="dxa" w:w="34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System prompt design (diagnostic, editorial, character systems)</w:t>
            </w:r>
          </w:p>
        </w:tc>
        <w:tc>
          <w:tcPr>
            <w:tcW w:type="dxa" w:w="2400"/>
            <w:tcMar>
              <w:top w:type="dxa" w:w="100"/>
              <w:left w:type="dxa" w:w="120"/>
              <w:bottom w:type="dxa" w:w="100"/>
              <w:right w:type="dxa" w:w="120"/>
            </w:tcMar>
          </w:tcPr>
          <w:p>
            <w:r>
              <w:rPr>
                <w:rFonts w:ascii="Calibri" w:cs="Calibri" w:eastAsia="Calibri" w:hAnsi="Calibri"/>
                <w:b w:val="false"/>
                <w:bCs w:val="false"/>
                <w:i/>
                <w:iCs/>
                <w:sz w:val="19"/>
                <w:szCs w:val="19"/>
              </w:rPr>
              <w:t xml:space="preserve">The actual prompt or instruction document. Signals technical depth most people never see.</w:t>
            </w:r>
          </w:p>
        </w:tc>
        <w:tc>
          <w:tcPr>
            <w:tcW w:type="dxa" w:w="190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r>
        <w:tc>
          <w:tcPr>
            <w:tcW w:type="dxa" w:w="34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Multimodal prompt workflows (blurb tool, image/video tools)</w:t>
            </w:r>
          </w:p>
        </w:tc>
        <w:tc>
          <w:tcPr>
            <w:tcW w:type="dxa" w:w="2400"/>
            <w:shd w:fill="F2F2F2" w:val="clear"/>
            <w:tcMar>
              <w:top w:type="dxa" w:w="100"/>
              <w:left w:type="dxa" w:w="120"/>
              <w:bottom w:type="dxa" w:w="100"/>
              <w:right w:type="dxa" w:w="120"/>
            </w:tcMar>
          </w:tcPr>
          <w:p>
            <w:r>
              <w:rPr>
                <w:rFonts w:ascii="Calibri" w:cs="Calibri" w:eastAsia="Calibri" w:hAnsi="Calibri"/>
                <w:b w:val="false"/>
                <w:bCs w:val="false"/>
                <w:i/>
                <w:iCs/>
                <w:sz w:val="19"/>
                <w:szCs w:val="19"/>
              </w:rPr>
              <w:t xml:space="preserve">A prompt-to-output pair, showing the instruction alongside what it produced.</w:t>
            </w:r>
          </w:p>
        </w:tc>
        <w:tc>
          <w:tcPr>
            <w:tcW w:type="dxa" w:w="190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c>
          <w:tcPr>
            <w:tcW w:type="dxa" w:w="1660"/>
            <w:shd w:fill="F2F2F2" w:val="clear"/>
            <w:tcMar>
              <w:top w:type="dxa" w:w="100"/>
              <w:left w:type="dxa" w:w="120"/>
              <w:bottom w:type="dxa" w:w="100"/>
              <w:right w:type="dxa" w:w="120"/>
            </w:tcMar>
          </w:tcPr>
          <w:p>
            <w:r>
              <w:rPr>
                <w:rFonts w:ascii="Calibri" w:cs="Calibri" w:eastAsia="Calibri" w:hAnsi="Calibri"/>
                <w:b w:val="false"/>
                <w:bCs w:val="false"/>
                <w:i w:val="false"/>
                <w:iCs w:val="false"/>
                <w:sz w:val="19"/>
                <w:szCs w:val="19"/>
              </w:rPr>
              <w:t xml:space="preserve"/>
            </w:r>
          </w:p>
        </w:tc>
      </w:tr>
    </w:tbl>
    <w:p>
      <w:pPr>
        <w:pStyle w:val="Heading1"/>
        <w:spacing w:after="120" w:before="400"/>
      </w:pPr>
      <w:r>
        <w:rPr>
          <w:b/>
          <w:bCs/>
        </w:rPr>
        <w:t xml:space="preserve">Notes</w:t>
      </w:r>
    </w:p>
    <w:p>
      <w:pPr>
        <w:pStyle w:val="ListParagraph"/>
        <w:numPr>
          <w:ilvl w:val="0"/>
          <w:numId w:val="2"/>
        </w:numPr>
        <w:spacing w:after="80"/>
      </w:pPr>
      <w:r>
        <w:rPr>
          <w:sz w:val="20"/>
          <w:szCs w:val="20"/>
        </w:rPr>
        <w:t xml:space="preserve">Where a competency's source material was a concept or spec document rather than a live build, the spec document itself is valid proof — label it honestly as a designed framework rather than implying a live product, unless it is one.</w:t>
      </w:r>
    </w:p>
    <w:p>
      <w:pPr>
        <w:pStyle w:val="ListParagraph"/>
        <w:numPr>
          <w:ilvl w:val="0"/>
          <w:numId w:val="2"/>
        </w:numPr>
        <w:spacing w:after="80"/>
      </w:pPr>
      <w:r>
        <w:rPr>
          <w:sz w:val="20"/>
          <w:szCs w:val="20"/>
        </w:rPr>
        <w:t xml:space="preserve">Client names and outcome figures are intentionally excluded from this matrix. They belong in a separate case-study document once specific figures are confirmed.</w:t>
      </w:r>
    </w:p>
    <w:p>
      <w:pPr>
        <w:pStyle w:val="ListParagraph"/>
        <w:numPr>
          <w:ilvl w:val="0"/>
          <w:numId w:val="2"/>
        </w:numPr>
        <w:spacing w:after="80"/>
      </w:pPr>
      <w:r>
        <w:rPr>
          <w:sz w:val="20"/>
          <w:szCs w:val="20"/>
        </w:rPr>
        <w:t xml:space="preserve">Consider standardising on a small set of proof formats (workflow diagram, redacted document excerpt, screenshot or GIF, before/after pair, live link) rather than a different visual style per line — this reads as more coherent once assembled on the actual portfolio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2026-09-16T13:31:32.749Z</dcterms:created>
  <dcterms:modified xsi:type="dcterms:W3CDTF">2026-09-16T13:31:32.758Z</dcterms:modified>
</cp:coreProperties>
</file>

<file path=docProps/custom.xml><?xml version="1.0" encoding="utf-8"?>
<Properties xmlns="http://schemas.openxmlformats.org/officeDocument/2006/custom-properties" xmlns:vt="http://schemas.openxmlformats.org/officeDocument/2006/docPropsVTypes"/>
</file>