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5026061"/>
        <w:docPartObj>
          <w:docPartGallery w:val="Cover Pages"/>
          <w:docPartUnique/>
        </w:docPartObj>
      </w:sdtPr>
      <w:sdtEndPr/>
      <w:sdtContent>
        <w:p w:rsidR="00684F6E" w:rsidRDefault="00684F6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684F6E">
            <w:tc>
              <w:tcPr>
                <w:tcW w:w="7672" w:type="dxa"/>
                <w:tcMar>
                  <w:top w:w="216" w:type="dxa"/>
                  <w:left w:w="115" w:type="dxa"/>
                  <w:bottom w:w="216" w:type="dxa"/>
                  <w:right w:w="115" w:type="dxa"/>
                </w:tcMar>
              </w:tcPr>
              <w:p w:rsidR="00684F6E" w:rsidRDefault="00684F6E" w:rsidP="00684F6E">
                <w:pPr>
                  <w:pStyle w:val="Sansinterligne"/>
                  <w:rPr>
                    <w:color w:val="2E74B5" w:themeColor="accent1" w:themeShade="BF"/>
                    <w:sz w:val="24"/>
                  </w:rPr>
                </w:pPr>
                <w:r>
                  <w:rPr>
                    <w:color w:val="2E74B5" w:themeColor="accent1" w:themeShade="BF"/>
                    <w:sz w:val="24"/>
                    <w:szCs w:val="24"/>
                  </w:rPr>
                  <w:t>Projet M.A.R.V.E.L.</w:t>
                </w:r>
              </w:p>
            </w:tc>
          </w:tr>
          <w:tr w:rsidR="00684F6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48F0F6C9B23C4F7CB3FFBBE3E4DEF77D"/>
                  </w:placeholder>
                  <w:dataBinding w:prefixMappings="xmlns:ns0='http://schemas.openxmlformats.org/package/2006/metadata/core-properties' xmlns:ns1='http://purl.org/dc/elements/1.1/'" w:xpath="/ns0:coreProperties[1]/ns1:title[1]" w:storeItemID="{6C3C8BC8-F283-45AE-878A-BAB7291924A1}"/>
                  <w:text/>
                </w:sdtPr>
                <w:sdtEndPr/>
                <w:sdtContent>
                  <w:p w:rsidR="00684F6E" w:rsidRDefault="00684F6E" w:rsidP="00684F6E">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Définition des termes XP, Niveau et Point</w:t>
                    </w:r>
                  </w:p>
                </w:sdtContent>
              </w:sdt>
            </w:tc>
          </w:tr>
          <w:tr w:rsidR="00684F6E">
            <w:sdt>
              <w:sdtPr>
                <w:rPr>
                  <w:color w:val="2E74B5" w:themeColor="accent1" w:themeShade="BF"/>
                  <w:sz w:val="24"/>
                  <w:szCs w:val="24"/>
                </w:rPr>
                <w:alias w:val="Sous-titre"/>
                <w:id w:val="13406923"/>
                <w:placeholder>
                  <w:docPart w:val="A1192A3D2AFD4AD2AF807D038BA2EDD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84F6E" w:rsidRDefault="00684F6E" w:rsidP="00684F6E">
                    <w:pPr>
                      <w:pStyle w:val="Sansinterligne"/>
                      <w:rPr>
                        <w:color w:val="2E74B5" w:themeColor="accent1" w:themeShade="BF"/>
                        <w:sz w:val="24"/>
                      </w:rPr>
                    </w:pPr>
                    <w:r>
                      <w:rPr>
                        <w:color w:val="2E74B5" w:themeColor="accent1" w:themeShade="BF"/>
                        <w:sz w:val="24"/>
                        <w:szCs w:val="24"/>
                      </w:rPr>
                      <w:t>Cégep de Jonquière, Automne 2019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684F6E">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1DDD759FC37B4AA4833E9BDA2114515E"/>
                  </w:placeholder>
                  <w:dataBinding w:prefixMappings="xmlns:ns0='http://schemas.openxmlformats.org/package/2006/metadata/core-properties' xmlns:ns1='http://purl.org/dc/elements/1.1/'" w:xpath="/ns0:coreProperties[1]/ns1:creator[1]" w:storeItemID="{6C3C8BC8-F283-45AE-878A-BAB7291924A1}"/>
                  <w:text/>
                </w:sdtPr>
                <w:sdtEndPr/>
                <w:sdtContent>
                  <w:p w:rsidR="00684F6E" w:rsidRDefault="00684F6E">
                    <w:pPr>
                      <w:pStyle w:val="Sansinterligne"/>
                      <w:rPr>
                        <w:color w:val="5B9BD5" w:themeColor="accent1"/>
                        <w:sz w:val="28"/>
                        <w:szCs w:val="28"/>
                      </w:rPr>
                    </w:pPr>
                    <w:r>
                      <w:rPr>
                        <w:color w:val="5B9BD5" w:themeColor="accent1"/>
                        <w:sz w:val="28"/>
                        <w:szCs w:val="28"/>
                      </w:rPr>
                      <w:t>Tanya Vanier</w:t>
                    </w:r>
                  </w:p>
                </w:sdtContent>
              </w:sdt>
              <w:sdt>
                <w:sdtPr>
                  <w:rPr>
                    <w:color w:val="5B9BD5" w:themeColor="accent1"/>
                    <w:sz w:val="28"/>
                    <w:szCs w:val="28"/>
                  </w:rPr>
                  <w:alias w:val="Date"/>
                  <w:tag w:val="Date "/>
                  <w:id w:val="13406932"/>
                  <w:placeholder>
                    <w:docPart w:val="EAA2C3F90E0D4067916951EA16A0DFE4"/>
                  </w:placeholder>
                  <w:dataBinding w:prefixMappings="xmlns:ns0='http://schemas.microsoft.com/office/2006/coverPageProps'" w:xpath="/ns0:CoverPageProperties[1]/ns0:PublishDate[1]" w:storeItemID="{55AF091B-3C7A-41E3-B477-F2FDAA23CFDA}"/>
                  <w:date w:fullDate="2019-10-28T00:00:00Z">
                    <w:dateFormat w:val="dd/MM/yyyy"/>
                    <w:lid w:val="fr-FR"/>
                    <w:storeMappedDataAs w:val="dateTime"/>
                    <w:calendar w:val="gregorian"/>
                  </w:date>
                </w:sdtPr>
                <w:sdtEndPr/>
                <w:sdtContent>
                  <w:p w:rsidR="00684F6E" w:rsidRDefault="00684F6E">
                    <w:pPr>
                      <w:pStyle w:val="Sansinterligne"/>
                      <w:rPr>
                        <w:color w:val="5B9BD5" w:themeColor="accent1"/>
                        <w:sz w:val="28"/>
                        <w:szCs w:val="28"/>
                      </w:rPr>
                    </w:pPr>
                    <w:r>
                      <w:rPr>
                        <w:color w:val="5B9BD5" w:themeColor="accent1"/>
                        <w:sz w:val="28"/>
                        <w:szCs w:val="28"/>
                        <w:lang w:val="fr-FR"/>
                      </w:rPr>
                      <w:t>28/10/2019</w:t>
                    </w:r>
                  </w:p>
                </w:sdtContent>
              </w:sdt>
              <w:p w:rsidR="00684F6E" w:rsidRDefault="00684F6E">
                <w:pPr>
                  <w:pStyle w:val="Sansinterligne"/>
                  <w:rPr>
                    <w:color w:val="5B9BD5" w:themeColor="accent1"/>
                  </w:rPr>
                </w:pPr>
              </w:p>
            </w:tc>
          </w:tr>
        </w:tbl>
        <w:p w:rsidR="00684F6E" w:rsidRDefault="00684F6E">
          <w:r>
            <w:br w:type="page"/>
          </w:r>
        </w:p>
      </w:sdtContent>
    </w:sdt>
    <w:sdt>
      <w:sdtPr>
        <w:rPr>
          <w:rFonts w:asciiTheme="minorHAnsi" w:eastAsiaTheme="minorHAnsi" w:hAnsiTheme="minorHAnsi" w:cstheme="minorBidi"/>
          <w:color w:val="auto"/>
          <w:sz w:val="22"/>
          <w:szCs w:val="22"/>
          <w:lang w:val="fr-FR" w:eastAsia="en-US"/>
        </w:rPr>
        <w:id w:val="-1326042899"/>
        <w:docPartObj>
          <w:docPartGallery w:val="Table of Contents"/>
          <w:docPartUnique/>
        </w:docPartObj>
      </w:sdtPr>
      <w:sdtEndPr>
        <w:rPr>
          <w:b/>
          <w:bCs/>
        </w:rPr>
      </w:sdtEndPr>
      <w:sdtContent>
        <w:p w:rsidR="00684F6E" w:rsidRDefault="00684F6E">
          <w:pPr>
            <w:pStyle w:val="En-ttedetabledesmatires"/>
          </w:pPr>
          <w:r>
            <w:rPr>
              <w:lang w:val="fr-FR"/>
            </w:rPr>
            <w:t>Table des matières</w:t>
          </w:r>
        </w:p>
        <w:p w:rsidR="00435812" w:rsidRDefault="00684F6E">
          <w:pPr>
            <w:pStyle w:val="TM1"/>
            <w:tabs>
              <w:tab w:val="right" w:leader="dot" w:pos="8630"/>
            </w:tabs>
            <w:rPr>
              <w:noProof/>
            </w:rPr>
          </w:pPr>
          <w:r>
            <w:fldChar w:fldCharType="begin"/>
          </w:r>
          <w:r>
            <w:instrText xml:space="preserve"> TOC \o "1-3" \h \z \u </w:instrText>
          </w:r>
          <w:r>
            <w:fldChar w:fldCharType="separate"/>
          </w:r>
          <w:hyperlink w:anchor="_Toc23147594" w:history="1">
            <w:r w:rsidR="00435812" w:rsidRPr="00844986">
              <w:rPr>
                <w:rStyle w:val="Lienhypertexte"/>
                <w:noProof/>
              </w:rPr>
              <w:t>Définition des XP</w:t>
            </w:r>
            <w:r w:rsidR="00435812">
              <w:rPr>
                <w:noProof/>
                <w:webHidden/>
              </w:rPr>
              <w:tab/>
            </w:r>
            <w:r w:rsidR="00435812">
              <w:rPr>
                <w:noProof/>
                <w:webHidden/>
              </w:rPr>
              <w:fldChar w:fldCharType="begin"/>
            </w:r>
            <w:r w:rsidR="00435812">
              <w:rPr>
                <w:noProof/>
                <w:webHidden/>
              </w:rPr>
              <w:instrText xml:space="preserve"> PAGEREF _Toc23147594 \h </w:instrText>
            </w:r>
            <w:r w:rsidR="00435812">
              <w:rPr>
                <w:noProof/>
                <w:webHidden/>
              </w:rPr>
            </w:r>
            <w:r w:rsidR="00435812">
              <w:rPr>
                <w:noProof/>
                <w:webHidden/>
              </w:rPr>
              <w:fldChar w:fldCharType="separate"/>
            </w:r>
            <w:r w:rsidR="00435812">
              <w:rPr>
                <w:noProof/>
                <w:webHidden/>
              </w:rPr>
              <w:t>2</w:t>
            </w:r>
            <w:r w:rsidR="00435812">
              <w:rPr>
                <w:noProof/>
                <w:webHidden/>
              </w:rPr>
              <w:fldChar w:fldCharType="end"/>
            </w:r>
          </w:hyperlink>
        </w:p>
        <w:p w:rsidR="00435812" w:rsidRDefault="0089233B">
          <w:pPr>
            <w:pStyle w:val="TM1"/>
            <w:tabs>
              <w:tab w:val="right" w:leader="dot" w:pos="8630"/>
            </w:tabs>
            <w:rPr>
              <w:noProof/>
            </w:rPr>
          </w:pPr>
          <w:hyperlink w:anchor="_Toc23147595" w:history="1">
            <w:r w:rsidR="00435812" w:rsidRPr="00844986">
              <w:rPr>
                <w:rStyle w:val="Lienhypertexte"/>
                <w:noProof/>
              </w:rPr>
              <w:t>Définition du niveau</w:t>
            </w:r>
            <w:r w:rsidR="00435812">
              <w:rPr>
                <w:noProof/>
                <w:webHidden/>
              </w:rPr>
              <w:tab/>
            </w:r>
            <w:r w:rsidR="00435812">
              <w:rPr>
                <w:noProof/>
                <w:webHidden/>
              </w:rPr>
              <w:fldChar w:fldCharType="begin"/>
            </w:r>
            <w:r w:rsidR="00435812">
              <w:rPr>
                <w:noProof/>
                <w:webHidden/>
              </w:rPr>
              <w:instrText xml:space="preserve"> PAGEREF _Toc23147595 \h </w:instrText>
            </w:r>
            <w:r w:rsidR="00435812">
              <w:rPr>
                <w:noProof/>
                <w:webHidden/>
              </w:rPr>
            </w:r>
            <w:r w:rsidR="00435812">
              <w:rPr>
                <w:noProof/>
                <w:webHidden/>
              </w:rPr>
              <w:fldChar w:fldCharType="separate"/>
            </w:r>
            <w:r w:rsidR="00435812">
              <w:rPr>
                <w:noProof/>
                <w:webHidden/>
              </w:rPr>
              <w:t>2</w:t>
            </w:r>
            <w:r w:rsidR="00435812">
              <w:rPr>
                <w:noProof/>
                <w:webHidden/>
              </w:rPr>
              <w:fldChar w:fldCharType="end"/>
            </w:r>
          </w:hyperlink>
        </w:p>
        <w:p w:rsidR="00435812" w:rsidRDefault="0089233B">
          <w:pPr>
            <w:pStyle w:val="TM1"/>
            <w:tabs>
              <w:tab w:val="right" w:leader="dot" w:pos="8630"/>
            </w:tabs>
            <w:rPr>
              <w:noProof/>
            </w:rPr>
          </w:pPr>
          <w:hyperlink w:anchor="_Toc23147596" w:history="1">
            <w:r w:rsidR="00435812" w:rsidRPr="00844986">
              <w:rPr>
                <w:rStyle w:val="Lienhypertexte"/>
                <w:noProof/>
              </w:rPr>
              <w:t>Définition des points</w:t>
            </w:r>
            <w:r w:rsidR="00435812">
              <w:rPr>
                <w:noProof/>
                <w:webHidden/>
              </w:rPr>
              <w:tab/>
            </w:r>
            <w:r w:rsidR="00435812">
              <w:rPr>
                <w:noProof/>
                <w:webHidden/>
              </w:rPr>
              <w:fldChar w:fldCharType="begin"/>
            </w:r>
            <w:r w:rsidR="00435812">
              <w:rPr>
                <w:noProof/>
                <w:webHidden/>
              </w:rPr>
              <w:instrText xml:space="preserve"> PAGEREF _Toc23147596 \h </w:instrText>
            </w:r>
            <w:r w:rsidR="00435812">
              <w:rPr>
                <w:noProof/>
                <w:webHidden/>
              </w:rPr>
            </w:r>
            <w:r w:rsidR="00435812">
              <w:rPr>
                <w:noProof/>
                <w:webHidden/>
              </w:rPr>
              <w:fldChar w:fldCharType="separate"/>
            </w:r>
            <w:r w:rsidR="00435812">
              <w:rPr>
                <w:noProof/>
                <w:webHidden/>
              </w:rPr>
              <w:t>2</w:t>
            </w:r>
            <w:r w:rsidR="00435812">
              <w:rPr>
                <w:noProof/>
                <w:webHidden/>
              </w:rPr>
              <w:fldChar w:fldCharType="end"/>
            </w:r>
          </w:hyperlink>
        </w:p>
        <w:p w:rsidR="00435812" w:rsidRDefault="0089233B">
          <w:pPr>
            <w:pStyle w:val="TM1"/>
            <w:tabs>
              <w:tab w:val="right" w:leader="dot" w:pos="8630"/>
            </w:tabs>
            <w:rPr>
              <w:noProof/>
            </w:rPr>
          </w:pPr>
          <w:hyperlink w:anchor="_Toc23147597" w:history="1">
            <w:r w:rsidR="00435812" w:rsidRPr="00844986">
              <w:rPr>
                <w:rStyle w:val="Lienhypertexte"/>
                <w:noProof/>
              </w:rPr>
              <w:t>Tableau récapitulatif</w:t>
            </w:r>
            <w:r w:rsidR="00435812">
              <w:rPr>
                <w:noProof/>
                <w:webHidden/>
              </w:rPr>
              <w:tab/>
            </w:r>
            <w:r w:rsidR="00435812">
              <w:rPr>
                <w:noProof/>
                <w:webHidden/>
              </w:rPr>
              <w:fldChar w:fldCharType="begin"/>
            </w:r>
            <w:r w:rsidR="00435812">
              <w:rPr>
                <w:noProof/>
                <w:webHidden/>
              </w:rPr>
              <w:instrText xml:space="preserve"> PAGEREF _Toc23147597 \h </w:instrText>
            </w:r>
            <w:r w:rsidR="00435812">
              <w:rPr>
                <w:noProof/>
                <w:webHidden/>
              </w:rPr>
            </w:r>
            <w:r w:rsidR="00435812">
              <w:rPr>
                <w:noProof/>
                <w:webHidden/>
              </w:rPr>
              <w:fldChar w:fldCharType="separate"/>
            </w:r>
            <w:r w:rsidR="00435812">
              <w:rPr>
                <w:noProof/>
                <w:webHidden/>
              </w:rPr>
              <w:t>2</w:t>
            </w:r>
            <w:r w:rsidR="00435812">
              <w:rPr>
                <w:noProof/>
                <w:webHidden/>
              </w:rPr>
              <w:fldChar w:fldCharType="end"/>
            </w:r>
          </w:hyperlink>
        </w:p>
        <w:p w:rsidR="00684F6E" w:rsidRDefault="00684F6E">
          <w:r>
            <w:rPr>
              <w:b/>
              <w:bCs/>
              <w:lang w:val="fr-FR"/>
            </w:rPr>
            <w:fldChar w:fldCharType="end"/>
          </w:r>
        </w:p>
      </w:sdtContent>
    </w:sdt>
    <w:p w:rsidR="00684F6E" w:rsidRDefault="00684F6E">
      <w:r>
        <w:br w:type="page"/>
      </w:r>
    </w:p>
    <w:p w:rsidR="004D5592" w:rsidRDefault="00684F6E" w:rsidP="00684F6E">
      <w:pPr>
        <w:pStyle w:val="Titre1"/>
      </w:pPr>
      <w:bookmarkStart w:id="0" w:name="_Toc23147594"/>
      <w:r>
        <w:lastRenderedPageBreak/>
        <w:t>Définition des XP</w:t>
      </w:r>
      <w:bookmarkEnd w:id="0"/>
    </w:p>
    <w:p w:rsidR="00684F6E" w:rsidRDefault="00684F6E" w:rsidP="00684F6E">
      <w:r>
        <w:t>Les XP représentent les points d’expérience qu’un étudiant peut accumuler dans l’application M.A.R.V.E.L. Ils représentent la deuxième monnaie de l’application et servent à acheter des assets. Ils permettent aussi de monter de niveau grâce à un total cumulatif automatique. Les étudiants peuvent donc dépenser leurs points sans que cela affecte leur progression de niveau. Les XP peuvent être obtenus dans certaines récompenses.</w:t>
      </w:r>
    </w:p>
    <w:p w:rsidR="00684F6E" w:rsidRDefault="00684F6E" w:rsidP="00684F6E">
      <w:pPr>
        <w:pStyle w:val="Titre1"/>
      </w:pPr>
      <w:bookmarkStart w:id="1" w:name="_Toc23147595"/>
      <w:r>
        <w:t>Définition du niveau</w:t>
      </w:r>
      <w:bookmarkEnd w:id="1"/>
    </w:p>
    <w:p w:rsidR="00684F6E" w:rsidRDefault="00684F6E" w:rsidP="00684F6E">
      <w:r>
        <w:t>Le niveau d’un étudiant lui permet de débloquer des assets qui nécessitent un certain niveau pour être acheté. À chaque montée de niveau, l’étudiant recevra une lootbox</w:t>
      </w:r>
      <w:bookmarkStart w:id="2" w:name="_GoBack"/>
      <w:bookmarkEnd w:id="2"/>
      <w:r>
        <w:t xml:space="preserve"> et/ou d’autres assets. Dans l’idée d’aider les étudiants ayant de la difficulté au niveau scolaire, plus le niveau d’un joueur augmentera, plus le prix de ses privilèges augmentera aussi. Les élèves ayant un niveau plus bas (difficulté scolaire) pourront donc acheter des récompenses moins chères pour pouvoir l’aider dans sa réussite scolaire.</w:t>
      </w:r>
    </w:p>
    <w:p w:rsidR="00684F6E" w:rsidRDefault="00684F6E" w:rsidP="00684F6E">
      <w:pPr>
        <w:pStyle w:val="Titre1"/>
      </w:pPr>
      <w:bookmarkStart w:id="3" w:name="_Toc23147596"/>
      <w:r>
        <w:t>Définition des points</w:t>
      </w:r>
      <w:bookmarkEnd w:id="3"/>
    </w:p>
    <w:p w:rsidR="00684F6E" w:rsidRDefault="00E7662E" w:rsidP="00684F6E">
      <w:r>
        <w:t>Les points représentent la principale monnaie de l’application. Ils servent à acheter des privilèges personnels et/ou des privilèges de groupe. Les points sont obtenus dans des récompenses.</w:t>
      </w:r>
    </w:p>
    <w:p w:rsidR="00E7662E" w:rsidRDefault="00E7662E" w:rsidP="00E7662E">
      <w:pPr>
        <w:pStyle w:val="Titre1"/>
      </w:pPr>
      <w:bookmarkStart w:id="4" w:name="_Toc23147597"/>
      <w:r>
        <w:t>Tableau récapitulatif</w:t>
      </w:r>
      <w:bookmarkEnd w:id="4"/>
    </w:p>
    <w:tbl>
      <w:tblPr>
        <w:tblStyle w:val="TableauGrille4-Accentuation1"/>
        <w:tblW w:w="0" w:type="auto"/>
        <w:tblLook w:val="04A0" w:firstRow="1" w:lastRow="0" w:firstColumn="1" w:lastColumn="0" w:noHBand="0" w:noVBand="1"/>
      </w:tblPr>
      <w:tblGrid>
        <w:gridCol w:w="1662"/>
        <w:gridCol w:w="1791"/>
        <w:gridCol w:w="1883"/>
        <w:gridCol w:w="1873"/>
        <w:gridCol w:w="1421"/>
      </w:tblGrid>
      <w:tr w:rsidR="00E7662E" w:rsidTr="00E76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E7662E" w:rsidRDefault="00E7662E" w:rsidP="00E7662E"/>
        </w:tc>
        <w:tc>
          <w:tcPr>
            <w:tcW w:w="1791" w:type="dxa"/>
          </w:tcPr>
          <w:p w:rsidR="00E7662E" w:rsidRDefault="00E7662E" w:rsidP="00E7662E">
            <w:pPr>
              <w:cnfStyle w:val="100000000000" w:firstRow="1" w:lastRow="0" w:firstColumn="0" w:lastColumn="0" w:oddVBand="0" w:evenVBand="0" w:oddHBand="0" w:evenHBand="0" w:firstRowFirstColumn="0" w:firstRowLastColumn="0" w:lastRowFirstColumn="0" w:lastRowLastColumn="0"/>
            </w:pPr>
            <w:r>
              <w:t>Permet d’acheter</w:t>
            </w:r>
          </w:p>
        </w:tc>
        <w:tc>
          <w:tcPr>
            <w:tcW w:w="1883" w:type="dxa"/>
          </w:tcPr>
          <w:p w:rsidR="00E7662E" w:rsidRDefault="00E7662E" w:rsidP="00E7662E">
            <w:pPr>
              <w:cnfStyle w:val="100000000000" w:firstRow="1" w:lastRow="0" w:firstColumn="0" w:lastColumn="0" w:oddVBand="0" w:evenVBand="0" w:oddHBand="0" w:evenHBand="0" w:firstRowFirstColumn="0" w:firstRowLastColumn="0" w:lastRowFirstColumn="0" w:lastRowLastColumn="0"/>
            </w:pPr>
            <w:r>
              <w:t>Conséquence</w:t>
            </w:r>
          </w:p>
        </w:tc>
        <w:tc>
          <w:tcPr>
            <w:tcW w:w="1873" w:type="dxa"/>
          </w:tcPr>
          <w:p w:rsidR="00E7662E" w:rsidRDefault="00E7662E" w:rsidP="00E7662E">
            <w:pPr>
              <w:cnfStyle w:val="100000000000" w:firstRow="1" w:lastRow="0" w:firstColumn="0" w:lastColumn="0" w:oddVBand="0" w:evenVBand="0" w:oddHBand="0" w:evenHBand="0" w:firstRowFirstColumn="0" w:firstRowLastColumn="0" w:lastRowFirstColumn="0" w:lastRowLastColumn="0"/>
            </w:pPr>
            <w:r>
              <w:t>Façon d’obtenir</w:t>
            </w:r>
          </w:p>
        </w:tc>
        <w:tc>
          <w:tcPr>
            <w:tcW w:w="1421" w:type="dxa"/>
          </w:tcPr>
          <w:p w:rsidR="00E7662E" w:rsidRDefault="00E7662E" w:rsidP="00E7662E">
            <w:pPr>
              <w:cnfStyle w:val="100000000000" w:firstRow="1" w:lastRow="0" w:firstColumn="0" w:lastColumn="0" w:oddVBand="0" w:evenVBand="0" w:oddHBand="0" w:evenHBand="0" w:firstRowFirstColumn="0" w:firstRowLastColumn="0" w:lastRowFirstColumn="0" w:lastRowLastColumn="0"/>
            </w:pPr>
            <w:r>
              <w:t>Rôle</w:t>
            </w:r>
          </w:p>
        </w:tc>
      </w:tr>
      <w:tr w:rsidR="00E7662E" w:rsidTr="00E76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E7662E" w:rsidRDefault="00E7662E" w:rsidP="00E7662E">
            <w:r>
              <w:t>XP</w:t>
            </w:r>
          </w:p>
        </w:tc>
        <w:tc>
          <w:tcPr>
            <w:tcW w:w="1791" w:type="dxa"/>
          </w:tcPr>
          <w:p w:rsidR="00E7662E" w:rsidRDefault="00E7662E" w:rsidP="00E7662E">
            <w:pPr>
              <w:cnfStyle w:val="000000100000" w:firstRow="0" w:lastRow="0" w:firstColumn="0" w:lastColumn="0" w:oddVBand="0" w:evenVBand="0" w:oddHBand="1" w:evenHBand="0" w:firstRowFirstColumn="0" w:firstRowLastColumn="0" w:lastRowFirstColumn="0" w:lastRowLastColumn="0"/>
            </w:pPr>
            <w:r>
              <w:t>Assets</w:t>
            </w:r>
          </w:p>
        </w:tc>
        <w:tc>
          <w:tcPr>
            <w:tcW w:w="1883" w:type="dxa"/>
          </w:tcPr>
          <w:p w:rsidR="00E7662E" w:rsidRDefault="00E7662E" w:rsidP="00E7662E">
            <w:pPr>
              <w:cnfStyle w:val="000000100000" w:firstRow="0" w:lastRow="0" w:firstColumn="0" w:lastColumn="0" w:oddVBand="0" w:evenVBand="0" w:oddHBand="1" w:evenHBand="0" w:firstRowFirstColumn="0" w:firstRowLastColumn="0" w:lastRowFirstColumn="0" w:lastRowLastColumn="0"/>
            </w:pPr>
            <w:r>
              <w:t>-</w:t>
            </w:r>
          </w:p>
        </w:tc>
        <w:tc>
          <w:tcPr>
            <w:tcW w:w="1873" w:type="dxa"/>
          </w:tcPr>
          <w:p w:rsidR="00E7662E" w:rsidRDefault="00E7662E" w:rsidP="00E7662E">
            <w:pPr>
              <w:cnfStyle w:val="000000100000" w:firstRow="0" w:lastRow="0" w:firstColumn="0" w:lastColumn="0" w:oddVBand="0" w:evenVBand="0" w:oddHBand="1" w:evenHBand="0" w:firstRowFirstColumn="0" w:firstRowLastColumn="0" w:lastRowFirstColumn="0" w:lastRowLastColumn="0"/>
            </w:pPr>
            <w:r>
              <w:t>Certaines récompenses</w:t>
            </w:r>
          </w:p>
        </w:tc>
        <w:tc>
          <w:tcPr>
            <w:tcW w:w="1421" w:type="dxa"/>
          </w:tcPr>
          <w:p w:rsidR="00E7662E" w:rsidRDefault="00E7662E" w:rsidP="00E7662E">
            <w:pPr>
              <w:cnfStyle w:val="000000100000" w:firstRow="0" w:lastRow="0" w:firstColumn="0" w:lastColumn="0" w:oddVBand="0" w:evenVBand="0" w:oddHBand="1" w:evenHBand="0" w:firstRowFirstColumn="0" w:firstRowLastColumn="0" w:lastRowFirstColumn="0" w:lastRowLastColumn="0"/>
            </w:pPr>
            <w:r>
              <w:t>Monter de niveau, acheter des assets</w:t>
            </w:r>
          </w:p>
        </w:tc>
      </w:tr>
      <w:tr w:rsidR="00E7662E" w:rsidTr="00E7662E">
        <w:tc>
          <w:tcPr>
            <w:cnfStyle w:val="001000000000" w:firstRow="0" w:lastRow="0" w:firstColumn="1" w:lastColumn="0" w:oddVBand="0" w:evenVBand="0" w:oddHBand="0" w:evenHBand="0" w:firstRowFirstColumn="0" w:firstRowLastColumn="0" w:lastRowFirstColumn="0" w:lastRowLastColumn="0"/>
            <w:tcW w:w="1662" w:type="dxa"/>
          </w:tcPr>
          <w:p w:rsidR="00E7662E" w:rsidRDefault="00E7662E" w:rsidP="00E7662E">
            <w:r>
              <w:t>Niveau</w:t>
            </w:r>
          </w:p>
        </w:tc>
        <w:tc>
          <w:tcPr>
            <w:tcW w:w="1791" w:type="dxa"/>
          </w:tcPr>
          <w:p w:rsidR="00E7662E" w:rsidRDefault="00E7662E" w:rsidP="00E7662E">
            <w:pPr>
              <w:cnfStyle w:val="000000000000" w:firstRow="0" w:lastRow="0" w:firstColumn="0" w:lastColumn="0" w:oddVBand="0" w:evenVBand="0" w:oddHBand="0" w:evenHBand="0" w:firstRowFirstColumn="0" w:firstRowLastColumn="0" w:lastRowFirstColumn="0" w:lastRowLastColumn="0"/>
            </w:pPr>
            <w:r>
              <w:t>-</w:t>
            </w:r>
          </w:p>
        </w:tc>
        <w:tc>
          <w:tcPr>
            <w:tcW w:w="1883" w:type="dxa"/>
          </w:tcPr>
          <w:p w:rsidR="00E7662E" w:rsidRDefault="00E7662E" w:rsidP="00E7662E">
            <w:pPr>
              <w:cnfStyle w:val="000000000000" w:firstRow="0" w:lastRow="0" w:firstColumn="0" w:lastColumn="0" w:oddVBand="0" w:evenVBand="0" w:oddHBand="0" w:evenHBand="0" w:firstRowFirstColumn="0" w:firstRowLastColumn="0" w:lastRowFirstColumn="0" w:lastRowLastColumn="0"/>
            </w:pPr>
            <w:r>
              <w:t>Le prix des privilèges personnels augmentent en même temps que les niveaux</w:t>
            </w:r>
          </w:p>
        </w:tc>
        <w:tc>
          <w:tcPr>
            <w:tcW w:w="1873" w:type="dxa"/>
          </w:tcPr>
          <w:p w:rsidR="00E7662E" w:rsidRDefault="00E7662E" w:rsidP="00E7662E">
            <w:pPr>
              <w:cnfStyle w:val="000000000000" w:firstRow="0" w:lastRow="0" w:firstColumn="0" w:lastColumn="0" w:oddVBand="0" w:evenVBand="0" w:oddHBand="0" w:evenHBand="0" w:firstRowFirstColumn="0" w:firstRowLastColumn="0" w:lastRowFirstColumn="0" w:lastRowLastColumn="0"/>
            </w:pPr>
            <w:r>
              <w:t>Avoir le nombre d’XP requis</w:t>
            </w:r>
          </w:p>
        </w:tc>
        <w:tc>
          <w:tcPr>
            <w:tcW w:w="1421" w:type="dxa"/>
          </w:tcPr>
          <w:p w:rsidR="00E7662E" w:rsidRDefault="00E7662E" w:rsidP="00E7662E">
            <w:pPr>
              <w:cnfStyle w:val="000000000000" w:firstRow="0" w:lastRow="0" w:firstColumn="0" w:lastColumn="0" w:oddVBand="0" w:evenVBand="0" w:oddHBand="0" w:evenHBand="0" w:firstRowFirstColumn="0" w:firstRowLastColumn="0" w:lastRowFirstColumn="0" w:lastRowLastColumn="0"/>
            </w:pPr>
            <w:r>
              <w:t>Débloquer des assets de niveau supérieur</w:t>
            </w:r>
          </w:p>
        </w:tc>
      </w:tr>
      <w:tr w:rsidR="00E7662E" w:rsidTr="00E76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E7662E" w:rsidRDefault="00E7662E" w:rsidP="00E7662E">
            <w:r>
              <w:t>Point</w:t>
            </w:r>
          </w:p>
        </w:tc>
        <w:tc>
          <w:tcPr>
            <w:tcW w:w="1791" w:type="dxa"/>
          </w:tcPr>
          <w:p w:rsidR="00E7662E" w:rsidRDefault="00E7662E" w:rsidP="00E7662E">
            <w:pPr>
              <w:cnfStyle w:val="000000100000" w:firstRow="0" w:lastRow="0" w:firstColumn="0" w:lastColumn="0" w:oddVBand="0" w:evenVBand="0" w:oddHBand="1" w:evenHBand="0" w:firstRowFirstColumn="0" w:firstRowLastColumn="0" w:lastRowFirstColumn="0" w:lastRowLastColumn="0"/>
            </w:pPr>
            <w:r>
              <w:t>Privilèges personnels et/ou de groupe</w:t>
            </w:r>
          </w:p>
        </w:tc>
        <w:tc>
          <w:tcPr>
            <w:tcW w:w="1883" w:type="dxa"/>
          </w:tcPr>
          <w:p w:rsidR="00E7662E" w:rsidRDefault="00E7662E" w:rsidP="00E7662E">
            <w:pPr>
              <w:cnfStyle w:val="000000100000" w:firstRow="0" w:lastRow="0" w:firstColumn="0" w:lastColumn="0" w:oddVBand="0" w:evenVBand="0" w:oddHBand="1" w:evenHBand="0" w:firstRowFirstColumn="0" w:firstRowLastColumn="0" w:lastRowFirstColumn="0" w:lastRowLastColumn="0"/>
            </w:pPr>
            <w:r>
              <w:t>-</w:t>
            </w:r>
          </w:p>
        </w:tc>
        <w:tc>
          <w:tcPr>
            <w:tcW w:w="1873" w:type="dxa"/>
          </w:tcPr>
          <w:p w:rsidR="00E7662E" w:rsidRDefault="00E7662E" w:rsidP="00E7662E">
            <w:pPr>
              <w:cnfStyle w:val="000000100000" w:firstRow="0" w:lastRow="0" w:firstColumn="0" w:lastColumn="0" w:oddVBand="0" w:evenVBand="0" w:oddHBand="1" w:evenHBand="0" w:firstRowFirstColumn="0" w:firstRowLastColumn="0" w:lastRowFirstColumn="0" w:lastRowLastColumn="0"/>
            </w:pPr>
            <w:r>
              <w:t>Toutes les récompenses</w:t>
            </w:r>
          </w:p>
        </w:tc>
        <w:tc>
          <w:tcPr>
            <w:tcW w:w="1421" w:type="dxa"/>
          </w:tcPr>
          <w:p w:rsidR="00E7662E" w:rsidRDefault="00E7662E" w:rsidP="00E7662E">
            <w:pPr>
              <w:cnfStyle w:val="000000100000" w:firstRow="0" w:lastRow="0" w:firstColumn="0" w:lastColumn="0" w:oddVBand="0" w:evenVBand="0" w:oddHBand="1" w:evenHBand="0" w:firstRowFirstColumn="0" w:firstRowLastColumn="0" w:lastRowFirstColumn="0" w:lastRowLastColumn="0"/>
            </w:pPr>
            <w:r>
              <w:t>Acheter des privilèges</w:t>
            </w:r>
          </w:p>
        </w:tc>
      </w:tr>
    </w:tbl>
    <w:p w:rsidR="00E7662E" w:rsidRPr="00E7662E" w:rsidRDefault="00E7662E" w:rsidP="00E7662E"/>
    <w:sectPr w:rsidR="00E7662E" w:rsidRPr="00E7662E" w:rsidSect="00684F6E">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B7"/>
    <w:rsid w:val="00435812"/>
    <w:rsid w:val="004D5592"/>
    <w:rsid w:val="00684F6E"/>
    <w:rsid w:val="0089233B"/>
    <w:rsid w:val="00C524B9"/>
    <w:rsid w:val="00E7662E"/>
    <w:rsid w:val="00F206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DBE4A-C487-4093-915C-E57AF9B0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84F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84F6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684F6E"/>
    <w:rPr>
      <w:rFonts w:eastAsiaTheme="minorEastAsia"/>
      <w:lang w:eastAsia="fr-CA"/>
    </w:rPr>
  </w:style>
  <w:style w:type="character" w:customStyle="1" w:styleId="Titre1Car">
    <w:name w:val="Titre 1 Car"/>
    <w:basedOn w:val="Policepardfaut"/>
    <w:link w:val="Titre1"/>
    <w:uiPriority w:val="9"/>
    <w:rsid w:val="00684F6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84F6E"/>
    <w:pPr>
      <w:outlineLvl w:val="9"/>
    </w:pPr>
    <w:rPr>
      <w:lang w:eastAsia="fr-CA"/>
    </w:rPr>
  </w:style>
  <w:style w:type="table" w:styleId="Grilledutableau">
    <w:name w:val="Table Grid"/>
    <w:basedOn w:val="TableauNormal"/>
    <w:uiPriority w:val="39"/>
    <w:rsid w:val="00E7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5">
    <w:name w:val="Grid Table 1 Light Accent 5"/>
    <w:basedOn w:val="TableauNormal"/>
    <w:uiPriority w:val="46"/>
    <w:rsid w:val="00E7662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E7662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M1">
    <w:name w:val="toc 1"/>
    <w:basedOn w:val="Normal"/>
    <w:next w:val="Normal"/>
    <w:autoRedefine/>
    <w:uiPriority w:val="39"/>
    <w:unhideWhenUsed/>
    <w:rsid w:val="00435812"/>
    <w:pPr>
      <w:spacing w:after="100"/>
    </w:pPr>
  </w:style>
  <w:style w:type="character" w:styleId="Lienhypertexte">
    <w:name w:val="Hyperlink"/>
    <w:basedOn w:val="Policepardfaut"/>
    <w:uiPriority w:val="99"/>
    <w:unhideWhenUsed/>
    <w:rsid w:val="004358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F0F6C9B23C4F7CB3FFBBE3E4DEF77D"/>
        <w:category>
          <w:name w:val="Général"/>
          <w:gallery w:val="placeholder"/>
        </w:category>
        <w:types>
          <w:type w:val="bbPlcHdr"/>
        </w:types>
        <w:behaviors>
          <w:behavior w:val="content"/>
        </w:behaviors>
        <w:guid w:val="{45C3BB72-E640-43F8-8020-F42F778B79C8}"/>
      </w:docPartPr>
      <w:docPartBody>
        <w:p w:rsidR="00A9151A" w:rsidRDefault="003815BA" w:rsidP="003815BA">
          <w:pPr>
            <w:pStyle w:val="48F0F6C9B23C4F7CB3FFBBE3E4DEF77D"/>
          </w:pPr>
          <w:r>
            <w:rPr>
              <w:rFonts w:asciiTheme="majorHAnsi" w:eastAsiaTheme="majorEastAsia" w:hAnsiTheme="majorHAnsi" w:cstheme="majorBidi"/>
              <w:color w:val="5B9BD5" w:themeColor="accent1"/>
              <w:sz w:val="88"/>
              <w:szCs w:val="88"/>
              <w:lang w:val="fr-FR"/>
            </w:rPr>
            <w:t>[Titre du document]</w:t>
          </w:r>
        </w:p>
      </w:docPartBody>
    </w:docPart>
    <w:docPart>
      <w:docPartPr>
        <w:name w:val="A1192A3D2AFD4AD2AF807D038BA2EDD5"/>
        <w:category>
          <w:name w:val="Général"/>
          <w:gallery w:val="placeholder"/>
        </w:category>
        <w:types>
          <w:type w:val="bbPlcHdr"/>
        </w:types>
        <w:behaviors>
          <w:behavior w:val="content"/>
        </w:behaviors>
        <w:guid w:val="{EE8127B8-FACD-4C36-BEBA-989426695F12}"/>
      </w:docPartPr>
      <w:docPartBody>
        <w:p w:rsidR="00A9151A" w:rsidRDefault="003815BA" w:rsidP="003815BA">
          <w:pPr>
            <w:pStyle w:val="A1192A3D2AFD4AD2AF807D038BA2EDD5"/>
          </w:pPr>
          <w:r>
            <w:rPr>
              <w:color w:val="2E74B5" w:themeColor="accent1" w:themeShade="BF"/>
              <w:sz w:val="24"/>
              <w:szCs w:val="24"/>
              <w:lang w:val="fr-FR"/>
            </w:rPr>
            <w:t>[Sous-titre du document]</w:t>
          </w:r>
        </w:p>
      </w:docPartBody>
    </w:docPart>
    <w:docPart>
      <w:docPartPr>
        <w:name w:val="1DDD759FC37B4AA4833E9BDA2114515E"/>
        <w:category>
          <w:name w:val="Général"/>
          <w:gallery w:val="placeholder"/>
        </w:category>
        <w:types>
          <w:type w:val="bbPlcHdr"/>
        </w:types>
        <w:behaviors>
          <w:behavior w:val="content"/>
        </w:behaviors>
        <w:guid w:val="{244B65B0-1D17-4D00-B72B-DEFD917072EA}"/>
      </w:docPartPr>
      <w:docPartBody>
        <w:p w:rsidR="00A9151A" w:rsidRDefault="003815BA" w:rsidP="003815BA">
          <w:pPr>
            <w:pStyle w:val="1DDD759FC37B4AA4833E9BDA2114515E"/>
          </w:pPr>
          <w:r>
            <w:rPr>
              <w:color w:val="5B9BD5" w:themeColor="accent1"/>
              <w:sz w:val="28"/>
              <w:szCs w:val="28"/>
              <w:lang w:val="fr-FR"/>
            </w:rPr>
            <w:t>[Nom de l’auteur]</w:t>
          </w:r>
        </w:p>
      </w:docPartBody>
    </w:docPart>
    <w:docPart>
      <w:docPartPr>
        <w:name w:val="EAA2C3F90E0D4067916951EA16A0DFE4"/>
        <w:category>
          <w:name w:val="Général"/>
          <w:gallery w:val="placeholder"/>
        </w:category>
        <w:types>
          <w:type w:val="bbPlcHdr"/>
        </w:types>
        <w:behaviors>
          <w:behavior w:val="content"/>
        </w:behaviors>
        <w:guid w:val="{1C9DAE98-B0F3-478F-8734-9841F9855356}"/>
      </w:docPartPr>
      <w:docPartBody>
        <w:p w:rsidR="00A9151A" w:rsidRDefault="003815BA" w:rsidP="003815BA">
          <w:pPr>
            <w:pStyle w:val="EAA2C3F90E0D4067916951EA16A0DFE4"/>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BA"/>
    <w:rsid w:val="003815BA"/>
    <w:rsid w:val="00492562"/>
    <w:rsid w:val="007C0BED"/>
    <w:rsid w:val="00A9151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A06DF6DE6FB419B96D5D0ACDD06A22A">
    <w:name w:val="5A06DF6DE6FB419B96D5D0ACDD06A22A"/>
    <w:rsid w:val="003815BA"/>
  </w:style>
  <w:style w:type="paragraph" w:customStyle="1" w:styleId="48F0F6C9B23C4F7CB3FFBBE3E4DEF77D">
    <w:name w:val="48F0F6C9B23C4F7CB3FFBBE3E4DEF77D"/>
    <w:rsid w:val="003815BA"/>
  </w:style>
  <w:style w:type="paragraph" w:customStyle="1" w:styleId="A1192A3D2AFD4AD2AF807D038BA2EDD5">
    <w:name w:val="A1192A3D2AFD4AD2AF807D038BA2EDD5"/>
    <w:rsid w:val="003815BA"/>
  </w:style>
  <w:style w:type="paragraph" w:customStyle="1" w:styleId="1DDD759FC37B4AA4833E9BDA2114515E">
    <w:name w:val="1DDD759FC37B4AA4833E9BDA2114515E"/>
    <w:rsid w:val="003815BA"/>
  </w:style>
  <w:style w:type="paragraph" w:customStyle="1" w:styleId="EAA2C3F90E0D4067916951EA16A0DFE4">
    <w:name w:val="EAA2C3F90E0D4067916951EA16A0DFE4"/>
    <w:rsid w:val="00381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7B5DF8-5DFB-40D5-A531-F4BC233BF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324</Words>
  <Characters>1786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Définition des termes XP, Niveau et Point</dc:title>
  <dc:subject>Cégep de Jonquière, Automne 2019</dc:subject>
  <dc:creator>Tanya Vanier</dc:creator>
  <cp:keywords/>
  <dc:description/>
  <cp:lastModifiedBy>Utilisateur Windows</cp:lastModifiedBy>
  <cp:revision>6</cp:revision>
  <dcterms:created xsi:type="dcterms:W3CDTF">2019-10-28T12:40:00Z</dcterms:created>
  <dcterms:modified xsi:type="dcterms:W3CDTF">2019-10-28T13:53:00Z</dcterms:modified>
</cp:coreProperties>
</file>