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B5E3B"/>
          <w:sz w:val="48"/>
          <w:szCs w:val="48"/>
        </w:rPr>
        <w:t xml:space="preserve">CareFirst Health Loans Pvt. Ltd.</w:t>
      </w:r>
    </w:p>
    <w:p>
      <w:pPr>
        <w:spacing w:after="60"/>
        <w:jc w:val="center"/>
      </w:pPr>
      <w:r>
        <w:rPr>
          <w:rFonts w:ascii="Arial" w:cs="Arial" w:eastAsia="Arial" w:hAnsi="Arial"/>
          <w:color w:val="555555"/>
          <w:sz w:val="26"/>
          <w:szCs w:val="26"/>
        </w:rPr>
        <w:t xml:space="preserve">Digital Healthcare Finance &amp; Medical Loan Platform</w:t>
      </w:r>
    </w:p>
    <w:p>
      <w:pPr>
        <w:spacing w:after="600"/>
        <w:jc w:val="center"/>
      </w:pPr>
      <w:r>
        <w:rPr>
          <w:rFonts w:ascii="Arial" w:cs="Arial" w:eastAsia="Arial" w:hAnsi="Arial"/>
          <w:b/>
          <w:bCs/>
          <w:color w:val="1A1A1A"/>
          <w:sz w:val="30"/>
          <w:szCs w:val="30"/>
        </w:rPr>
        <w:t xml:space="preserve">Statement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Client</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CareFirst Health Loans Pvt. Ltd.</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Reference BRD</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BRD-CFL-2025-004 v1.0</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SOW Reference</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SOW-CFL-2025-004</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1.0 — Final</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December 2025</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Contract Period</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January 2026 – July 2026</w:t>
            </w:r>
          </w:p>
        </w:tc>
      </w:tr>
      <w:tr>
        <w:tc>
          <w:tcPr>
            <w:tcW w:type="dxa" w:w="2600"/>
            <w:tcBorders>
              <w:top w:val="single" w:color="CCCCCC" w:sz="1"/>
              <w:left w:val="single" w:color="CCCCCC" w:sz="1"/>
              <w:bottom w:val="single" w:color="CCCCCC" w:sz="1"/>
              <w:right w:val="single" w:color="CCCCCC" w:sz="1"/>
            </w:tcBorders>
            <w:shd w:fill="E8F4ED" w:val="clear"/>
            <w:tcMar>
              <w:top w:type="dxa" w:w="80"/>
              <w:left w:type="dxa" w:w="130"/>
              <w:bottom w:type="dxa" w:w="80"/>
              <w:right w:type="dxa" w:w="130"/>
            </w:tcMar>
          </w:tcPr>
          <w:p>
            <w:r>
              <w:rPr>
                <w:rFonts w:ascii="Arial" w:cs="Arial" w:eastAsia="Arial" w:hAnsi="Arial"/>
                <w:b/>
                <w:bCs/>
                <w:color w:val="1B5E3B"/>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Pending Client Sign-off</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1. Purpose</w:t>
      </w:r>
    </w:p>
    <w:p>
      <w:pPr>
        <w:spacing w:after="120" w:line="276"/>
      </w:pPr>
      <w:r>
        <w:rPr>
          <w:rFonts w:ascii="Arial" w:cs="Arial" w:eastAsia="Arial" w:hAnsi="Arial"/>
          <w:color w:val="1A1A1A"/>
          <w:sz w:val="22"/>
          <w:szCs w:val="22"/>
        </w:rPr>
        <w:t xml:space="preserve">This Statement of Work governs the implementation of the AI-Assisted Integration Configuration &amp; Orchestration Engine for CareFirst Health Loans' Digital Medical Loan Platform. The Platform will parse BRD-CFL-2025-004 and auto-generate all integration configurations for the five required service integrations without manual field mapping effort.</w:t>
      </w:r>
    </w:p>
    <w:p>
      <w:pPr>
        <w:spacing w:after="120" w:line="276"/>
      </w:pPr>
      <w:r>
        <w:rPr>
          <w:rFonts w:ascii="Arial" w:cs="Arial" w:eastAsia="Arial" w:hAnsi="Arial"/>
          <w:color w:val="1A1A1A"/>
          <w:sz w:val="22"/>
          <w:szCs w:val="22"/>
        </w:rPr>
        <w:t xml:space="preserve">This engagement has one non-standard requirement: one of the five required integrations — the Aarogya Health API v1.2 — is not expected to be present in the Platform's standard adapter catalog. The handling of this gap is explicitly in scope and is described in Section 3 below.</w:t>
      </w:r>
    </w:p>
    <w:p>
      <w:pPr>
        <w:spacing w:after="80"/>
      </w:pPr>
      <w:r>
        <w:t xml:space="preserve"/>
      </w:r>
    </w:p>
    <w:p>
      <w:pPr>
        <w:pBdr>
          <w:left w:val="single" w:color="B45309" w:sz="16" w:space="6"/>
        </w:pBdr>
        <w:spacing w:after="160" w:before="120"/>
        <w:ind w:left="300"/>
      </w:pPr>
      <w:r>
        <w:rPr>
          <w:rFonts w:ascii="Arial" w:cs="Arial" w:eastAsia="Arial" w:hAnsi="Arial"/>
          <w:b/>
          <w:bCs/>
          <w:color w:val="B45309"/>
          <w:sz w:val="22"/>
          <w:szCs w:val="22"/>
        </w:rPr>
        <w:t xml:space="preserve">IMPORTANT — Unknown Adapter: </w:t>
      </w:r>
      <w:r>
        <w:rPr>
          <w:rFonts w:ascii="Arial" w:cs="Arial" w:eastAsia="Arial" w:hAnsi="Arial"/>
          <w:color w:val="B45309"/>
          <w:sz w:val="22"/>
          <w:szCs w:val="22"/>
        </w:rPr>
        <w:t xml:space="preserve">The Aarogya Health API (v1.2) is not a standard adapter in the Platform catalog. The Platform must detect this gap during intent extraction, report it clearly in the intent manifest, and pause configuration generation for that integration pending custom adapter onboarding. All other integrations (Karza, CIBIL, Razorpay, Twilio) must continue to be configured normally without being blocked by the missing adapter.</w:t>
      </w:r>
    </w:p>
    <w:p>
      <w:pPr>
        <w:spacing w:after="80"/>
      </w:pPr>
      <w:r>
        <w:t xml:space="preserve"/>
      </w:r>
    </w:p>
    <w:p>
      <w:pPr>
        <w:pStyle w:val="Heading1"/>
        <w:spacing w:after="140" w:before="320"/>
      </w:pPr>
      <w:r>
        <w:rPr>
          <w:rFonts w:ascii="Arial" w:cs="Arial" w:eastAsia="Arial" w:hAnsi="Arial"/>
          <w:b/>
          <w:bCs/>
          <w:color w:val="1B5E3B"/>
          <w:sz w:val="32"/>
          <w:szCs w:val="32"/>
        </w:rPr>
        <w:t xml:space="preserve">2. What the Platform Will Deliver</w:t>
      </w:r>
    </w:p>
    <w:p>
      <w:pPr>
        <w:pStyle w:val="Heading2"/>
        <w:spacing w:after="140" w:before="200"/>
      </w:pPr>
      <w:r>
        <w:rPr>
          <w:rFonts w:ascii="Arial" w:cs="Arial" w:eastAsia="Arial" w:hAnsi="Arial"/>
          <w:b/>
          <w:bCs/>
          <w:color w:val="1B5E3B"/>
          <w:sz w:val="26"/>
          <w:szCs w:val="26"/>
        </w:rPr>
        <w:t xml:space="preserve">2.1 Standard Adapter Configurations (Karza, CIBIL, Razorpay, Twilio)</w:t>
      </w:r>
    </w:p>
    <w:p>
      <w:pPr>
        <w:pStyle w:val="ListParagraph"/>
        <w:numPr>
          <w:ilvl w:val="0"/>
          <w:numId w:val="2"/>
        </w:numPr>
        <w:spacing w:after="90"/>
      </w:pPr>
      <w:r>
        <w:rPr>
          <w:rFonts w:ascii="Arial" w:cs="Arial" w:eastAsia="Arial" w:hAnsi="Arial"/>
          <w:color w:val="1A1A1A"/>
          <w:sz w:val="22"/>
          <w:szCs w:val="22"/>
        </w:rPr>
        <w:t xml:space="preserve">Parse BRD-CFL-2025-004 and extract all integration requirements, workflow rules, field definitions, retry policies, and security requirements</w:t>
      </w:r>
    </w:p>
    <w:p>
      <w:pPr>
        <w:pStyle w:val="ListParagraph"/>
        <w:numPr>
          <w:ilvl w:val="0"/>
          <w:numId w:val="2"/>
        </w:numPr>
        <w:spacing w:after="90"/>
      </w:pPr>
      <w:r>
        <w:rPr>
          <w:rFonts w:ascii="Arial" w:cs="Arial" w:eastAsia="Arial" w:hAnsi="Arial"/>
          <w:color w:val="1A1A1A"/>
          <w:sz w:val="22"/>
          <w:szCs w:val="22"/>
        </w:rPr>
        <w:t xml:space="preserve">Generate field mapping configurations for all 25 input fields (13 identity + 12 medical/loan) to Karza v2, CIBIL v3, Razorpay v1, and Twilio v2010-04-01 APIs</w:t>
      </w:r>
    </w:p>
    <w:p>
      <w:pPr>
        <w:pStyle w:val="ListParagraph"/>
        <w:numPr>
          <w:ilvl w:val="0"/>
          <w:numId w:val="2"/>
        </w:numPr>
        <w:spacing w:after="90"/>
      </w:pPr>
      <w:r>
        <w:rPr>
          <w:rFonts w:ascii="Arial" w:cs="Arial" w:eastAsia="Arial" w:hAnsi="Arial"/>
          <w:color w:val="1A1A1A"/>
          <w:sz w:val="22"/>
          <w:szCs w:val="22"/>
        </w:rPr>
        <w:t xml:space="preserve">Generate orchestration workflow for the 7-step medical loan processing sequence including sequential dependencies (KYC → Aarogya → CIBIL → decision → disbursal)</w:t>
      </w:r>
    </w:p>
    <w:p>
      <w:pPr>
        <w:pStyle w:val="ListParagraph"/>
        <w:numPr>
          <w:ilvl w:val="0"/>
          <w:numId w:val="2"/>
        </w:numPr>
        <w:spacing w:after="90"/>
      </w:pPr>
      <w:r>
        <w:rPr>
          <w:rFonts w:ascii="Arial" w:cs="Arial" w:eastAsia="Arial" w:hAnsi="Arial"/>
          <w:color w:val="1A1A1A"/>
          <w:sz w:val="22"/>
          <w:szCs w:val="22"/>
        </w:rPr>
        <w:t xml:space="preserve">Configure retry and fallback hooks for all four standard integrations per BRD Section 5</w:t>
      </w:r>
    </w:p>
    <w:p>
      <w:pPr>
        <w:pStyle w:val="ListParagraph"/>
        <w:numPr>
          <w:ilvl w:val="0"/>
          <w:numId w:val="2"/>
        </w:numPr>
        <w:spacing w:after="90"/>
      </w:pPr>
      <w:r>
        <w:rPr>
          <w:rFonts w:ascii="Arial" w:cs="Arial" w:eastAsia="Arial" w:hAnsi="Arial"/>
          <w:color w:val="1A1A1A"/>
          <w:sz w:val="22"/>
          <w:szCs w:val="22"/>
        </w:rPr>
        <w:t xml:space="preserve">Configure security hooks: credential resolution, field encryption for Aadhaar and PAN, HMAC webhook verification for Razorpay, audit logging with PII masking</w:t>
      </w:r>
    </w:p>
    <w:p>
      <w:pPr>
        <w:pStyle w:val="ListParagraph"/>
        <w:numPr>
          <w:ilvl w:val="0"/>
          <w:numId w:val="2"/>
        </w:numPr>
        <w:spacing w:after="90"/>
      </w:pPr>
      <w:r>
        <w:rPr>
          <w:rFonts w:ascii="Arial" w:cs="Arial" w:eastAsia="Arial" w:hAnsi="Arial"/>
          <w:color w:val="1A1A1A"/>
          <w:sz w:val="22"/>
          <w:szCs w:val="22"/>
        </w:rPr>
        <w:t xml:space="preserve">Generate all 7 Twilio SMS notification templates with variable bindings</w:t>
      </w:r>
    </w:p>
    <w:p>
      <w:pPr>
        <w:spacing w:after="80"/>
      </w:pPr>
      <w:r>
        <w:t xml:space="preserve"/>
      </w:r>
    </w:p>
    <w:p>
      <w:pPr>
        <w:pStyle w:val="Heading2"/>
        <w:spacing w:after="140" w:before="200"/>
      </w:pPr>
      <w:r>
        <w:rPr>
          <w:rFonts w:ascii="Arial" w:cs="Arial" w:eastAsia="Arial" w:hAnsi="Arial"/>
          <w:b/>
          <w:bCs/>
          <w:color w:val="1B5E3B"/>
          <w:sz w:val="26"/>
          <w:szCs w:val="26"/>
        </w:rPr>
        <w:t xml:space="preserve">2.2 Aarogya Health API — Unknown Adapter Handling</w:t>
      </w:r>
    </w:p>
    <w:p>
      <w:pPr>
        <w:pBdr>
          <w:left w:val="single" w:color="B45309" w:sz="12" w:space="4"/>
        </w:pBdr>
        <w:spacing w:after="140" w:before="80"/>
        <w:ind w:left="300"/>
      </w:pPr>
      <w:r>
        <w:rPr>
          <w:rFonts w:ascii="Arial" w:cs="Arial" w:eastAsia="Arial" w:hAnsi="Arial"/>
          <w:color w:val="B45309"/>
          <w:sz w:val="21"/>
          <w:szCs w:val="21"/>
        </w:rPr>
        <w:t xml:space="preserve">This section governs how the Platform handles the Aarogya Health API v1.2, which is not present in the standard adapter catalog.</w:t>
      </w:r>
    </w:p>
    <w:p>
      <w:pPr>
        <w:pStyle w:val="ListParagraph"/>
        <w:numPr>
          <w:ilvl w:val="0"/>
          <w:numId w:val="2"/>
        </w:numPr>
        <w:spacing w:after="90"/>
      </w:pPr>
      <w:r>
        <w:rPr>
          <w:rFonts w:ascii="Arial" w:cs="Arial" w:eastAsia="Arial" w:hAnsi="Arial"/>
          <w:color w:val="1A1A1A"/>
          <w:sz w:val="22"/>
          <w:szCs w:val="22"/>
        </w:rPr>
        <w:t xml:space="preserve">During intent extraction (M1), the Platform must identify Aarogya Health API as a required integration and flag it as an UNRECOGNISED ADAPTER in the intent manifest with a clear status indicator</w:t>
      </w:r>
    </w:p>
    <w:p>
      <w:pPr>
        <w:pStyle w:val="ListParagraph"/>
        <w:numPr>
          <w:ilvl w:val="0"/>
          <w:numId w:val="2"/>
        </w:numPr>
        <w:spacing w:after="90"/>
      </w:pPr>
      <w:r>
        <w:rPr>
          <w:rFonts w:ascii="Arial" w:cs="Arial" w:eastAsia="Arial" w:hAnsi="Arial"/>
          <w:color w:val="1A1A1A"/>
          <w:sz w:val="22"/>
          <w:szCs w:val="22"/>
        </w:rPr>
        <w:t xml:space="preserve">The intent manifest must include a section titled 'Adapter Gap Report' that documents: the adapter name (Aarogya Health API), the required version (v1.2), the category (health records), the authentication method described in the BRD (OAuth 2.0 Authorization Code), and the fields that depend on this integration (ABHA Number, Consent to Health Record Access, Estimated Procedure Cost)</w:t>
      </w:r>
    </w:p>
    <w:p>
      <w:pPr>
        <w:pStyle w:val="ListParagraph"/>
        <w:numPr>
          <w:ilvl w:val="0"/>
          <w:numId w:val="2"/>
        </w:numPr>
        <w:spacing w:after="90"/>
      </w:pPr>
      <w:r>
        <w:rPr>
          <w:rFonts w:ascii="Arial" w:cs="Arial" w:eastAsia="Arial" w:hAnsi="Arial"/>
          <w:color w:val="1A1A1A"/>
          <w:sz w:val="22"/>
          <w:szCs w:val="22"/>
        </w:rPr>
        <w:t xml:space="preserve">Configuration generation for the Aarogya integration must be marked as PENDING in the generated configuration bundle, with placeholder stubs that indicate where Aarogya configuration will be inserted once a custom adapter is onboarded</w:t>
      </w:r>
    </w:p>
    <w:p>
      <w:pPr>
        <w:pStyle w:val="ListParagraph"/>
        <w:numPr>
          <w:ilvl w:val="0"/>
          <w:numId w:val="2"/>
        </w:numPr>
        <w:spacing w:after="90"/>
      </w:pPr>
      <w:r>
        <w:rPr>
          <w:rFonts w:ascii="Arial" w:cs="Arial" w:eastAsia="Arial" w:hAnsi="Arial"/>
          <w:color w:val="1A1A1A"/>
          <w:sz w:val="22"/>
          <w:szCs w:val="22"/>
        </w:rPr>
        <w:t xml:space="preserve">The Platform must provide a Custom Adapter Onboarding Specification document (D-06) describing what information is required from CareFirst to build and register the Aarogya Health API adapter — including API schema, authentication flow details, sandbox endpoint, and sample request/response payloads</w:t>
      </w:r>
    </w:p>
    <w:p>
      <w:pPr>
        <w:pStyle w:val="ListParagraph"/>
        <w:numPr>
          <w:ilvl w:val="0"/>
          <w:numId w:val="2"/>
        </w:numPr>
        <w:spacing w:after="90"/>
      </w:pPr>
      <w:r>
        <w:rPr>
          <w:rFonts w:ascii="Arial" w:cs="Arial" w:eastAsia="Arial" w:hAnsi="Arial"/>
          <w:color w:val="1A1A1A"/>
          <w:sz w:val="22"/>
          <w:szCs w:val="22"/>
        </w:rPr>
        <w:t xml:space="preserve">The workflow orchestration configuration must correctly represent Step 3 (Aarogya call) as a required dependency before Step 4 (CIBIL), with a PENDING status, so that the full workflow is logically complete even before the adapter is available</w:t>
      </w:r>
    </w:p>
    <w:p>
      <w:pPr>
        <w:pStyle w:val="ListParagraph"/>
        <w:numPr>
          <w:ilvl w:val="0"/>
          <w:numId w:val="2"/>
        </w:numPr>
        <w:spacing w:after="90"/>
      </w:pPr>
      <w:r>
        <w:rPr>
          <w:rFonts w:ascii="Arial" w:cs="Arial" w:eastAsia="Arial" w:hAnsi="Arial"/>
          <w:color w:val="1A1A1A"/>
          <w:sz w:val="22"/>
          <w:szCs w:val="22"/>
        </w:rPr>
        <w:t xml:space="preserve">The simulation framework must skip the Aarogya step and log it as ADAPTER_NOT_FOUND in the simulation report, while still running full end-to-end simulation for the four standard integrations</w:t>
      </w:r>
    </w:p>
    <w:p>
      <w:pPr>
        <w:spacing w:after="80"/>
      </w:pPr>
      <w:r>
        <w:t xml:space="preserve"/>
      </w:r>
    </w:p>
    <w:p>
      <w:pPr>
        <w:pStyle w:val="Heading1"/>
        <w:spacing w:after="140" w:before="320"/>
      </w:pPr>
      <w:r>
        <w:rPr>
          <w:rFonts w:ascii="Arial" w:cs="Arial" w:eastAsia="Arial" w:hAnsi="Arial"/>
          <w:b/>
          <w:bCs/>
          <w:color w:val="1B5E3B"/>
          <w:sz w:val="32"/>
          <w:szCs w:val="32"/>
        </w:rPr>
        <w:t xml:space="preserve">3. What CareFirst Must Provide</w:t>
      </w:r>
    </w:p>
    <w:p>
      <w:pPr>
        <w:pStyle w:val="ListParagraph"/>
        <w:numPr>
          <w:ilvl w:val="0"/>
          <w:numId w:val="2"/>
        </w:numPr>
        <w:spacing w:after="90"/>
      </w:pPr>
      <w:r>
        <w:rPr>
          <w:rFonts w:ascii="Arial" w:cs="Arial" w:eastAsia="Arial" w:hAnsi="Arial"/>
          <w:color w:val="1A1A1A"/>
          <w:sz w:val="22"/>
          <w:szCs w:val="22"/>
        </w:rPr>
        <w:t xml:space="preserve">Sandbox credentials for Karza v2, CIBIL v3, Razorpay v1, and Twilio (standard adapters) — required by Week 1</w:t>
      </w:r>
    </w:p>
    <w:p>
      <w:pPr>
        <w:pStyle w:val="ListParagraph"/>
        <w:numPr>
          <w:ilvl w:val="0"/>
          <w:numId w:val="2"/>
        </w:numPr>
        <w:spacing w:after="90"/>
      </w:pPr>
      <w:r>
        <w:rPr>
          <w:rFonts w:ascii="Arial" w:cs="Arial" w:eastAsia="Arial" w:hAnsi="Arial"/>
          <w:color w:val="1A1A1A"/>
          <w:sz w:val="22"/>
          <w:szCs w:val="22"/>
        </w:rPr>
        <w:t xml:space="preserve">Aarogya Health API technical documentation including: full API schema, OAuth 2.0 Authorization Code flow details, ABHA consent model, sandbox endpoint URL, and sample request/response payloads — required by Week 4 for custom adapter onboarding</w:t>
      </w:r>
    </w:p>
    <w:p>
      <w:pPr>
        <w:pStyle w:val="ListParagraph"/>
        <w:numPr>
          <w:ilvl w:val="0"/>
          <w:numId w:val="2"/>
        </w:numPr>
        <w:spacing w:after="90"/>
      </w:pPr>
      <w:r>
        <w:rPr>
          <w:rFonts w:ascii="Arial" w:cs="Arial" w:eastAsia="Arial" w:hAnsi="Arial"/>
          <w:color w:val="1A1A1A"/>
          <w:sz w:val="22"/>
          <w:szCs w:val="22"/>
        </w:rPr>
        <w:t xml:space="preserve">Aarogya Digital Health Pvt. Ltd. sandbox access credentials once custom adapter onboarding specification is accepted — required by Week 8</w:t>
      </w:r>
    </w:p>
    <w:p>
      <w:pPr>
        <w:pStyle w:val="ListParagraph"/>
        <w:numPr>
          <w:ilvl w:val="0"/>
          <w:numId w:val="2"/>
        </w:numPr>
        <w:spacing w:after="90"/>
      </w:pPr>
      <w:r>
        <w:rPr>
          <w:rFonts w:ascii="Arial" w:cs="Arial" w:eastAsia="Arial" w:hAnsi="Arial"/>
          <w:color w:val="1A1A1A"/>
          <w:sz w:val="22"/>
          <w:szCs w:val="22"/>
        </w:rPr>
        <w:t xml:space="preserve">CareFirst's designated secrets vault access for credential injection testing — required by Week 3</w:t>
      </w:r>
    </w:p>
    <w:p>
      <w:pPr>
        <w:pStyle w:val="ListParagraph"/>
        <w:numPr>
          <w:ilvl w:val="0"/>
          <w:numId w:val="2"/>
        </w:numPr>
        <w:spacing w:after="90"/>
      </w:pPr>
      <w:r>
        <w:rPr>
          <w:rFonts w:ascii="Arial" w:cs="Arial" w:eastAsia="Arial" w:hAnsi="Arial"/>
          <w:color w:val="1A1A1A"/>
          <w:sz w:val="22"/>
          <w:szCs w:val="22"/>
        </w:rPr>
        <w:t xml:space="preserve">Empanelled hospital bank account details for Razorpay disbursal sandbox testing — required by Week 5</w:t>
      </w:r>
    </w:p>
    <w:p>
      <w:pPr>
        <w:pStyle w:val="ListParagraph"/>
        <w:numPr>
          <w:ilvl w:val="0"/>
          <w:numId w:val="2"/>
        </w:numPr>
        <w:spacing w:after="90"/>
      </w:pPr>
      <w:r>
        <w:rPr>
          <w:rFonts w:ascii="Arial" w:cs="Arial" w:eastAsia="Arial" w:hAnsi="Arial"/>
          <w:color w:val="1A1A1A"/>
          <w:sz w:val="22"/>
          <w:szCs w:val="22"/>
        </w:rPr>
        <w:t xml:space="preserve">Nominated integration lead for artefact review and sign-off within 5 business days of each delivery</w:t>
      </w:r>
    </w:p>
    <w:p>
      <w:pPr>
        <w:spacing w:after="80"/>
      </w:pPr>
      <w:r>
        <w:t xml:space="preserve"/>
      </w:r>
    </w:p>
    <w:p>
      <w:pPr>
        <w:pStyle w:val="Heading1"/>
        <w:spacing w:after="140" w:before="320"/>
      </w:pPr>
      <w:r>
        <w:rPr>
          <w:rFonts w:ascii="Arial" w:cs="Arial" w:eastAsia="Arial" w:hAnsi="Arial"/>
          <w:b/>
          <w:bCs/>
          <w:color w:val="1B5E3B"/>
          <w:sz w:val="32"/>
          <w:szCs w:val="32"/>
        </w:rPr>
        <w:t xml:space="preserve">4.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160"/>
      </w:tblGrid>
      <w:tr>
        <w:tc>
          <w:tcPr>
            <w:tcW w:type="dxa" w:w="20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Target Week</w:t>
            </w:r>
          </w:p>
        </w:tc>
        <w:tc>
          <w:tcPr>
            <w:tcW w:type="dxa" w:w="316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Key Output</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M0 — Kick-off</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Environment setup, prerequisites handover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Week 1</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M1 — Intent Extraction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BRD parsed; intent manifest with Adapter Gap Report delivered and signed off</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Week 3</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D-01: Intent Manifest + Adapter Gap Report</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M2 — Standard Config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Karza, CIBIL, Razorpay, Twilio configs generated; Aarogya stubs created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Week 7</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D-02 to D-05 + D-06: Aarogya Onboarding Spec</w:t>
            </w:r>
          </w:p>
        </w:tc>
      </w:tr>
      <w:tr>
        <w:tc>
          <w:tcPr>
            <w:tcW w:type="dxa" w:w="20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M3 — Aarogya Onboarding</w:t>
            </w:r>
          </w:p>
        </w:tc>
        <w:tc>
          <w:tcPr>
            <w:tcW w:type="dxa" w:w="28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Custom Aarogya adapter built and registered; Aarogya configuration generated and integrated</w:t>
            </w:r>
          </w:p>
        </w:tc>
        <w:tc>
          <w:tcPr>
            <w:tcW w:type="dxa" w:w="14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Week 12</w:t>
            </w:r>
          </w:p>
        </w:tc>
        <w:tc>
          <w:tcPr>
            <w:tcW w:type="dxa" w:w="316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B45309"/>
                <w:sz w:val="20"/>
                <w:szCs w:val="20"/>
              </w:rPr>
              <w:t xml:space="preserve">D-07: Aarogya Adapter + Full Config Bundle</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M4 — Sandbox Testing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 5 integrations tested; simulation report; defect resolution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Week 16</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D-08: Test Execution Report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M5 — Go-Live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Deployment bundle, runbook, post-deployment validation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Week 20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D-09: Deployment Bundle + Sign-off</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560"/>
        <w:gridCol w:w="1400"/>
      </w:tblGrid>
      <w:tr>
        <w:tc>
          <w:tcPr>
            <w:tcW w:type="dxa" w:w="10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Deliverable</w:t>
            </w:r>
          </w:p>
        </w:tc>
        <w:tc>
          <w:tcPr>
            <w:tcW w:type="dxa" w:w="456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Milestone</w:t>
            </w:r>
          </w:p>
        </w:tc>
      </w:tr>
      <w:tr>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D-01</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Intent Manifest + Adapter Gap Report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Full intent manifest including flagged Aarogya Health API as UNRECOGNISED ADAPTER with gap documentation</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M1</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D-02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Field Mapping Specification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Mappings for all 25 input fields to Karza, CIBIL, Razorpay, and Twilio schemas; Aarogya fields marked PENDING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M2</w:t>
            </w:r>
          </w:p>
        </w:tc>
      </w:tr>
      <w:tr>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D-03</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Workflow Orchestration Config</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7-step workflow with Aarogya step included as PENDING dependency placeholder</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M2</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D-04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Authentication Config Bundle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Auth configs for Karza (API Key), CIBIL (mTLS), Razorpay (Key+HMAC), Twilio (SID+Token); Aarogya OAuth 2.0 stub</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M2</w:t>
            </w:r>
          </w:p>
        </w:tc>
      </w:tr>
      <w:tr>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D-05</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Hook &amp; Notification Config</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All hook configs and 7 Twilio SMS templates</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M2</w:t>
            </w:r>
          </w:p>
        </w:tc>
      </w:tr>
      <w:tr>
        <w:tc>
          <w:tcPr>
            <w:tcW w:type="dxa" w:w="10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D-06</w:t>
            </w:r>
          </w:p>
        </w:tc>
        <w:tc>
          <w:tcPr>
            <w:tcW w:type="dxa" w:w="24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Aarogya Custom Adapter Onboarding Spec</w:t>
            </w:r>
          </w:p>
        </w:tc>
        <w:tc>
          <w:tcPr>
            <w:tcW w:type="dxa" w:w="456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Document specifying all information required from CareFirst to build the Aarogya Health API adapter</w:t>
            </w:r>
          </w:p>
        </w:tc>
        <w:tc>
          <w:tcPr>
            <w:tcW w:type="dxa" w:w="14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B45309"/>
                <w:sz w:val="20"/>
                <w:szCs w:val="20"/>
              </w:rPr>
              <w:t xml:space="preserve">M2</w:t>
            </w:r>
          </w:p>
        </w:tc>
      </w:tr>
      <w:tr>
        <w:tc>
          <w:tcPr>
            <w:tcW w:type="dxa" w:w="10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D-07</w:t>
            </w:r>
          </w:p>
        </w:tc>
        <w:tc>
          <w:tcPr>
            <w:tcW w:type="dxa" w:w="24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Aarogya Adapter + Complete Config Bundle</w:t>
            </w:r>
          </w:p>
        </w:tc>
        <w:tc>
          <w:tcPr>
            <w:tcW w:type="dxa" w:w="456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1A1A1A"/>
                <w:sz w:val="20"/>
                <w:szCs w:val="20"/>
              </w:rPr>
              <w:t xml:space="preserve">Custom Aarogya adapter registered in Platform catalog; full configuration bundle with all 5 integrations active</w:t>
            </w:r>
          </w:p>
        </w:tc>
        <w:tc>
          <w:tcPr>
            <w:tcW w:type="dxa" w:w="1400"/>
            <w:tcBorders>
              <w:top w:val="single" w:color="CCCCCC" w:sz="1"/>
              <w:left w:val="single" w:color="CCCCCC" w:sz="1"/>
              <w:bottom w:val="single" w:color="CCCCCC" w:sz="1"/>
              <w:right w:val="single" w:color="CCCCCC" w:sz="1"/>
            </w:tcBorders>
            <w:shd w:fill="FFF8E7" w:val="clear"/>
            <w:tcMar>
              <w:top w:type="dxa" w:w="90"/>
              <w:left w:type="dxa" w:w="130"/>
              <w:bottom w:type="dxa" w:w="90"/>
              <w:right w:type="dxa" w:w="130"/>
            </w:tcMar>
          </w:tcPr>
          <w:p>
            <w:r>
              <w:rPr>
                <w:rFonts w:ascii="Arial" w:cs="Arial" w:eastAsia="Arial" w:hAnsi="Arial"/>
                <w:b w:val="false"/>
                <w:bCs w:val="false"/>
                <w:color w:val="B45309"/>
                <w:sz w:val="20"/>
                <w:szCs w:val="20"/>
              </w:rPr>
              <w:t xml:space="preserve">M3</w:t>
            </w:r>
          </w:p>
        </w:tc>
      </w:tr>
      <w:tr>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D-08</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Sandbox Test Execution Report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Minimum 10 test scenarios including Aarogya ABHA record found, not found, and API unavailable paths</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M4</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D-09</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Deployment Bundle + Runbook</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Deployment-ready artefacts and operational runbook for CareFirst DevOps team</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M5</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6. Acceptance Criteria (Summary)</w:t>
      </w:r>
    </w:p>
    <w:p>
      <w:pPr>
        <w:pStyle w:val="ListParagraph"/>
        <w:numPr>
          <w:ilvl w:val="0"/>
          <w:numId w:val="2"/>
        </w:numPr>
        <w:spacing w:after="90"/>
      </w:pPr>
      <w:r>
        <w:rPr>
          <w:rFonts w:ascii="Arial" w:cs="Arial" w:eastAsia="Arial" w:hAnsi="Arial"/>
          <w:color w:val="1A1A1A"/>
          <w:sz w:val="22"/>
          <w:szCs w:val="22"/>
        </w:rPr>
        <w:t xml:space="preserve">Intent manifest correctly identifies Aarogya Health API as UNRECOGNISED ADAPTER and includes a complete Adapter Gap Report</w:t>
      </w:r>
    </w:p>
    <w:p>
      <w:pPr>
        <w:pStyle w:val="ListParagraph"/>
        <w:numPr>
          <w:ilvl w:val="0"/>
          <w:numId w:val="2"/>
        </w:numPr>
        <w:spacing w:after="90"/>
      </w:pPr>
      <w:r>
        <w:rPr>
          <w:rFonts w:ascii="Arial" w:cs="Arial" w:eastAsia="Arial" w:hAnsi="Arial"/>
          <w:color w:val="1A1A1A"/>
          <w:sz w:val="22"/>
          <w:szCs w:val="22"/>
        </w:rPr>
        <w:t xml:space="preserve">Configuration generation for Karza, CIBIL, Razorpay, and Twilio completes fully and correctly without being blocked by the missing Aarogya adapter</w:t>
      </w:r>
    </w:p>
    <w:p>
      <w:pPr>
        <w:pStyle w:val="ListParagraph"/>
        <w:numPr>
          <w:ilvl w:val="0"/>
          <w:numId w:val="2"/>
        </w:numPr>
        <w:spacing w:after="90"/>
      </w:pPr>
      <w:r>
        <w:rPr>
          <w:rFonts w:ascii="Arial" w:cs="Arial" w:eastAsia="Arial" w:hAnsi="Arial"/>
          <w:color w:val="1A1A1A"/>
          <w:sz w:val="22"/>
          <w:szCs w:val="22"/>
        </w:rPr>
        <w:t xml:space="preserve">All 25 BRD input fields are accounted for: fields not dependent on Aarogya are fully mapped; Aarogya-dependent fields are marked PENDING with placeholder references</w:t>
      </w:r>
    </w:p>
    <w:p>
      <w:pPr>
        <w:pStyle w:val="ListParagraph"/>
        <w:numPr>
          <w:ilvl w:val="0"/>
          <w:numId w:val="2"/>
        </w:numPr>
        <w:spacing w:after="90"/>
      </w:pPr>
      <w:r>
        <w:rPr>
          <w:rFonts w:ascii="Arial" w:cs="Arial" w:eastAsia="Arial" w:hAnsi="Arial"/>
          <w:color w:val="1A1A1A"/>
          <w:sz w:val="22"/>
          <w:szCs w:val="22"/>
        </w:rPr>
        <w:t xml:space="preserve">Workflow orchestration correctly represents all 7 steps with Aarogya step as a PENDING dependency at the correct position in the sequence</w:t>
      </w:r>
    </w:p>
    <w:p>
      <w:pPr>
        <w:pStyle w:val="ListParagraph"/>
        <w:numPr>
          <w:ilvl w:val="0"/>
          <w:numId w:val="2"/>
        </w:numPr>
        <w:spacing w:after="90"/>
      </w:pPr>
      <w:r>
        <w:rPr>
          <w:rFonts w:ascii="Arial" w:cs="Arial" w:eastAsia="Arial" w:hAnsi="Arial"/>
          <w:color w:val="1A1A1A"/>
          <w:sz w:val="22"/>
          <w:szCs w:val="22"/>
        </w:rPr>
        <w:t xml:space="preserve">Custom Aarogya adapter onboarding specification (D-06) is complete and accepted by CareFirst within 5 business days of M2 delivery</w:t>
      </w:r>
    </w:p>
    <w:p>
      <w:pPr>
        <w:pStyle w:val="ListParagraph"/>
        <w:numPr>
          <w:ilvl w:val="0"/>
          <w:numId w:val="2"/>
        </w:numPr>
        <w:spacing w:after="90"/>
      </w:pPr>
      <w:r>
        <w:rPr>
          <w:rFonts w:ascii="Arial" w:cs="Arial" w:eastAsia="Arial" w:hAnsi="Arial"/>
          <w:color w:val="1A1A1A"/>
          <w:sz w:val="22"/>
          <w:szCs w:val="22"/>
        </w:rPr>
        <w:t xml:space="preserve">Once Aarogya adapter is onboarded (M3), full end-to-end simulation including the Aarogya step produces a confidence score of 85% or above</w:t>
      </w:r>
    </w:p>
    <w:p>
      <w:pPr>
        <w:pStyle w:val="ListParagraph"/>
        <w:numPr>
          <w:ilvl w:val="0"/>
          <w:numId w:val="2"/>
        </w:numPr>
        <w:spacing w:after="90"/>
      </w:pPr>
      <w:r>
        <w:rPr>
          <w:rFonts w:ascii="Arial" w:cs="Arial" w:eastAsia="Arial" w:hAnsi="Arial"/>
          <w:color w:val="1A1A1A"/>
          <w:sz w:val="22"/>
          <w:szCs w:val="22"/>
        </w:rPr>
        <w:t xml:space="preserve">Simulation report from M2 correctly logs Aarogya step as ADAPTER_NOT_FOUND and runs full simulation for remaining four integrations</w:t>
      </w:r>
    </w:p>
    <w:p>
      <w:pPr>
        <w:pStyle w:val="ListParagraph"/>
        <w:numPr>
          <w:ilvl w:val="0"/>
          <w:numId w:val="2"/>
        </w:numPr>
        <w:spacing w:after="90"/>
      </w:pPr>
      <w:r>
        <w:rPr>
          <w:rFonts w:ascii="Arial" w:cs="Arial" w:eastAsia="Arial" w:hAnsi="Arial"/>
          <w:color w:val="1A1A1A"/>
          <w:sz w:val="22"/>
          <w:szCs w:val="22"/>
        </w:rPr>
        <w:t xml:space="preserve">No API credentials appear in any generated configuration file</w:t>
      </w:r>
    </w:p>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7. Commercial Terms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5E3B"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Engagement Model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Fixed-price for standard adapters; custom adapter development (Aarogya) subject to separate effort estimate at M1</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Payment Schedule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20% at M0; 30% at M2; 25% at M3 (Aarogya onboarding); 25% at M5</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Warranty Period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90 days from M5 sign-off; includes Aarogya adapter under warranty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IP Ownership</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Generated artefacts and custom Aarogya adapter owned by CareFirst upon final payment</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Governing Law</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Laws of India; arbitration in Mumbai</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B5E3B"/>
          <w:sz w:val="32"/>
          <w:szCs w:val="32"/>
        </w:rPr>
        <w:t xml:space="preserve">8.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40"/>
              <w:left w:type="dxa" w:w="200"/>
              <w:bottom w:type="dxa" w:w="400"/>
              <w:right w:type="dxa" w:w="200"/>
            </w:tcMar>
          </w:tcPr>
          <w:p>
            <w:r>
              <w:rPr>
                <w:rFonts w:ascii="Arial" w:cs="Arial" w:eastAsia="Arial" w:hAnsi="Arial"/>
                <w:b/>
                <w:bCs/>
                <w:color w:val="1B5E3B"/>
                <w:sz w:val="22"/>
                <w:szCs w:val="22"/>
              </w:rPr>
              <w:t xml:space="preserve">CareFirst Health Loans Pvt. Ltd.</w:t>
            </w:r>
          </w:p>
          <w:p>
            <w:pPr>
              <w:spacing w:before="400"/>
            </w:pPr>
            <w:r>
              <w:rPr>
                <w:rFonts w:ascii="Arial" w:cs="Arial" w:eastAsia="Arial" w:hAnsi="Arial"/>
                <w:sz w:val="20"/>
                <w:szCs w:val="20"/>
              </w:rPr>
              <w:t xml:space="preserve">Signature: _________________________________</w:t>
            </w:r>
          </w:p>
          <w:p>
            <w:pPr>
              <w:spacing w:before="200"/>
            </w:pPr>
            <w:r>
              <w:rPr>
                <w:rFonts w:ascii="Arial" w:cs="Arial" w:eastAsia="Arial" w:hAnsi="Arial"/>
                <w:sz w:val="20"/>
                <w:szCs w:val="20"/>
              </w:rPr>
              <w:t xml:space="preserve">Name: _____________________________________</w:t>
            </w:r>
          </w:p>
          <w:p>
            <w:pPr>
              <w:spacing w:before="200"/>
            </w:pPr>
            <w:r>
              <w:rPr>
                <w:rFonts w:ascii="Arial" w:cs="Arial" w:eastAsia="Arial" w:hAnsi="Arial"/>
                <w:sz w:val="20"/>
                <w:szCs w:val="20"/>
              </w:rPr>
              <w:t xml:space="preserve">Date: _____________________________________</w:t>
            </w:r>
          </w:p>
        </w:tc>
        <w:tc>
          <w:tcPr>
            <w:tcW w:type="dxa" w:w="4680"/>
            <w:tcBorders>
              <w:top w:val="single" w:color="CCCCCC" w:sz="1"/>
              <w:left w:val="single" w:color="CCCCCC" w:sz="1"/>
              <w:bottom w:val="single" w:color="CCCCCC" w:sz="1"/>
              <w:right w:val="single" w:color="CCCCCC" w:sz="1"/>
            </w:tcBorders>
            <w:tcMar>
              <w:top w:type="dxa" w:w="140"/>
              <w:left w:type="dxa" w:w="200"/>
              <w:bottom w:type="dxa" w:w="400"/>
              <w:right w:type="dxa" w:w="200"/>
            </w:tcMar>
          </w:tcPr>
          <w:p>
            <w:r>
              <w:rPr>
                <w:rFonts w:ascii="Arial" w:cs="Arial" w:eastAsia="Arial" w:hAnsi="Arial"/>
                <w:b/>
                <w:bCs/>
                <w:color w:val="1B5E3B"/>
                <w:sz w:val="22"/>
                <w:szCs w:val="22"/>
              </w:rPr>
              <w:t xml:space="preserve">Integration Platform Vendor</w:t>
            </w:r>
          </w:p>
          <w:p>
            <w:pPr>
              <w:spacing w:before="400"/>
            </w:pPr>
            <w:r>
              <w:rPr>
                <w:rFonts w:ascii="Arial" w:cs="Arial" w:eastAsia="Arial" w:hAnsi="Arial"/>
                <w:sz w:val="20"/>
                <w:szCs w:val="20"/>
              </w:rPr>
              <w:t xml:space="preserve">Signature: _________________________________</w:t>
            </w:r>
          </w:p>
          <w:p>
            <w:pPr>
              <w:spacing w:before="200"/>
            </w:pPr>
            <w:r>
              <w:rPr>
                <w:rFonts w:ascii="Arial" w:cs="Arial" w:eastAsia="Arial" w:hAnsi="Arial"/>
                <w:sz w:val="20"/>
                <w:szCs w:val="20"/>
              </w:rPr>
              <w:t xml:space="preserve">Name: _____________________________________</w:t>
            </w:r>
          </w:p>
          <w:p>
            <w:pPr>
              <w:spacing w:before="200"/>
            </w:pPr>
            <w:r>
              <w:rPr>
                <w:rFonts w:ascii="Arial" w:cs="Arial" w:eastAsia="Arial" w:hAnsi="Arial"/>
                <w:sz w:val="20"/>
                <w:szCs w:val="20"/>
              </w:rPr>
              <w:t xml:space="preserve">Date: _____________________________________</w:t>
            </w:r>
          </w:p>
        </w:tc>
      </w:tr>
    </w:tbl>
    <w:p>
      <w:pPr>
        <w:spacing w:after="80"/>
      </w:pPr>
      <w:r>
        <w:t xml:space="preserve"/>
      </w:r>
    </w:p>
    <w:p>
      <w:pPr>
        <w:spacing w:after="80"/>
      </w:pPr>
      <w:r>
        <w:t xml:space="preserve"/>
      </w:r>
    </w:p>
    <w:p>
      <w:pPr>
        <w:jc w:val="center"/>
      </w:pPr>
      <w:r>
        <w:rPr>
          <w:rFonts w:ascii="Arial" w:cs="Arial" w:eastAsia="Arial" w:hAnsi="Arial"/>
          <w:color w:val="999999"/>
          <w:sz w:val="20"/>
          <w:szCs w:val="20"/>
        </w:rPr>
        <w:t xml:space="preserve">— End of Statement of Work —</w:t>
      </w:r>
    </w:p>
    <w:p>
      <w:pPr>
        <w:jc w:val="center"/>
      </w:pPr>
      <w:r>
        <w:rPr>
          <w:rFonts w:ascii="Arial" w:cs="Arial" w:eastAsia="Arial" w:hAnsi="Arial"/>
          <w:color w:val="BBBBBB"/>
          <w:sz w:val="18"/>
          <w:szCs w:val="18"/>
        </w:rPr>
        <w:t xml:space="preserve">SOW-CFL-2025-004  |  CareFirst Health Loans Pvt. Ltd.  |  December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3B" w:sz="4" w:space="1"/>
      </w:pBdr>
      <w:tabs>
        <w:tab w:val="right" w:pos="9360"/>
      </w:tabs>
      <w:spacing w:before="100"/>
    </w:pPr>
    <w:r>
      <w:rPr>
        <w:rFonts w:ascii="Arial" w:cs="Arial" w:eastAsia="Arial" w:hAnsi="Arial"/>
        <w:color w:val="999999"/>
        <w:sz w:val="18"/>
        <w:szCs w:val="18"/>
      </w:rPr>
      <w:t xml:space="preserve">SOW-CFL-2025-004  |  v1.0  |  December 2025</w:t>
    </w:r>
    <w:r>
      <w:rPr>
        <w:rFonts w:ascii="Arial" w:cs="Arial" w:eastAsia="Arial" w:hAnsi="Arial"/>
        <w:color w:val="999999"/>
        <w:sz w:val="18"/>
        <w:szCs w:val="18"/>
      </w:rPr>
      <w:t xml:space="preserve">	Page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4" w:space="1"/>
      </w:pBdr>
      <w:tabs>
        <w:tab w:val="right" w:pos="9360"/>
      </w:tabs>
      <w:spacing w:after="100"/>
    </w:pPr>
    <w:r>
      <w:rPr>
        <w:rFonts w:ascii="Arial" w:cs="Arial" w:eastAsia="Arial" w:hAnsi="Arial"/>
        <w:b/>
        <w:bCs/>
        <w:color w:val="1B5E3B"/>
        <w:sz w:val="18"/>
        <w:szCs w:val="18"/>
      </w:rPr>
      <w:t xml:space="preserve">CareFirst Health Loans Pvt. Ltd.</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5E3B"/>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B5E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2026-04-05T00:48:43.196Z</dcterms:created>
  <dcterms:modified xsi:type="dcterms:W3CDTF">2026-04-05T00:48:43.200Z</dcterms:modified>
</cp:coreProperties>
</file>

<file path=docProps/custom.xml><?xml version="1.0" encoding="utf-8"?>
<Properties xmlns="http://schemas.openxmlformats.org/officeDocument/2006/custom-properties" xmlns:vt="http://schemas.openxmlformats.org/officeDocument/2006/docPropsVTypes"/>
</file>