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5E3B"/>
          <w:sz w:val="48"/>
          <w:szCs w:val="48"/>
        </w:rPr>
        <w:t xml:space="preserve">CareFirst Health Loans Pvt. Ltd.</w:t>
      </w:r>
    </w:p>
    <w:p>
      <w:pPr>
        <w:spacing w:after="60"/>
        <w:jc w:val="center"/>
      </w:pPr>
      <w:r>
        <w:rPr>
          <w:rFonts w:ascii="Arial" w:cs="Arial" w:eastAsia="Arial" w:hAnsi="Arial"/>
          <w:color w:val="555555"/>
          <w:sz w:val="26"/>
          <w:szCs w:val="26"/>
        </w:rPr>
        <w:t xml:space="preserve">Digital Healthcare Finance &amp; Medical Loan Platform</w:t>
      </w:r>
    </w:p>
    <w:p>
      <w:pPr>
        <w:spacing w:after="600"/>
        <w:jc w:val="center"/>
      </w:pPr>
      <w:r>
        <w:rPr>
          <w:rFonts w:ascii="Arial" w:cs="Arial" w:eastAsia="Arial" w:hAnsi="Arial"/>
          <w:b/>
          <w:bCs/>
          <w:color w:val="1A1A1A"/>
          <w:sz w:val="30"/>
          <w:szCs w:val="30"/>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Client</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CareFirst Health Loans Pvt. Ltd.</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BRD-CFL-2025-004</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1.0 — Final for Implementation</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December 2025</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Technology &amp; Product Strategy, CareFirst</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Approved — Pending Integration Platform Onboarding</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1. Overview</w:t>
      </w:r>
    </w:p>
    <w:p>
      <w:pPr>
        <w:spacing w:after="120" w:line="276"/>
      </w:pPr>
      <w:r>
        <w:rPr>
          <w:rFonts w:ascii="Arial" w:cs="Arial" w:eastAsia="Arial" w:hAnsi="Arial"/>
          <w:color w:val="1A1A1A"/>
          <w:sz w:val="22"/>
          <w:szCs w:val="22"/>
        </w:rPr>
        <w:t xml:space="preserve">CareFirst Health Loans Pvt. Ltd. is an RBI-registered NBFC specialising in healthcare finance — providing personal loans for planned medical procedures, hospitalisation expenses, dental treatment, fertility treatments, and elective surgeries. CareFirst partners with a network of over 3,200 empanelled hospitals and clinics across India.</w:t>
      </w:r>
    </w:p>
    <w:p>
      <w:pPr>
        <w:spacing w:after="120" w:line="276"/>
      </w:pPr>
      <w:r>
        <w:rPr>
          <w:rFonts w:ascii="Arial" w:cs="Arial" w:eastAsia="Arial" w:hAnsi="Arial"/>
          <w:color w:val="1A1A1A"/>
          <w:sz w:val="22"/>
          <w:szCs w:val="22"/>
        </w:rPr>
        <w:t xml:space="preserve">CareFirst requires a digital loan origination platform that can process a medical loan application from submission to disbursal entirely without manual intervention for eligible applicants. Given the sensitivity of healthcare data involved, this engagement has a higher-than-standard data security and consent management requirement.</w:t>
      </w:r>
    </w:p>
    <w:p>
      <w:pPr>
        <w:spacing w:after="120" w:line="276"/>
      </w:pPr>
      <w:r>
        <w:rPr>
          <w:rFonts w:ascii="Arial" w:cs="Arial" w:eastAsia="Arial" w:hAnsi="Arial"/>
          <w:color w:val="1A1A1A"/>
          <w:sz w:val="22"/>
          <w:szCs w:val="22"/>
        </w:rPr>
        <w:t xml:space="preserve">The platform must integrate with the following third-party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400"/>
        <w:gridCol w:w="2360"/>
      </w:tblGrid>
      <w:tr>
        <w:tc>
          <w:tcPr>
            <w:tcW w:type="dxa" w:w="26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API Version</w:t>
            </w:r>
          </w:p>
        </w:tc>
        <w:tc>
          <w:tcPr>
            <w:tcW w:type="dxa" w:w="16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Karza KYC Provider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KYC / Identity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Mandatory</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Aadhaar eKYC &amp; PAN verification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CIBIL Bureau</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Credit Bureau</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Mandatory</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Credit score &amp; repayment history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Razorpay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Payment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Mandatory</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disbursal to hospital / patient</w:t>
            </w:r>
          </w:p>
        </w:tc>
      </w:tr>
      <w:tr>
        <w:tc>
          <w:tcPr>
            <w:tcW w:type="dxa" w:w="26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Aarogya Health API</w:t>
            </w:r>
          </w:p>
        </w:tc>
        <w:tc>
          <w:tcPr>
            <w:tcW w:type="dxa" w:w="1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v1.2</w:t>
            </w:r>
          </w:p>
        </w:tc>
        <w:tc>
          <w:tcPr>
            <w:tcW w:type="dxa" w:w="16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Health Records</w:t>
            </w:r>
          </w:p>
        </w:tc>
        <w:tc>
          <w:tcPr>
            <w:tcW w:type="dxa" w:w="1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bCs/>
                <w:color w:val="B45309"/>
                <w:sz w:val="20"/>
                <w:szCs w:val="20"/>
              </w:rPr>
              <w:t xml:space="preserve">Mandatory</w:t>
            </w:r>
          </w:p>
        </w:tc>
        <w:tc>
          <w:tcPr>
            <w:tcW w:type="dxa" w:w="23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Patient medical history &amp; procedure verification</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Twilio SMS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v2010-04-01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Messaging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Mandatory</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Applicant SMS notifications</w:t>
            </w:r>
          </w:p>
        </w:tc>
      </w:tr>
    </w:tbl>
    <w:p>
      <w:pPr>
        <w:spacing w:after="80"/>
      </w:pPr>
      <w:r>
        <w:t xml:space="preserve"/>
      </w:r>
    </w:p>
    <w:p>
      <w:pPr>
        <w:pBdr>
          <w:left w:val="single" w:color="B45309" w:sz="12" w:space="4"/>
        </w:pBdr>
        <w:spacing w:after="140" w:before="100"/>
        <w:ind w:left="300"/>
      </w:pPr>
      <w:r>
        <w:rPr>
          <w:rFonts w:ascii="Arial" w:cs="Arial" w:eastAsia="Arial" w:hAnsi="Arial"/>
          <w:b/>
          <w:bCs/>
          <w:color w:val="B45309"/>
          <w:sz w:val="22"/>
          <w:szCs w:val="22"/>
        </w:rPr>
        <w:t xml:space="preserve">Note — Aarogya Health API: </w:t>
      </w:r>
      <w:r>
        <w:rPr>
          <w:rFonts w:ascii="Arial" w:cs="Arial" w:eastAsia="Arial" w:hAnsi="Arial"/>
          <w:color w:val="B45309"/>
          <w:sz w:val="22"/>
          <w:szCs w:val="22"/>
        </w:rPr>
        <w:t xml:space="preserve">The Aarogya Health API (v1.2) is a proprietary health data platform operated by Aarogya Digital Health Pvt. Ltd. under the National Digital Health Mission (NDHM) framework. This API is specifically required for this engagement and may not be present in the integration platform's standard adapter catalog. CareFirst expects the platform to flag this gap clearly and provide a recommended path for onboarding this adapter before configuration generation proceeds.</w:t>
      </w:r>
    </w:p>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2. What Each Integration Must Do</w:t>
      </w:r>
    </w:p>
    <w:p>
      <w:pPr>
        <w:pStyle w:val="Heading2"/>
        <w:spacing w:after="140" w:before="200"/>
      </w:pPr>
      <w:r>
        <w:rPr>
          <w:rFonts w:ascii="Arial" w:cs="Arial" w:eastAsia="Arial" w:hAnsi="Arial"/>
          <w:b/>
          <w:bCs/>
          <w:color w:val="1B5E3B"/>
          <w:sz w:val="26"/>
          <w:szCs w:val="26"/>
        </w:rPr>
        <w:t xml:space="preserve">2.1 Karza KYC Provider v2 — Identity Verification</w:t>
      </w:r>
    </w:p>
    <w:p>
      <w:pPr>
        <w:pStyle w:val="ListParagraph"/>
        <w:numPr>
          <w:ilvl w:val="0"/>
          <w:numId w:val="2"/>
        </w:numPr>
        <w:spacing w:after="90"/>
      </w:pPr>
      <w:r>
        <w:rPr>
          <w:rFonts w:ascii="Arial" w:cs="Arial" w:eastAsia="Arial" w:hAnsi="Arial"/>
          <w:color w:val="1A1A1A"/>
          <w:sz w:val="22"/>
          <w:szCs w:val="22"/>
        </w:rPr>
        <w:t xml:space="preserve">Verify applicant identity using Aadhaar-based OTP eKYC and retrieve verified name, date of birth, gender, and address</w:t>
      </w:r>
    </w:p>
    <w:p>
      <w:pPr>
        <w:pStyle w:val="ListParagraph"/>
        <w:numPr>
          <w:ilvl w:val="0"/>
          <w:numId w:val="2"/>
        </w:numPr>
        <w:spacing w:after="90"/>
      </w:pPr>
      <w:r>
        <w:rPr>
          <w:rFonts w:ascii="Arial" w:cs="Arial" w:eastAsia="Arial" w:hAnsi="Arial"/>
          <w:color w:val="1A1A1A"/>
          <w:sz w:val="22"/>
          <w:szCs w:val="22"/>
        </w:rPr>
        <w:t xml:space="preserve">Validate PAN number and confirm PAN-Aadhaar linkage for PMLA compliance</w:t>
      </w:r>
    </w:p>
    <w:p>
      <w:pPr>
        <w:pStyle w:val="ListParagraph"/>
        <w:numPr>
          <w:ilvl w:val="0"/>
          <w:numId w:val="2"/>
        </w:numPr>
        <w:spacing w:after="90"/>
      </w:pPr>
      <w:r>
        <w:rPr>
          <w:rFonts w:ascii="Arial" w:cs="Arial" w:eastAsia="Arial" w:hAnsi="Arial"/>
          <w:color w:val="1A1A1A"/>
          <w:sz w:val="22"/>
          <w:szCs w:val="22"/>
        </w:rPr>
        <w:t xml:space="preserve">If KYC fails, route to Manual Verification Queue — do not auto-reject</w:t>
      </w:r>
    </w:p>
    <w:p>
      <w:pPr>
        <w:pStyle w:val="ListParagraph"/>
        <w:numPr>
          <w:ilvl w:val="0"/>
          <w:numId w:val="2"/>
        </w:numPr>
        <w:spacing w:after="90"/>
      </w:pPr>
      <w:r>
        <w:rPr>
          <w:rFonts w:ascii="Arial" w:cs="Arial" w:eastAsia="Arial" w:hAnsi="Arial"/>
          <w:color w:val="1A1A1A"/>
          <w:sz w:val="22"/>
          <w:szCs w:val="22"/>
        </w:rPr>
        <w:t xml:space="preserve">Authentication: API Key and Secret stored in secrets vault; rotation every 60 days</w:t>
      </w:r>
    </w:p>
    <w:p>
      <w:pPr>
        <w:spacing w:after="80"/>
      </w:pPr>
      <w:r>
        <w:t xml:space="preserve"/>
      </w:r>
    </w:p>
    <w:p>
      <w:pPr>
        <w:pStyle w:val="Heading2"/>
        <w:spacing w:after="140" w:before="200"/>
      </w:pPr>
      <w:r>
        <w:rPr>
          <w:rFonts w:ascii="Arial" w:cs="Arial" w:eastAsia="Arial" w:hAnsi="Arial"/>
          <w:b/>
          <w:bCs/>
          <w:color w:val="1B5E3B"/>
          <w:sz w:val="26"/>
          <w:szCs w:val="26"/>
        </w:rPr>
        <w:t xml:space="preserve">2.2 TransUnion CIBIL v3 — Credit Assessment</w:t>
      </w:r>
    </w:p>
    <w:p>
      <w:pPr>
        <w:pStyle w:val="ListParagraph"/>
        <w:numPr>
          <w:ilvl w:val="0"/>
          <w:numId w:val="2"/>
        </w:numPr>
        <w:spacing w:after="90"/>
      </w:pPr>
      <w:r>
        <w:rPr>
          <w:rFonts w:ascii="Arial" w:cs="Arial" w:eastAsia="Arial" w:hAnsi="Arial"/>
          <w:color w:val="1A1A1A"/>
          <w:sz w:val="22"/>
          <w:szCs w:val="22"/>
        </w:rPr>
        <w:t xml:space="preserve">Pull individual credit report using PAN and date of birth as identifiers</w:t>
      </w:r>
    </w:p>
    <w:p>
      <w:pPr>
        <w:pStyle w:val="ListParagraph"/>
        <w:numPr>
          <w:ilvl w:val="0"/>
          <w:numId w:val="2"/>
        </w:numPr>
        <w:spacing w:after="90"/>
      </w:pPr>
      <w:r>
        <w:rPr>
          <w:rFonts w:ascii="Arial" w:cs="Arial" w:eastAsia="Arial" w:hAnsi="Arial"/>
          <w:color w:val="1A1A1A"/>
          <w:sz w:val="22"/>
          <w:szCs w:val="22"/>
        </w:rPr>
        <w:t xml:space="preserve">Retrieve credit score, active loan count, and delinquency flags</w:t>
      </w:r>
    </w:p>
    <w:p>
      <w:pPr>
        <w:pStyle w:val="ListParagraph"/>
        <w:numPr>
          <w:ilvl w:val="0"/>
          <w:numId w:val="2"/>
        </w:numPr>
        <w:spacing w:after="90"/>
      </w:pPr>
      <w:r>
        <w:rPr>
          <w:rFonts w:ascii="Arial" w:cs="Arial" w:eastAsia="Arial" w:hAnsi="Arial"/>
          <w:color w:val="1A1A1A"/>
          <w:sz w:val="22"/>
          <w:szCs w:val="22"/>
        </w:rPr>
        <w:t xml:space="preserve">Trigger only after successful KYC verification</w:t>
      </w:r>
    </w:p>
    <w:p>
      <w:pPr>
        <w:pStyle w:val="ListParagraph"/>
        <w:numPr>
          <w:ilvl w:val="0"/>
          <w:numId w:val="2"/>
        </w:numPr>
        <w:spacing w:after="90"/>
      </w:pPr>
      <w:r>
        <w:rPr>
          <w:rFonts w:ascii="Arial" w:cs="Arial" w:eastAsia="Arial" w:hAnsi="Arial"/>
          <w:color w:val="1A1A1A"/>
          <w:sz w:val="22"/>
          <w:szCs w:val="22"/>
        </w:rPr>
        <w:t xml:space="preserve">On no-hit or score below threshold: route to Manual Underwriting Queue, not auto-reject</w:t>
      </w:r>
    </w:p>
    <w:p>
      <w:pPr>
        <w:pStyle w:val="ListParagraph"/>
        <w:numPr>
          <w:ilvl w:val="0"/>
          <w:numId w:val="2"/>
        </w:numPr>
        <w:spacing w:after="90"/>
      </w:pPr>
      <w:r>
        <w:rPr>
          <w:rFonts w:ascii="Arial" w:cs="Arial" w:eastAsia="Arial" w:hAnsi="Arial"/>
          <w:color w:val="1A1A1A"/>
          <w:sz w:val="22"/>
          <w:szCs w:val="22"/>
        </w:rPr>
        <w:t xml:space="preserve">Retry once on HTTP 5xx before routing to manual queue</w:t>
      </w:r>
    </w:p>
    <w:p>
      <w:pPr>
        <w:pStyle w:val="ListParagraph"/>
        <w:numPr>
          <w:ilvl w:val="0"/>
          <w:numId w:val="2"/>
        </w:numPr>
        <w:spacing w:after="90"/>
      </w:pPr>
      <w:r>
        <w:rPr>
          <w:rFonts w:ascii="Arial" w:cs="Arial" w:eastAsia="Arial" w:hAnsi="Arial"/>
          <w:color w:val="1A1A1A"/>
          <w:sz w:val="22"/>
          <w:szCs w:val="22"/>
        </w:rPr>
        <w:t xml:space="preserve">Authentication: mTLS with CIBIL-issued certificate; 30-day expiry alert required</w:t>
      </w:r>
    </w:p>
    <w:p>
      <w:pPr>
        <w:spacing w:after="80"/>
      </w:pPr>
      <w:r>
        <w:t xml:space="preserve"/>
      </w:r>
    </w:p>
    <w:p>
      <w:pPr>
        <w:pStyle w:val="Heading2"/>
        <w:spacing w:after="140" w:before="200"/>
      </w:pPr>
      <w:r>
        <w:rPr>
          <w:rFonts w:ascii="Arial" w:cs="Arial" w:eastAsia="Arial" w:hAnsi="Arial"/>
          <w:b/>
          <w:bCs/>
          <w:color w:val="1B5E3B"/>
          <w:sz w:val="26"/>
          <w:szCs w:val="26"/>
        </w:rPr>
        <w:t xml:space="preserve">2.3 Razorpay v1 — Loan Disbursal</w:t>
      </w:r>
    </w:p>
    <w:p>
      <w:pPr>
        <w:pStyle w:val="ListParagraph"/>
        <w:numPr>
          <w:ilvl w:val="0"/>
          <w:numId w:val="2"/>
        </w:numPr>
        <w:spacing w:after="90"/>
      </w:pPr>
      <w:r>
        <w:rPr>
          <w:rFonts w:ascii="Arial" w:cs="Arial" w:eastAsia="Arial" w:hAnsi="Arial"/>
          <w:color w:val="1A1A1A"/>
          <w:sz w:val="22"/>
          <w:szCs w:val="22"/>
        </w:rPr>
        <w:t xml:space="preserve">Disburse approved loan amount via NEFT/IMPS to the empanelled hospital's registered bank account (not the patient's account)</w:t>
      </w:r>
    </w:p>
    <w:p>
      <w:pPr>
        <w:pStyle w:val="ListParagraph"/>
        <w:numPr>
          <w:ilvl w:val="0"/>
          <w:numId w:val="2"/>
        </w:numPr>
        <w:spacing w:after="90"/>
      </w:pPr>
      <w:r>
        <w:rPr>
          <w:rFonts w:ascii="Arial" w:cs="Arial" w:eastAsia="Arial" w:hAnsi="Arial"/>
          <w:color w:val="1A1A1A"/>
          <w:sz w:val="22"/>
          <w:szCs w:val="22"/>
        </w:rPr>
        <w:t xml:space="preserve">Disbursal must only trigger after all verifications are complete and underwriting decision is Approved</w:t>
      </w:r>
    </w:p>
    <w:p>
      <w:pPr>
        <w:pStyle w:val="ListParagraph"/>
        <w:numPr>
          <w:ilvl w:val="0"/>
          <w:numId w:val="2"/>
        </w:numPr>
        <w:spacing w:after="90"/>
      </w:pPr>
      <w:r>
        <w:rPr>
          <w:rFonts w:ascii="Arial" w:cs="Arial" w:eastAsia="Arial" w:hAnsi="Arial"/>
          <w:color w:val="1A1A1A"/>
          <w:sz w:val="22"/>
          <w:szCs w:val="22"/>
        </w:rPr>
        <w:t xml:space="preserve">Retry up to 3 times at 10-minute intervals on payment failure; escalate to Operations after 3rd failure</w:t>
      </w:r>
    </w:p>
    <w:p>
      <w:pPr>
        <w:pStyle w:val="ListParagraph"/>
        <w:numPr>
          <w:ilvl w:val="0"/>
          <w:numId w:val="2"/>
        </w:numPr>
        <w:spacing w:after="90"/>
      </w:pPr>
      <w:r>
        <w:rPr>
          <w:rFonts w:ascii="Arial" w:cs="Arial" w:eastAsia="Arial" w:hAnsi="Arial"/>
          <w:color w:val="1A1A1A"/>
          <w:sz w:val="22"/>
          <w:szCs w:val="22"/>
        </w:rPr>
        <w:t xml:space="preserve">Store Razorpay payment reference number against the loan application record</w:t>
      </w:r>
    </w:p>
    <w:p>
      <w:pPr>
        <w:pStyle w:val="ListParagraph"/>
        <w:numPr>
          <w:ilvl w:val="0"/>
          <w:numId w:val="2"/>
        </w:numPr>
        <w:spacing w:after="90"/>
      </w:pPr>
      <w:r>
        <w:rPr>
          <w:rFonts w:ascii="Arial" w:cs="Arial" w:eastAsia="Arial" w:hAnsi="Arial"/>
          <w:color w:val="1A1A1A"/>
          <w:sz w:val="22"/>
          <w:szCs w:val="22"/>
        </w:rPr>
        <w:t xml:space="preserve">Authentication: API Key + Secret; HMAC-SHA256 webhook signature verification for payment confirmation callbacks</w:t>
      </w:r>
    </w:p>
    <w:p>
      <w:pPr>
        <w:spacing w:after="80"/>
      </w:pPr>
      <w:r>
        <w:t xml:space="preserve"/>
      </w:r>
    </w:p>
    <w:p>
      <w:pPr>
        <w:pStyle w:val="Heading2"/>
        <w:spacing w:after="140" w:before="200"/>
      </w:pPr>
      <w:r>
        <w:rPr>
          <w:rFonts w:ascii="Arial" w:cs="Arial" w:eastAsia="Arial" w:hAnsi="Arial"/>
          <w:b/>
          <w:bCs/>
          <w:color w:val="1B5E3B"/>
          <w:sz w:val="26"/>
          <w:szCs w:val="26"/>
        </w:rPr>
        <w:t xml:space="preserve">2.4 Aarogya Health API v1.2 — Medical Record &amp; Procedure Verification</w:t>
      </w:r>
    </w:p>
    <w:p>
      <w:pPr>
        <w:pBdr>
          <w:left w:val="single" w:color="B45309" w:sz="12" w:space="4"/>
        </w:pBdr>
        <w:spacing w:after="140" w:before="80"/>
        <w:ind w:left="300"/>
      </w:pPr>
      <w:r>
        <w:rPr>
          <w:rFonts w:ascii="Arial" w:cs="Arial" w:eastAsia="Arial" w:hAnsi="Arial"/>
          <w:b/>
          <w:bCs/>
          <w:color w:val="B45309"/>
          <w:sz w:val="21"/>
          <w:szCs w:val="21"/>
        </w:rPr>
        <w:t xml:space="preserve">This integration is NOT expected to be in the platform's standard adapter catalog. The integration platform must flag this as an unrecognised adapter and raise a custom adapter onboarding request before this step can be configured.</w:t>
      </w:r>
    </w:p>
    <w:p>
      <w:pPr>
        <w:pStyle w:val="ListParagraph"/>
        <w:numPr>
          <w:ilvl w:val="0"/>
          <w:numId w:val="2"/>
        </w:numPr>
        <w:spacing w:after="90"/>
      </w:pPr>
      <w:r>
        <w:rPr>
          <w:rFonts w:ascii="Arial" w:cs="Arial" w:eastAsia="Arial" w:hAnsi="Arial"/>
          <w:color w:val="1A1A1A"/>
          <w:sz w:val="22"/>
          <w:szCs w:val="22"/>
        </w:rPr>
        <w:t xml:space="preserve">Connect to the Aarogya Health API to retrieve the patient's health record summary associated with their Aadhaar Health ID (ABHA number)</w:t>
      </w:r>
    </w:p>
    <w:p>
      <w:pPr>
        <w:pStyle w:val="ListParagraph"/>
        <w:numPr>
          <w:ilvl w:val="0"/>
          <w:numId w:val="2"/>
        </w:numPr>
        <w:spacing w:after="90"/>
      </w:pPr>
      <w:r>
        <w:rPr>
          <w:rFonts w:ascii="Arial" w:cs="Arial" w:eastAsia="Arial" w:hAnsi="Arial"/>
          <w:color w:val="1A1A1A"/>
          <w:sz w:val="22"/>
          <w:szCs w:val="22"/>
        </w:rPr>
        <w:t xml:space="preserve">Verify that the declared medical procedure (e.g., knee replacement, cardiac surgery) is recorded or referred by an empanelled hospital in the patient's health record</w:t>
      </w:r>
    </w:p>
    <w:p>
      <w:pPr>
        <w:pStyle w:val="ListParagraph"/>
        <w:numPr>
          <w:ilvl w:val="0"/>
          <w:numId w:val="2"/>
        </w:numPr>
        <w:spacing w:after="90"/>
      </w:pPr>
      <w:r>
        <w:rPr>
          <w:rFonts w:ascii="Arial" w:cs="Arial" w:eastAsia="Arial" w:hAnsi="Arial"/>
          <w:color w:val="1A1A1A"/>
          <w:sz w:val="22"/>
          <w:szCs w:val="22"/>
        </w:rPr>
        <w:t xml:space="preserve">Retrieve estimated procedure cost from the Aarogya platform to cross-verify against the loan amount requested</w:t>
      </w:r>
    </w:p>
    <w:p>
      <w:pPr>
        <w:pStyle w:val="ListParagraph"/>
        <w:numPr>
          <w:ilvl w:val="0"/>
          <w:numId w:val="2"/>
        </w:numPr>
        <w:spacing w:after="90"/>
      </w:pPr>
      <w:r>
        <w:rPr>
          <w:rFonts w:ascii="Arial" w:cs="Arial" w:eastAsia="Arial" w:hAnsi="Arial"/>
          <w:color w:val="1A1A1A"/>
          <w:sz w:val="22"/>
          <w:szCs w:val="22"/>
        </w:rPr>
        <w:t xml:space="preserve">If the patient has no ABHA-linked health record, or if the procedure is not verifiable, the application must be flagged for manual medical verification — not rejected</w:t>
      </w:r>
    </w:p>
    <w:p>
      <w:pPr>
        <w:pStyle w:val="ListParagraph"/>
        <w:numPr>
          <w:ilvl w:val="0"/>
          <w:numId w:val="2"/>
        </w:numPr>
        <w:spacing w:after="90"/>
      </w:pPr>
      <w:r>
        <w:rPr>
          <w:rFonts w:ascii="Arial" w:cs="Arial" w:eastAsia="Arial" w:hAnsi="Arial"/>
          <w:color w:val="1A1A1A"/>
          <w:sz w:val="22"/>
          <w:szCs w:val="22"/>
        </w:rPr>
        <w:t xml:space="preserve">Health record data must not be stored beyond the loan underwriting decision; purge within 24 hours of decision</w:t>
      </w:r>
    </w:p>
    <w:p>
      <w:pPr>
        <w:pStyle w:val="ListParagraph"/>
        <w:numPr>
          <w:ilvl w:val="0"/>
          <w:numId w:val="2"/>
        </w:numPr>
        <w:spacing w:after="90"/>
      </w:pPr>
      <w:r>
        <w:rPr>
          <w:rFonts w:ascii="Arial" w:cs="Arial" w:eastAsia="Arial" w:hAnsi="Arial"/>
          <w:color w:val="1A1A1A"/>
          <w:sz w:val="22"/>
          <w:szCs w:val="22"/>
        </w:rPr>
        <w:t xml:space="preserve">Aarogya API must be called after KYC is complete and before credit bureau pull is initiated</w:t>
      </w:r>
    </w:p>
    <w:p>
      <w:pPr>
        <w:pStyle w:val="ListParagraph"/>
        <w:numPr>
          <w:ilvl w:val="0"/>
          <w:numId w:val="2"/>
        </w:numPr>
        <w:spacing w:after="90"/>
      </w:pPr>
      <w:r>
        <w:rPr>
          <w:rFonts w:ascii="Arial" w:cs="Arial" w:eastAsia="Arial" w:hAnsi="Arial"/>
          <w:color w:val="1A1A1A"/>
          <w:sz w:val="22"/>
          <w:szCs w:val="22"/>
        </w:rPr>
        <w:t xml:space="preserve">Authentication: OAuth 2.0 Authorization Code flow with patient-level consent; ABHA-linked consent token is session-scoped and must not persist beyond this application</w:t>
      </w:r>
    </w:p>
    <w:p>
      <w:pPr>
        <w:spacing w:after="80"/>
      </w:pPr>
      <w:r>
        <w:t xml:space="preserve"/>
      </w:r>
    </w:p>
    <w:p>
      <w:pPr>
        <w:pStyle w:val="Heading2"/>
        <w:spacing w:after="140" w:before="200"/>
      </w:pPr>
      <w:r>
        <w:rPr>
          <w:rFonts w:ascii="Arial" w:cs="Arial" w:eastAsia="Arial" w:hAnsi="Arial"/>
          <w:b/>
          <w:bCs/>
          <w:color w:val="1B5E3B"/>
          <w:sz w:val="26"/>
          <w:szCs w:val="26"/>
        </w:rPr>
        <w:t xml:space="preserve">2.5 Twilio SMS v2010-04-01 — Applicant Notifications</w:t>
      </w:r>
    </w:p>
    <w:p>
      <w:pPr>
        <w:pStyle w:val="ListParagraph"/>
        <w:numPr>
          <w:ilvl w:val="0"/>
          <w:numId w:val="2"/>
        </w:numPr>
        <w:spacing w:after="90"/>
      </w:pPr>
      <w:r>
        <w:rPr>
          <w:rFonts w:ascii="Arial" w:cs="Arial" w:eastAsia="Arial" w:hAnsi="Arial"/>
          <w:color w:val="1A1A1A"/>
          <w:sz w:val="22"/>
          <w:szCs w:val="22"/>
        </w:rPr>
        <w:t xml:space="preserve">Send SMS on application receipt with reference number</w:t>
      </w:r>
    </w:p>
    <w:p>
      <w:pPr>
        <w:pStyle w:val="ListParagraph"/>
        <w:numPr>
          <w:ilvl w:val="0"/>
          <w:numId w:val="2"/>
        </w:numPr>
        <w:spacing w:after="90"/>
      </w:pPr>
      <w:r>
        <w:rPr>
          <w:rFonts w:ascii="Arial" w:cs="Arial" w:eastAsia="Arial" w:hAnsi="Arial"/>
          <w:color w:val="1A1A1A"/>
          <w:sz w:val="22"/>
          <w:szCs w:val="22"/>
        </w:rPr>
        <w:t xml:space="preserve">Send SMS on successful KYC completion</w:t>
      </w:r>
    </w:p>
    <w:p>
      <w:pPr>
        <w:pStyle w:val="ListParagraph"/>
        <w:numPr>
          <w:ilvl w:val="0"/>
          <w:numId w:val="2"/>
        </w:numPr>
        <w:spacing w:after="90"/>
      </w:pPr>
      <w:r>
        <w:rPr>
          <w:rFonts w:ascii="Arial" w:cs="Arial" w:eastAsia="Arial" w:hAnsi="Arial"/>
          <w:color w:val="1A1A1A"/>
          <w:sz w:val="22"/>
          <w:szCs w:val="22"/>
        </w:rPr>
        <w:t xml:space="preserve">Send SMS when health record verification is initiated (with link to grant Aarogya consent if not already granted)</w:t>
      </w:r>
    </w:p>
    <w:p>
      <w:pPr>
        <w:pStyle w:val="ListParagraph"/>
        <w:numPr>
          <w:ilvl w:val="0"/>
          <w:numId w:val="2"/>
        </w:numPr>
        <w:spacing w:after="90"/>
      </w:pPr>
      <w:r>
        <w:rPr>
          <w:rFonts w:ascii="Arial" w:cs="Arial" w:eastAsia="Arial" w:hAnsi="Arial"/>
          <w:color w:val="1A1A1A"/>
          <w:sz w:val="22"/>
          <w:szCs w:val="22"/>
        </w:rPr>
        <w:t xml:space="preserve">Send SMS on credit decision completion</w:t>
      </w:r>
    </w:p>
    <w:p>
      <w:pPr>
        <w:pStyle w:val="ListParagraph"/>
        <w:numPr>
          <w:ilvl w:val="0"/>
          <w:numId w:val="2"/>
        </w:numPr>
        <w:spacing w:after="90"/>
      </w:pPr>
      <w:r>
        <w:rPr>
          <w:rFonts w:ascii="Arial" w:cs="Arial" w:eastAsia="Arial" w:hAnsi="Arial"/>
          <w:color w:val="1A1A1A"/>
          <w:sz w:val="22"/>
          <w:szCs w:val="22"/>
        </w:rPr>
        <w:t xml:space="preserve">Send SMS on loan approval with amount and hospital disbursal details</w:t>
      </w:r>
    </w:p>
    <w:p>
      <w:pPr>
        <w:pStyle w:val="ListParagraph"/>
        <w:numPr>
          <w:ilvl w:val="0"/>
          <w:numId w:val="2"/>
        </w:numPr>
        <w:spacing w:after="90"/>
      </w:pPr>
      <w:r>
        <w:rPr>
          <w:rFonts w:ascii="Arial" w:cs="Arial" w:eastAsia="Arial" w:hAnsi="Arial"/>
          <w:color w:val="1A1A1A"/>
          <w:sz w:val="22"/>
          <w:szCs w:val="22"/>
        </w:rPr>
        <w:t xml:space="preserve">Send SMS on successful disbursal confirmation</w:t>
      </w:r>
    </w:p>
    <w:p>
      <w:pPr>
        <w:pStyle w:val="ListParagraph"/>
        <w:numPr>
          <w:ilvl w:val="0"/>
          <w:numId w:val="2"/>
        </w:numPr>
        <w:spacing w:after="90"/>
      </w:pPr>
      <w:r>
        <w:rPr>
          <w:rFonts w:ascii="Arial" w:cs="Arial" w:eastAsia="Arial" w:hAnsi="Arial"/>
          <w:color w:val="1A1A1A"/>
          <w:sz w:val="22"/>
          <w:szCs w:val="22"/>
        </w:rPr>
        <w:t xml:space="preserve">Send SMS if application is routed to any manual review queue with expected turnaround time</w:t>
      </w:r>
    </w:p>
    <w:p>
      <w:pPr>
        <w:pStyle w:val="ListParagraph"/>
        <w:numPr>
          <w:ilvl w:val="0"/>
          <w:numId w:val="2"/>
        </w:numPr>
        <w:spacing w:after="90"/>
      </w:pPr>
      <w:r>
        <w:rPr>
          <w:rFonts w:ascii="Arial" w:cs="Arial" w:eastAsia="Arial" w:hAnsi="Arial"/>
          <w:color w:val="1A1A1A"/>
          <w:sz w:val="22"/>
          <w:szCs w:val="22"/>
        </w:rPr>
        <w:t xml:space="preserve">SMS failures must not block any processing step; retry twice at 3-minute intervals</w:t>
      </w:r>
    </w:p>
    <w:p>
      <w:pPr>
        <w:pStyle w:val="ListParagraph"/>
        <w:numPr>
          <w:ilvl w:val="0"/>
          <w:numId w:val="2"/>
        </w:numPr>
        <w:spacing w:after="90"/>
      </w:pPr>
      <w:r>
        <w:rPr>
          <w:rFonts w:ascii="Arial" w:cs="Arial" w:eastAsia="Arial" w:hAnsi="Arial"/>
          <w:color w:val="1A1A1A"/>
          <w:sz w:val="22"/>
          <w:szCs w:val="22"/>
        </w:rPr>
        <w:t xml:space="preserve">Authentication: Account SID and Auth Token; all calls over HTTPS; DLT Sender ID 'CRFRST' required for production</w:t>
      </w:r>
    </w:p>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3. Applicant Information We Will Collect</w:t>
      </w:r>
    </w:p>
    <w:p>
      <w:pPr>
        <w:pStyle w:val="Heading2"/>
        <w:spacing w:after="140" w:before="200"/>
      </w:pPr>
      <w:r>
        <w:rPr>
          <w:rFonts w:ascii="Arial" w:cs="Arial" w:eastAsia="Arial" w:hAnsi="Arial"/>
          <w:b/>
          <w:bCs/>
          <w:color w:val="1B5E3B"/>
          <w:sz w:val="26"/>
          <w:szCs w:val="26"/>
        </w:rPr>
        <w:t xml:space="preserve">3.1 Personal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200"/>
        <w:gridCol w:w="3360"/>
      </w:tblGrid>
      <w:tr>
        <w:tc>
          <w:tcPr>
            <w:tcW w:type="dxa" w:w="30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Full Legal Name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 per Aadhaar card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Mobile Number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10-digit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Aadhaar-linked; used for OTP and SMS</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of Birth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DD/MM/YYYY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KYC and CIBIL pull</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Aadhaar Number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12-digit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eKYC; masked in all storage</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PAN Number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AAAAA9999A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CIBIL pull and PMLA compliance</w:t>
            </w:r>
          </w:p>
        </w:tc>
      </w:tr>
      <w:tr>
        <w:tc>
          <w:tcPr>
            <w:tcW w:type="dxa" w:w="3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ABHA Number (Aarogya Health ID)</w:t>
            </w:r>
          </w:p>
        </w:tc>
        <w:tc>
          <w:tcPr>
            <w:tcW w:type="dxa" w:w="18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14-digit</w:t>
            </w:r>
          </w:p>
        </w:tc>
        <w:tc>
          <w:tcPr>
            <w:tcW w:type="dxa" w:w="12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bCs/>
                <w:color w:val="B45309"/>
                <w:sz w:val="20"/>
                <w:szCs w:val="20"/>
              </w:rPr>
              <w:t xml:space="preserve">Yes</w:t>
            </w:r>
          </w:p>
        </w:tc>
        <w:tc>
          <w:tcPr>
            <w:tcW w:type="dxa" w:w="33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Required for Aarogya Health API call; patient's National Digital Health ID</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Male/Female/Other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KYC matching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Current Address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Free text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correspondence</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PIN Code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6-digit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serviceability check</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eKYC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captured before Karza is invoked</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Credit Bureau Pull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under CICRA 2005</w:t>
            </w:r>
          </w:p>
        </w:tc>
      </w:tr>
      <w:tr>
        <w:tc>
          <w:tcPr>
            <w:tcW w:type="dxa" w:w="3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Health Record Access</w:t>
            </w:r>
          </w:p>
        </w:tc>
        <w:tc>
          <w:tcPr>
            <w:tcW w:type="dxa" w:w="18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bCs/>
                <w:color w:val="B45309"/>
                <w:sz w:val="20"/>
                <w:szCs w:val="20"/>
              </w:rPr>
              <w:t xml:space="preserve">Yes</w:t>
            </w:r>
          </w:p>
        </w:tc>
        <w:tc>
          <w:tcPr>
            <w:tcW w:type="dxa" w:w="33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Explicit ABHA-linked consent required before Aarogya API call</w:t>
            </w:r>
          </w:p>
        </w:tc>
      </w:tr>
    </w:tbl>
    <w:p>
      <w:pPr>
        <w:spacing w:after="80"/>
      </w:pPr>
      <w:r>
        <w:t xml:space="preserve"/>
      </w:r>
    </w:p>
    <w:p>
      <w:pPr>
        <w:pStyle w:val="Heading2"/>
        <w:spacing w:after="140" w:before="200"/>
      </w:pPr>
      <w:r>
        <w:rPr>
          <w:rFonts w:ascii="Arial" w:cs="Arial" w:eastAsia="Arial" w:hAnsi="Arial"/>
          <w:b/>
          <w:bCs/>
          <w:color w:val="1B5E3B"/>
          <w:sz w:val="26"/>
          <w:szCs w:val="26"/>
        </w:rPr>
        <w:t xml:space="preserve">3.2 Medical &amp; Loan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200"/>
        <w:gridCol w:w="3360"/>
      </w:tblGrid>
      <w:tr>
        <w:tc>
          <w:tcPr>
            <w:tcW w:type="dxa" w:w="30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Medical Procedure Name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E.g. knee replacement, cardiac bypass, IVF</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Empanelled Hospital Name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in CareFirst's empanelled hospital list</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Hospital Registration Number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Alphanumeric</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hospital identity verification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Hospital Bank Account Number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9–18 digits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Razorpay disbursal target account</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Hospital IFSC Code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11 characters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match RBI-registered branch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Amount Requested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INR 25,000 — Max INR 10,00,000</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Tenure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Months (6–60)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Requested repayment period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Monthly Income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Self-declared; used for EMI affordability check</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Employment Type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Salaried/Self-employed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Determines income verification path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Patient Repayment Bank Account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9–18 digits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Patient's account for EMI auto-debit mandate</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Patient Bank IFSC Code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11 characters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EMI mandate bank branch validation</w:t>
            </w:r>
          </w:p>
        </w:tc>
      </w:tr>
      <w:tr>
        <w:tc>
          <w:tcPr>
            <w:tcW w:type="dxa" w:w="3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Estimated Procedure Cost (from Hospital Quote)</w:t>
            </w:r>
          </w:p>
        </w:tc>
        <w:tc>
          <w:tcPr>
            <w:tcW w:type="dxa" w:w="18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bCs/>
                <w:color w:val="B45309"/>
                <w:sz w:val="20"/>
                <w:szCs w:val="20"/>
              </w:rPr>
              <w:t xml:space="preserve">Yes</w:t>
            </w:r>
          </w:p>
        </w:tc>
        <w:tc>
          <w:tcPr>
            <w:tcW w:type="dxa" w:w="33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Cross-verified against Aarogya Health API procedure cost estimate</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4. Processing Workflow</w:t>
      </w:r>
    </w:p>
    <w:p>
      <w:pPr>
        <w:pStyle w:val="ListParagraph"/>
        <w:numPr>
          <w:ilvl w:val="0"/>
          <w:numId w:val="2"/>
        </w:numPr>
        <w:spacing w:after="90"/>
      </w:pPr>
      <w:r>
        <w:rPr>
          <w:rFonts w:ascii="Arial" w:cs="Arial" w:eastAsia="Arial" w:hAnsi="Arial"/>
          <w:color w:val="1A1A1A"/>
          <w:sz w:val="22"/>
          <w:szCs w:val="22"/>
        </w:rPr>
        <w:t xml:space="preserve">Step 1: Validate all input fields. Do not invoke any external API until mandatory fields pass format checks.</w:t>
      </w:r>
    </w:p>
    <w:p>
      <w:pPr>
        <w:pStyle w:val="ListParagraph"/>
        <w:numPr>
          <w:ilvl w:val="0"/>
          <w:numId w:val="2"/>
        </w:numPr>
        <w:spacing w:after="90"/>
      </w:pPr>
      <w:r>
        <w:rPr>
          <w:rFonts w:ascii="Arial" w:cs="Arial" w:eastAsia="Arial" w:hAnsi="Arial"/>
          <w:color w:val="1A1A1A"/>
          <w:sz w:val="22"/>
          <w:szCs w:val="22"/>
        </w:rPr>
        <w:t xml:space="preserve">Step 2: Run Karza eKYC to verify applicant identity. On failure, route to Manual KYC Queue.</w:t>
      </w:r>
    </w:p>
    <w:p>
      <w:pPr>
        <w:pStyle w:val="ListParagraph"/>
        <w:numPr>
          <w:ilvl w:val="0"/>
          <w:numId w:val="2"/>
        </w:numPr>
        <w:spacing w:after="90"/>
      </w:pPr>
      <w:r>
        <w:rPr>
          <w:rFonts w:ascii="Arial" w:cs="Arial" w:eastAsia="Arial" w:hAnsi="Arial"/>
          <w:color w:val="1A1A1A"/>
          <w:sz w:val="22"/>
          <w:szCs w:val="22"/>
        </w:rPr>
        <w:t xml:space="preserve">Step 3: Call Aarogya Health API to verify the declared medical procedure against the patient's ABHA-linked health record and retrieve procedure cost estimate. This step runs after KYC and before credit check. If ABHA record is unavailable, flag for Manual Medical Review.</w:t>
      </w:r>
    </w:p>
    <w:p>
      <w:pPr>
        <w:pStyle w:val="ListParagraph"/>
        <w:numPr>
          <w:ilvl w:val="0"/>
          <w:numId w:val="2"/>
        </w:numPr>
        <w:spacing w:after="90"/>
      </w:pPr>
      <w:r>
        <w:rPr>
          <w:rFonts w:ascii="Arial" w:cs="Arial" w:eastAsia="Arial" w:hAnsi="Arial"/>
          <w:color w:val="1A1A1A"/>
          <w:sz w:val="22"/>
          <w:szCs w:val="22"/>
        </w:rPr>
        <w:t xml:space="preserve">Step 4: Pull CIBIL credit report. Trigger only after Steps 2 and 3 are complete. On no-hit or API failure after retry, route to Manual Underwriting Queue.</w:t>
      </w:r>
    </w:p>
    <w:p>
      <w:pPr>
        <w:pStyle w:val="ListParagraph"/>
        <w:numPr>
          <w:ilvl w:val="0"/>
          <w:numId w:val="2"/>
        </w:numPr>
        <w:spacing w:after="90"/>
      </w:pPr>
      <w:r>
        <w:rPr>
          <w:rFonts w:ascii="Arial" w:cs="Arial" w:eastAsia="Arial" w:hAnsi="Arial"/>
          <w:color w:val="1A1A1A"/>
          <w:sz w:val="22"/>
          <w:szCs w:val="22"/>
        </w:rPr>
        <w:t xml:space="preserve">Step 5: Automated underwriting decision based on KYC, health verification, and credit outputs.</w:t>
      </w:r>
    </w:p>
    <w:p>
      <w:pPr>
        <w:pStyle w:val="ListParagraph"/>
        <w:numPr>
          <w:ilvl w:val="0"/>
          <w:numId w:val="2"/>
        </w:numPr>
        <w:spacing w:after="90"/>
      </w:pPr>
      <w:r>
        <w:rPr>
          <w:rFonts w:ascii="Arial" w:cs="Arial" w:eastAsia="Arial" w:hAnsi="Arial"/>
          <w:color w:val="1A1A1A"/>
          <w:sz w:val="22"/>
          <w:szCs w:val="22"/>
        </w:rPr>
        <w:t xml:space="preserve">Step 6: On approval, trigger Razorpay disbursal to the empanelled hospital's verified bank account. Retry up to 3 times on failure before escalating to Operations.</w:t>
      </w:r>
    </w:p>
    <w:p>
      <w:pPr>
        <w:pStyle w:val="ListParagraph"/>
        <w:numPr>
          <w:ilvl w:val="0"/>
          <w:numId w:val="2"/>
        </w:numPr>
        <w:spacing w:after="90"/>
      </w:pPr>
      <w:r>
        <w:rPr>
          <w:rFonts w:ascii="Arial" w:cs="Arial" w:eastAsia="Arial" w:hAnsi="Arial"/>
          <w:color w:val="1A1A1A"/>
          <w:sz w:val="22"/>
          <w:szCs w:val="22"/>
        </w:rPr>
        <w:t xml:space="preserve">Step 7: Send SMS notifications at each step completion.</w:t>
      </w:r>
    </w:p>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5. Retry &amp; Fallback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Integration</w:t>
            </w:r>
          </w:p>
        </w:tc>
        <w:tc>
          <w:tcPr>
            <w:tcW w:type="dxa" w:w="69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Retry &amp; Fallback Behaviour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Karza (KYC)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 retry. Single attempt per session. Failure → Manual KYC Queue.</w:t>
            </w:r>
          </w:p>
        </w:tc>
      </w:tr>
      <w:tr>
        <w:tc>
          <w:tcPr>
            <w:tcW w:type="dxa" w:w="2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Aarogya Health API</w:t>
            </w:r>
          </w:p>
        </w:tc>
        <w:tc>
          <w:tcPr>
            <w:tcW w:type="dxa" w:w="69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Retry once after 60 seconds on timeout or 5xx. If ABHA record not found: flag for Manual Medical Review, do not block credit step. API unavailability after retry: continue with manual medical review flag.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CIBIL (Bureau)</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Retry once after 45 seconds on 5xx or timeout. No-hit → Manual Underwriting Queue. Second failure → Manual Underwriting Queue.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Razorpay (Disbursal)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Retry 3 times at 10-minute intervals. After 3rd failure: escalate to Operations; send delay SMS to applicant.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Twilio (SMS)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Retry 2 times at 3-minute intervals. SMS failure must not block any processing step.</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6. Security &amp; Compliance</w:t>
      </w:r>
    </w:p>
    <w:p>
      <w:pPr>
        <w:pStyle w:val="ListParagraph"/>
        <w:numPr>
          <w:ilvl w:val="0"/>
          <w:numId w:val="2"/>
        </w:numPr>
        <w:spacing w:after="90"/>
      </w:pPr>
      <w:r>
        <w:rPr>
          <w:rFonts w:ascii="Arial" w:cs="Arial" w:eastAsia="Arial" w:hAnsi="Arial"/>
          <w:color w:val="1A1A1A"/>
          <w:sz w:val="22"/>
          <w:szCs w:val="22"/>
        </w:rPr>
        <w:t xml:space="preserve">All API credentials must be stored in a secrets vault — never in configuration files or source code.</w:t>
      </w:r>
    </w:p>
    <w:p>
      <w:pPr>
        <w:pStyle w:val="ListParagraph"/>
        <w:numPr>
          <w:ilvl w:val="0"/>
          <w:numId w:val="2"/>
        </w:numPr>
        <w:spacing w:after="90"/>
      </w:pPr>
      <w:r>
        <w:rPr>
          <w:rFonts w:ascii="Arial" w:cs="Arial" w:eastAsia="Arial" w:hAnsi="Arial"/>
          <w:color w:val="1A1A1A"/>
          <w:sz w:val="22"/>
          <w:szCs w:val="22"/>
        </w:rPr>
        <w:t xml:space="preserve">Aadhaar numbers must be masked in all logs, audit records, and non-KYC storage contexts.</w:t>
      </w:r>
    </w:p>
    <w:p>
      <w:pPr>
        <w:pStyle w:val="ListParagraph"/>
        <w:numPr>
          <w:ilvl w:val="0"/>
          <w:numId w:val="2"/>
        </w:numPr>
        <w:spacing w:after="90"/>
      </w:pPr>
      <w:r>
        <w:rPr>
          <w:rFonts w:ascii="Arial" w:cs="Arial" w:eastAsia="Arial" w:hAnsi="Arial"/>
          <w:color w:val="1A1A1A"/>
          <w:sz w:val="22"/>
          <w:szCs w:val="22"/>
        </w:rPr>
        <w:t xml:space="preserve">Health record data retrieved from Aarogya Health API must be treated as sensitive health information under the DPDP Act 2023 and must be purged within 24 hours of underwriting decision.</w:t>
      </w:r>
    </w:p>
    <w:p>
      <w:pPr>
        <w:pStyle w:val="ListParagraph"/>
        <w:numPr>
          <w:ilvl w:val="0"/>
          <w:numId w:val="2"/>
        </w:numPr>
        <w:spacing w:after="90"/>
      </w:pPr>
      <w:r>
        <w:rPr>
          <w:rFonts w:ascii="Arial" w:cs="Arial" w:eastAsia="Arial" w:hAnsi="Arial"/>
          <w:color w:val="1A1A1A"/>
          <w:sz w:val="22"/>
          <w:szCs w:val="22"/>
        </w:rPr>
        <w:t xml:space="preserve">ABHA-linked consent tokens are session-scoped and must not persist beyond the current loan application.</w:t>
      </w:r>
    </w:p>
    <w:p>
      <w:pPr>
        <w:pStyle w:val="ListParagraph"/>
        <w:numPr>
          <w:ilvl w:val="0"/>
          <w:numId w:val="2"/>
        </w:numPr>
        <w:spacing w:after="90"/>
      </w:pPr>
      <w:r>
        <w:rPr>
          <w:rFonts w:ascii="Arial" w:cs="Arial" w:eastAsia="Arial" w:hAnsi="Arial"/>
          <w:color w:val="1A1A1A"/>
          <w:sz w:val="22"/>
          <w:szCs w:val="22"/>
        </w:rPr>
        <w:t xml:space="preserve">All inter-service communication must use TLS 1.2 or higher.</w:t>
      </w:r>
    </w:p>
    <w:p>
      <w:pPr>
        <w:pStyle w:val="ListParagraph"/>
        <w:numPr>
          <w:ilvl w:val="0"/>
          <w:numId w:val="2"/>
        </w:numPr>
        <w:spacing w:after="90"/>
      </w:pPr>
      <w:r>
        <w:rPr>
          <w:rFonts w:ascii="Arial" w:cs="Arial" w:eastAsia="Arial" w:hAnsi="Arial"/>
          <w:color w:val="1A1A1A"/>
          <w:sz w:val="22"/>
          <w:szCs w:val="22"/>
        </w:rPr>
        <w:t xml:space="preserve">Razorpay webhook callbacks must be validated using HMAC-SHA256 signature verification before processing.</w:t>
      </w:r>
    </w:p>
    <w:p>
      <w:pPr>
        <w:pStyle w:val="ListParagraph"/>
        <w:numPr>
          <w:ilvl w:val="0"/>
          <w:numId w:val="2"/>
        </w:numPr>
        <w:spacing w:after="90"/>
      </w:pPr>
      <w:r>
        <w:rPr>
          <w:rFonts w:ascii="Arial" w:cs="Arial" w:eastAsia="Arial" w:hAnsi="Arial"/>
          <w:color w:val="1A1A1A"/>
          <w:sz w:val="22"/>
          <w:szCs w:val="22"/>
        </w:rPr>
        <w:t xml:space="preserve">Applicant consent for each data processing activity — KYC, health record access, credit bureau — must be recorded with timestamp and IP address before the corresponding API is called.</w:t>
      </w:r>
    </w:p>
    <w:p>
      <w:pPr>
        <w:spacing w:after="80"/>
      </w:pPr>
      <w:r>
        <w:t xml:space="preserve"/>
      </w:r>
    </w:p>
    <w:p>
      <w:pPr>
        <w:spacing w:after="80"/>
      </w:pPr>
      <w:r>
        <w:t xml:space="preserve"/>
      </w:r>
    </w:p>
    <w:p>
      <w:pPr>
        <w:spacing w:before="200"/>
        <w:jc w:val="center"/>
      </w:pPr>
      <w:r>
        <w:rPr>
          <w:rFonts w:ascii="Arial" w:cs="Arial" w:eastAsia="Arial" w:hAnsi="Arial"/>
          <w:color w:val="999999"/>
          <w:sz w:val="20"/>
          <w:szCs w:val="20"/>
        </w:rPr>
        <w:t xml:space="preserve">— End of Document —</w:t>
      </w:r>
    </w:p>
    <w:p>
      <w:pPr>
        <w:jc w:val="center"/>
      </w:pPr>
      <w:r>
        <w:rPr>
          <w:rFonts w:ascii="Arial" w:cs="Arial" w:eastAsia="Arial" w:hAnsi="Arial"/>
          <w:color w:val="BBBBBB"/>
          <w:sz w:val="18"/>
          <w:szCs w:val="18"/>
        </w:rPr>
        <w:t xml:space="preserve">BRD-CFL-2025-004  |  CareFirst Health Loans Pvt. Ltd.  |  December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3B" w:sz="4" w:space="1"/>
      </w:pBdr>
      <w:tabs>
        <w:tab w:val="right" w:pos="9360"/>
      </w:tabs>
      <w:spacing w:before="100"/>
    </w:pPr>
    <w:r>
      <w:rPr>
        <w:rFonts w:ascii="Arial" w:cs="Arial" w:eastAsia="Arial" w:hAnsi="Arial"/>
        <w:color w:val="999999"/>
        <w:sz w:val="18"/>
        <w:szCs w:val="18"/>
      </w:rPr>
      <w:t xml:space="preserve">BRD-CFL-2025-004  |  v1.0  |  December 2025</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4" w:space="1"/>
      </w:pBdr>
      <w:tabs>
        <w:tab w:val="right" w:pos="9360"/>
      </w:tabs>
      <w:spacing w:after="100"/>
    </w:pPr>
    <w:r>
      <w:rPr>
        <w:rFonts w:ascii="Arial" w:cs="Arial" w:eastAsia="Arial" w:hAnsi="Arial"/>
        <w:b/>
        <w:bCs/>
        <w:color w:val="1B5E3B"/>
        <w:sz w:val="18"/>
        <w:szCs w:val="18"/>
      </w:rPr>
      <w:t xml:space="preserve">CareFirst Health Loans Pvt. Ltd.</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5E3B"/>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B5E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2026-04-05T00:47:07.066Z</dcterms:created>
  <dcterms:modified xsi:type="dcterms:W3CDTF">2026-04-05T00:47:07.067Z</dcterms:modified>
</cp:coreProperties>
</file>

<file path=docProps/custom.xml><?xml version="1.0" encoding="utf-8"?>
<Properties xmlns="http://schemas.openxmlformats.org/officeDocument/2006/custom-properties" xmlns:vt="http://schemas.openxmlformats.org/officeDocument/2006/docPropsVTypes"/>
</file>