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NovaCred Financial Services Pvt. Ltd.</w:t>
      </w:r>
    </w:p>
    <w:p>
      <w:pPr>
        <w:spacing w:after="120" w:before="0"/>
        <w:jc w:val="center"/>
      </w:pPr>
      <w:r>
        <w:rPr>
          <w:rFonts w:ascii="Arial" w:cs="Arial" w:eastAsia="Arial" w:hAnsi="Arial"/>
          <w:color w:val="404040"/>
          <w:sz w:val="26"/>
          <w:szCs w:val="26"/>
        </w:rPr>
        <w:t xml:space="preserve">Digital Personal Lending &amp; Credit Decisioning Platform</w:t>
      </w:r>
    </w:p>
    <w:p>
      <w:pPr>
        <w:spacing w:after="120" w:before="0"/>
        <w:jc w:val="center"/>
      </w:pPr>
      <w:r>
        <w:rPr>
          <w:rFonts w:ascii="Arial" w:cs="Arial" w:eastAsia="Arial" w:hAnsi="Arial"/>
          <w:b/>
          <w:bCs/>
          <w:color w:val="2E74B5"/>
          <w:sz w:val="28"/>
          <w:szCs w:val="28"/>
        </w:rPr>
        <w:t xml:space="preserve">Business Requirements Document</w:t>
      </w:r>
    </w:p>
    <w:p>
      <w:pPr>
        <w:spacing w:after="480" w:before="0"/>
        <w:jc w:val="center"/>
      </w:pPr>
      <w:r>
        <w:rPr>
          <w:rFonts w:ascii="Arial" w:cs="Arial" w:eastAsia="Arial" w:hAnsi="Arial"/>
          <w:color w:val="606060"/>
          <w:sz w:val="22"/>
          <w:szCs w:val="22"/>
        </w:rPr>
        <w:t xml:space="preserve">AI-Assisted Integration Configuration &amp; Orchestration Engine</w:t>
      </w:r>
    </w:p>
    <w:p>
      <w:pPr>
        <w:pBdr>
          <w:bottom w:val="single" w:color="2E74B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NovaCred Financial Services Pvt. Ltd.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Business Requirements Document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BRD-NVC-2025-004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&amp; Engineering Strategy Team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October 2025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 Approved for Implementation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after="120" w:before="240"/>
      </w:pPr>
      <w:r>
        <w:rPr>
          <w:rFonts w:ascii="Arial" w:cs="Arial" w:eastAsia="Arial" w:hAnsi="Arial"/>
          <w:b/>
          <w:bCs/>
          <w:sz w:val="22"/>
          <w:szCs w:val="22"/>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 2025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Riya Desai, Head of Product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 draft submitted for 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Karan Shah, CISO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and compliance addendum incorporated</w:t>
            </w:r>
          </w:p>
        </w:tc>
      </w:tr>
    </w:tbl>
    <w:p>
      <w:pPr>
        <w:pStyle w:val="Heading1"/>
        <w:spacing w:after="160" w:before="320"/>
      </w:pPr>
      <w:r>
        <w:rPr>
          <w:rFonts w:ascii="Arial" w:cs="Arial" w:eastAsia="Arial" w:hAnsi="Arial"/>
          <w:b/>
          <w:bCs/>
          <w:color w:val="1F3864"/>
          <w:sz w:val="28"/>
          <w:szCs w:val="28"/>
        </w:rPr>
        <w:t xml:space="preserve">1. Project Overview</w:t>
      </w:r>
    </w:p>
    <w:p>
      <w:pPr>
        <w:spacing w:after="80" w:before="80"/>
      </w:pPr>
      <w:r>
        <w:rPr>
          <w:rFonts w:ascii="Arial" w:cs="Arial" w:eastAsia="Arial" w:hAnsi="Arial"/>
          <w:b w:val="false"/>
          <w:bCs w:val="false"/>
          <w:sz w:val="20"/>
          <w:szCs w:val="20"/>
        </w:rPr>
        <w:t xml:space="preserve">NovaCred Financial Services Pvt. Ltd. is an RBI-registered NBFC headquartered in Pune, Maharashtra. NovaCred offers fully digital personal loans, salary-advance products, and buy-now-pay-later (BNPL) credit lines distributed through its mobile-first consumer application and through embedded finance partnerships with e-commerce and salary management platforms.</w:t>
      </w:r>
    </w:p>
    <w:p>
      <w:pPr>
        <w:spacing w:after="80" w:before="80"/>
      </w:pPr>
      <w:r>
        <w:rPr>
          <w:rFonts w:ascii="Arial" w:cs="Arial" w:eastAsia="Arial" w:hAnsi="Arial"/>
          <w:b w:val="false"/>
          <w:bCs w:val="false"/>
          <w:sz w:val="20"/>
          <w:szCs w:val="20"/>
        </w:rPr>
        <w:t xml:space="preserve">NovaCred intends to deploy a real-time credit decisioning engine capable of issuing personal loan approvals within 4 minutes of application submission. This requires the orchestrated integration of identity verification, credit bureau assessment, bank statement analysis, and fraud risk scoring services — all configured and managed through the AI-Assisted Integration Configuration &amp; Orchestration Engine (hereinafter referred to as 'the Platform').</w:t>
      </w:r>
    </w:p>
    <w:p>
      <w:pPr>
        <w:pStyle w:val="Heading2"/>
        <w:spacing w:after="120" w:before="240"/>
      </w:pPr>
      <w:r>
        <w:rPr>
          <w:rFonts w:ascii="Arial" w:cs="Arial" w:eastAsia="Arial" w:hAnsi="Arial"/>
          <w:b/>
          <w:bCs/>
          <w:color w:val="2E74B5"/>
          <w:sz w:val="24"/>
          <w:szCs w:val="24"/>
        </w:rPr>
        <w:t xml:space="preserve">1.1 Business Context</w:t>
      </w:r>
    </w:p>
    <w:p>
      <w:pPr>
        <w:spacing w:after="80" w:before="80"/>
      </w:pPr>
      <w:r>
        <w:rPr>
          <w:rFonts w:ascii="Arial" w:cs="Arial" w:eastAsia="Arial" w:hAnsi="Arial"/>
          <w:b w:val="false"/>
          <w:bCs w:val="false"/>
          <w:sz w:val="20"/>
          <w:szCs w:val="20"/>
        </w:rPr>
        <w:t xml:space="preserve">NovaCred currently processes loan applications through a semi-manual decisioning workflow requiring 2 to 3 business days for disbursement. Applicant drop-off at the underwriting stage exceeds 55%, primarily due to document collection friction and processing delays. The proposed real-time credit engine targets sub-5-minute approvals for eligible applicants, with same-day disbursement capability for pre-approved customers.</w:t>
      </w:r>
    </w:p>
    <w:p>
      <w:pPr>
        <w:pStyle w:val="Heading2"/>
        <w:spacing w:after="120" w:before="240"/>
      </w:pPr>
      <w:r>
        <w:rPr>
          <w:rFonts w:ascii="Arial" w:cs="Arial" w:eastAsia="Arial" w:hAnsi="Arial"/>
          <w:b/>
          <w:bCs/>
          <w:color w:val="2E74B5"/>
          <w:sz w:val="24"/>
          <w:szCs w:val="24"/>
        </w:rPr>
        <w:t xml:space="preserve">1.2 Scope</w:t>
      </w:r>
    </w:p>
    <w:p>
      <w:pPr>
        <w:spacing w:after="80" w:before="80"/>
      </w:pPr>
      <w:r>
        <w:rPr>
          <w:rFonts w:ascii="Arial" w:cs="Arial" w:eastAsia="Arial" w:hAnsi="Arial"/>
          <w:b w:val="false"/>
          <w:bCs w:val="false"/>
          <w:sz w:val="20"/>
          <w:szCs w:val="20"/>
        </w:rPr>
        <w:t xml:space="preserve">This document covers:</w:t>
      </w:r>
    </w:p>
    <w:p>
      <w:pPr>
        <w:pStyle w:val="ListParagraph"/>
        <w:numPr>
          <w:ilvl w:val="0"/>
          <w:numId w:val="2"/>
        </w:numPr>
        <w:spacing w:after="60" w:before="60"/>
      </w:pPr>
      <w:r>
        <w:rPr>
          <w:rFonts w:ascii="Arial" w:cs="Arial" w:eastAsia="Arial" w:hAnsi="Arial"/>
          <w:sz w:val="20"/>
          <w:szCs w:val="20"/>
        </w:rPr>
        <w:t xml:space="preserve">End-to-end personal loan application and credit decisioning workflow</w:t>
      </w:r>
    </w:p>
    <w:p>
      <w:pPr>
        <w:pStyle w:val="ListParagraph"/>
        <w:numPr>
          <w:ilvl w:val="0"/>
          <w:numId w:val="2"/>
        </w:numPr>
        <w:spacing w:after="60" w:before="60"/>
      </w:pPr>
      <w:r>
        <w:rPr>
          <w:rFonts w:ascii="Arial" w:cs="Arial" w:eastAsia="Arial" w:hAnsi="Arial"/>
          <w:sz w:val="20"/>
          <w:szCs w:val="20"/>
        </w:rPr>
        <w:t xml:space="preserve">Third-party API integration requirements for KYC, credit bureau, financial analysis, fraud detection, and SMS communication</w:t>
      </w:r>
    </w:p>
    <w:p>
      <w:pPr>
        <w:pStyle w:val="ListParagraph"/>
        <w:numPr>
          <w:ilvl w:val="0"/>
          <w:numId w:val="2"/>
        </w:numPr>
        <w:spacing w:after="60" w:before="60"/>
      </w:pPr>
      <w:r>
        <w:rPr>
          <w:rFonts w:ascii="Arial" w:cs="Arial" w:eastAsia="Arial" w:hAnsi="Arial"/>
          <w:sz w:val="20"/>
          <w:szCs w:val="20"/>
        </w:rPr>
        <w:t xml:space="preserve">Required applicant data input fields for identity, financial profile, and device context</w:t>
      </w:r>
    </w:p>
    <w:p>
      <w:pPr>
        <w:pStyle w:val="ListParagraph"/>
        <w:numPr>
          <w:ilvl w:val="0"/>
          <w:numId w:val="2"/>
        </w:numPr>
        <w:spacing w:after="60" w:before="60"/>
      </w:pPr>
      <w:r>
        <w:rPr>
          <w:rFonts w:ascii="Arial" w:cs="Arial" w:eastAsia="Arial" w:hAnsi="Arial"/>
          <w:sz w:val="20"/>
          <w:szCs w:val="20"/>
        </w:rPr>
        <w:t xml:space="preserve">Workflow orchestration including sequential and parallel verification steps and retry policies</w:t>
      </w:r>
    </w:p>
    <w:p>
      <w:pPr>
        <w:pStyle w:val="ListParagraph"/>
        <w:numPr>
          <w:ilvl w:val="0"/>
          <w:numId w:val="2"/>
        </w:numPr>
        <w:spacing w:after="60" w:before="60"/>
      </w:pPr>
      <w:r>
        <w:rPr>
          <w:rFonts w:ascii="Arial" w:cs="Arial" w:eastAsia="Arial" w:hAnsi="Arial"/>
          <w:sz w:val="20"/>
          <w:szCs w:val="20"/>
        </w:rPr>
        <w:t xml:space="preserve">Authentication, credential management, and data handling requirements per RBI Digital Lending Guidelines 2022</w:t>
      </w:r>
    </w:p>
    <w:p>
      <w:pPr>
        <w:spacing w:after="80" w:before="80"/>
      </w:pPr>
      <w:r>
        <w:rPr>
          <w:rFonts w:ascii="Arial" w:cs="Arial" w:eastAsia="Arial" w:hAnsi="Arial"/>
          <w:b w:val="false"/>
          <w:bCs w:val="false"/>
          <w:sz w:val="20"/>
          <w:szCs w:val="20"/>
        </w:rPr>
        <w:t xml:space="preserve">Out of scope: loan disbursement and collections workflows, EMI payment gateway integration, and NovaCred's front-end mobile application.</w:t>
      </w:r>
    </w:p>
    <w:p>
      <w:pPr>
        <w:pStyle w:val="Heading1"/>
        <w:spacing w:after="160" w:before="320"/>
      </w:pPr>
      <w:r>
        <w:rPr>
          <w:rFonts w:ascii="Arial" w:cs="Arial" w:eastAsia="Arial" w:hAnsi="Arial"/>
          <w:b/>
          <w:bCs/>
          <w:color w:val="1F3864"/>
          <w:sz w:val="28"/>
          <w:szCs w:val="28"/>
        </w:rPr>
        <w:t xml:space="preserve">2. Business Goals &amp; Objectives</w:t>
      </w:r>
    </w:p>
    <w:p>
      <w:pPr>
        <w:pStyle w:val="Heading2"/>
        <w:spacing w:after="120" w:before="240"/>
      </w:pPr>
      <w:r>
        <w:rPr>
          <w:rFonts w:ascii="Arial" w:cs="Arial" w:eastAsia="Arial" w:hAnsi="Arial"/>
          <w:b/>
          <w:bCs/>
          <w:color w:val="2E74B5"/>
          <w:sz w:val="24"/>
          <w:szCs w:val="24"/>
        </w:rPr>
        <w:t xml:space="preserve">2.1 Primary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 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Goal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BG-01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 average personal loan approval time from 2 business days to under 4 minutes for straight-through-processing (STP) eligible applications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BG-02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 a minimum STP rate of 70% for personal loan applications from applicants aged 21 to 55 with loan amounts up to INR 10 Lakhs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BG-03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 identity fraud and synthetic identity applications through real-time KYC, bureau, and fraud scoring at point of application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BG-04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Comply with RBI Digital Lending Guidelines 2022, DPDP Act 2023, and UIDAI eKYC authentication norms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BG-05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Deliver real-time applicant communication via SMS at all major workflow milestones from application submission to disbursement approval</w:t>
            </w:r>
          </w:p>
        </w:tc>
      </w:tr>
    </w:tbl>
    <w:p>
      <w:pPr>
        <w:pStyle w:val="Heading2"/>
        <w:spacing w:after="120" w:before="240"/>
      </w:pPr>
      <w:r>
        <w:rPr>
          <w:rFonts w:ascii="Arial" w:cs="Arial" w:eastAsia="Arial" w:hAnsi="Arial"/>
          <w:b/>
          <w:bCs/>
          <w:color w:val="2E74B5"/>
          <w:sz w:val="24"/>
          <w:szCs w:val="24"/>
        </w:rPr>
        <w:t xml:space="preserve">2.2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Application-to-Approval Time (STP)</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4 minutes</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 Verification Success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92%</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Bureau Pull Success Rate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97%</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Detection Coverage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of applications</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SMS Notification Delivery Rate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98%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Referral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w:t>
            </w:r>
          </w:p>
        </w:tc>
      </w:tr>
    </w:tbl>
    <w:p>
      <w:pPr>
        <w:pStyle w:val="Heading1"/>
        <w:spacing w:after="160" w:before="320"/>
      </w:pPr>
      <w:r>
        <w:rPr>
          <w:rFonts w:ascii="Arial" w:cs="Arial" w:eastAsia="Arial" w:hAnsi="Arial"/>
          <w:b/>
          <w:bCs/>
          <w:color w:val="1F3864"/>
          <w:sz w:val="28"/>
          <w:szCs w:val="28"/>
        </w:rPr>
        <w:t xml:space="preserve">3. Integration Requirements</w:t>
      </w:r>
    </w:p>
    <w:p>
      <w:pPr>
        <w:spacing w:after="80" w:before="80"/>
      </w:pPr>
      <w:r>
        <w:rPr>
          <w:rFonts w:ascii="Arial" w:cs="Arial" w:eastAsia="Arial" w:hAnsi="Arial"/>
          <w:b w:val="false"/>
          <w:bCs w:val="false"/>
          <w:sz w:val="20"/>
          <w:szCs w:val="20"/>
        </w:rPr>
        <w:t xml:space="preserve">NovaCred requires the following external API integrations to support the digital personal lending decisioning journey. The Platform is required to automatically parse these requirements, determine appropriate field mappings, transformation rules, and orchestration logic, and produce deployment-ready configuration artefacts.</w:t>
      </w:r>
    </w:p>
    <w:p>
      <w:pPr>
        <w:pStyle w:val="Heading2"/>
        <w:spacing w:after="120" w:before="240"/>
      </w:pPr>
      <w:r>
        <w:rPr>
          <w:rFonts w:ascii="Arial" w:cs="Arial" w:eastAsia="Arial" w:hAnsi="Arial"/>
          <w:b/>
          <w:bCs/>
          <w:color w:val="2E74B5"/>
          <w:sz w:val="24"/>
          <w:szCs w:val="24"/>
        </w:rPr>
        <w:t xml:space="preserve">3.1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400"/>
        <w:gridCol w:w="2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KYC Provider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stable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KYC / Identity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Aadhaar eKYC &amp; PAN verification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TransUnion CIBIL Bureau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Bureau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score &amp; bureau report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Account Aggregator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stable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Financial Analysis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Bank statement &amp; income verification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 Analytics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non-beta stable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fraud risk scoring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SMS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non-deprecated stable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 SMS notifications</w:t>
            </w:r>
          </w:p>
        </w:tc>
      </w:tr>
    </w:tbl>
    <w:p>
      <w:pPr>
        <w:spacing w:after="80" w:before="80"/>
      </w:pPr>
      <w:r>
        <w:rPr>
          <w:rFonts w:ascii="Arial" w:cs="Arial" w:eastAsia="Arial" w:hAnsi="Arial"/>
          <w:b/>
          <w:bCs/>
          <w:sz w:val="20"/>
          <w:szCs w:val="20"/>
        </w:rPr>
        <w:t xml:space="preserve">Note: NovaCred does not prescribe specific minor API versions. The Platform is expected to select the most appropriate stable, non-deprecated version for each provider based on its integration catalog, taking into account maturity, sunset timelines, and feature availability.</w:t>
      </w:r>
    </w:p>
    <w:p>
      <w:pPr>
        <w:pStyle w:val="Heading2"/>
        <w:spacing w:after="120" w:before="240"/>
      </w:pPr>
      <w:r>
        <w:rPr>
          <w:rFonts w:ascii="Arial" w:cs="Arial" w:eastAsia="Arial" w:hAnsi="Arial"/>
          <w:b/>
          <w:bCs/>
          <w:color w:val="2E74B5"/>
          <w:sz w:val="24"/>
          <w:szCs w:val="24"/>
        </w:rPr>
        <w:t xml:space="preserve">3.2 Mandatory Integration Requirements</w:t>
      </w:r>
    </w:p>
    <w:p>
      <w:pPr>
        <w:pStyle w:val="Heading2"/>
        <w:spacing w:after="120" w:before="240"/>
      </w:pPr>
      <w:r>
        <w:rPr>
          <w:rFonts w:ascii="Arial" w:cs="Arial" w:eastAsia="Arial" w:hAnsi="Arial"/>
          <w:b/>
          <w:bCs/>
          <w:color w:val="2E74B5"/>
          <w:sz w:val="24"/>
          <w:szCs w:val="24"/>
        </w:rPr>
        <w:t xml:space="preserve">3.2.1 Karza KYC Provider — Identity Verification</w:t>
      </w:r>
    </w:p>
    <w:p>
      <w:pPr>
        <w:spacing w:after="80" w:before="80"/>
      </w:pPr>
      <w:r>
        <w:rPr>
          <w:rFonts w:ascii="Arial" w:cs="Arial" w:eastAsia="Arial" w:hAnsi="Arial"/>
          <w:b w:val="false"/>
          <w:bCs w:val="false"/>
          <w:sz w:val="20"/>
          <w:szCs w:val="20"/>
        </w:rPr>
        <w:t xml:space="preserve">NovaCred requires Aadhaar-based eKYC and PAN verification for all personal loan applicants via Karza Technologies. KYC must be completed as the first step in the decisioning pipeline.</w:t>
      </w:r>
    </w:p>
    <w:p>
      <w:pPr>
        <w:pStyle w:val="ListParagraph"/>
        <w:numPr>
          <w:ilvl w:val="0"/>
          <w:numId w:val="2"/>
        </w:numPr>
        <w:spacing w:after="60" w:before="60"/>
      </w:pPr>
      <w:r>
        <w:rPr>
          <w:rFonts w:ascii="Arial" w:cs="Arial" w:eastAsia="Arial" w:hAnsi="Arial"/>
          <w:sz w:val="20"/>
          <w:szCs w:val="20"/>
        </w:rPr>
        <w:t xml:space="preserve">Perform OTP-based Aadhaar eKYC using the applicant's Aadhaar-linked mobile number</w:t>
      </w:r>
    </w:p>
    <w:p>
      <w:pPr>
        <w:pStyle w:val="ListParagraph"/>
        <w:numPr>
          <w:ilvl w:val="0"/>
          <w:numId w:val="2"/>
        </w:numPr>
        <w:spacing w:after="60" w:before="60"/>
      </w:pPr>
      <w:r>
        <w:rPr>
          <w:rFonts w:ascii="Arial" w:cs="Arial" w:eastAsia="Arial" w:hAnsi="Arial"/>
          <w:sz w:val="20"/>
          <w:szCs w:val="20"/>
        </w:rPr>
        <w:t xml:space="preserve">Validate PAN number and confirm Aadhaar-PAN linkage for PMLA compliance</w:t>
      </w:r>
    </w:p>
    <w:p>
      <w:pPr>
        <w:pStyle w:val="ListParagraph"/>
        <w:numPr>
          <w:ilvl w:val="0"/>
          <w:numId w:val="2"/>
        </w:numPr>
        <w:spacing w:after="60" w:before="60"/>
      </w:pPr>
      <w:r>
        <w:rPr>
          <w:rFonts w:ascii="Arial" w:cs="Arial" w:eastAsia="Arial" w:hAnsi="Arial"/>
          <w:sz w:val="20"/>
          <w:szCs w:val="20"/>
        </w:rPr>
        <w:t xml:space="preserve">Execute liveness check and face match between applicant selfie and Aadhaar-linked photograph</w:t>
      </w:r>
    </w:p>
    <w:p>
      <w:pPr>
        <w:pStyle w:val="ListParagraph"/>
        <w:numPr>
          <w:ilvl w:val="0"/>
          <w:numId w:val="2"/>
        </w:numPr>
        <w:spacing w:after="60" w:before="60"/>
      </w:pPr>
      <w:r>
        <w:rPr>
          <w:rFonts w:ascii="Arial" w:cs="Arial" w:eastAsia="Arial" w:hAnsi="Arial"/>
          <w:sz w:val="20"/>
          <w:szCs w:val="20"/>
        </w:rPr>
        <w:t xml:space="preserve">On KYC failure, route application to Manual Review Queue; do not auto-reject</w:t>
      </w:r>
    </w:p>
    <w:p>
      <w:pPr>
        <w:pStyle w:val="ListParagraph"/>
        <w:numPr>
          <w:ilvl w:val="0"/>
          <w:numId w:val="2"/>
        </w:numPr>
        <w:spacing w:after="60" w:before="60"/>
      </w:pPr>
      <w:r>
        <w:rPr>
          <w:rFonts w:ascii="Arial" w:cs="Arial" w:eastAsia="Arial" w:hAnsi="Arial"/>
          <w:sz w:val="20"/>
          <w:szCs w:val="20"/>
        </w:rPr>
        <w:t xml:space="preserve">All KYC data must be fetched fresh per application with explicit applicant consent</w:t>
      </w:r>
    </w:p>
    <w:p>
      <w:pPr>
        <w:pStyle w:val="ListParagraph"/>
        <w:numPr>
          <w:ilvl w:val="0"/>
          <w:numId w:val="2"/>
        </w:numPr>
        <w:spacing w:after="60" w:before="60"/>
      </w:pPr>
      <w:r>
        <w:rPr>
          <w:rFonts w:ascii="Arial" w:cs="Arial" w:eastAsia="Arial" w:hAnsi="Arial"/>
          <w:sz w:val="20"/>
          <w:szCs w:val="20"/>
        </w:rPr>
        <w:t xml:space="preserve">Authentication: API Key stored in secrets vault; rotation every 90 days per NovaCred security policy</w:t>
      </w:r>
    </w:p>
    <w:p>
      <w:pPr>
        <w:pStyle w:val="Heading2"/>
        <w:spacing w:after="120" w:before="240"/>
      </w:pPr>
      <w:r>
        <w:rPr>
          <w:rFonts w:ascii="Arial" w:cs="Arial" w:eastAsia="Arial" w:hAnsi="Arial"/>
          <w:b/>
          <w:bCs/>
          <w:color w:val="2E74B5"/>
          <w:sz w:val="24"/>
          <w:szCs w:val="24"/>
        </w:rPr>
        <w:t xml:space="preserve">3.2.2 TransUnion CIBIL Bureau — Credit Assessment</w:t>
      </w:r>
    </w:p>
    <w:p>
      <w:pPr>
        <w:spacing w:after="80" w:before="80"/>
      </w:pPr>
      <w:r>
        <w:rPr>
          <w:rFonts w:ascii="Arial" w:cs="Arial" w:eastAsia="Arial" w:hAnsi="Arial"/>
          <w:b w:val="false"/>
          <w:bCs w:val="false"/>
          <w:sz w:val="20"/>
          <w:szCs w:val="20"/>
        </w:rPr>
        <w:t xml:space="preserve">NovaCred requires individual CIBIL credit bureau reports for all personal loan applicants. Bureau pull must be triggered only after successful KYC verification.</w:t>
      </w:r>
    </w:p>
    <w:p>
      <w:pPr>
        <w:pStyle w:val="ListParagraph"/>
        <w:numPr>
          <w:ilvl w:val="0"/>
          <w:numId w:val="2"/>
        </w:numPr>
        <w:spacing w:after="60" w:before="60"/>
      </w:pPr>
      <w:r>
        <w:rPr>
          <w:rFonts w:ascii="Arial" w:cs="Arial" w:eastAsia="Arial" w:hAnsi="Arial"/>
          <w:sz w:val="20"/>
          <w:szCs w:val="20"/>
        </w:rPr>
        <w:t xml:space="preserve">Pull individual credit report using the applicant's government-issued identity number and date of birth</w:t>
      </w:r>
    </w:p>
    <w:p>
      <w:pPr>
        <w:pStyle w:val="ListParagraph"/>
        <w:numPr>
          <w:ilvl w:val="0"/>
          <w:numId w:val="2"/>
        </w:numPr>
        <w:spacing w:after="60" w:before="60"/>
      </w:pPr>
      <w:r>
        <w:rPr>
          <w:rFonts w:ascii="Arial" w:cs="Arial" w:eastAsia="Arial" w:hAnsi="Arial"/>
          <w:sz w:val="20"/>
          <w:szCs w:val="20"/>
        </w:rPr>
        <w:t xml:space="preserve">Retrieve credit score, active loan accounts, total outstanding balance, and delinquency history</w:t>
      </w:r>
    </w:p>
    <w:p>
      <w:pPr>
        <w:pStyle w:val="ListParagraph"/>
        <w:numPr>
          <w:ilvl w:val="0"/>
          <w:numId w:val="2"/>
        </w:numPr>
        <w:spacing w:after="60" w:before="60"/>
      </w:pPr>
      <w:r>
        <w:rPr>
          <w:rFonts w:ascii="Arial" w:cs="Arial" w:eastAsia="Arial" w:hAnsi="Arial"/>
          <w:sz w:val="20"/>
          <w:szCs w:val="20"/>
        </w:rPr>
        <w:t xml:space="preserve">If score is below NovaCred's internal threshold, route to Manual Review Queue</w:t>
      </w:r>
    </w:p>
    <w:p>
      <w:pPr>
        <w:pStyle w:val="ListParagraph"/>
        <w:numPr>
          <w:ilvl w:val="0"/>
          <w:numId w:val="2"/>
        </w:numPr>
        <w:spacing w:after="60" w:before="60"/>
      </w:pPr>
      <w:r>
        <w:rPr>
          <w:rFonts w:ascii="Arial" w:cs="Arial" w:eastAsia="Arial" w:hAnsi="Arial"/>
          <w:sz w:val="20"/>
          <w:szCs w:val="20"/>
        </w:rPr>
        <w:t xml:space="preserve">A no-hit result (no credit history) must not trigger automatic rejection; route to Manual Review Queue</w:t>
      </w:r>
    </w:p>
    <w:p>
      <w:pPr>
        <w:pStyle w:val="ListParagraph"/>
        <w:numPr>
          <w:ilvl w:val="0"/>
          <w:numId w:val="2"/>
        </w:numPr>
        <w:spacing w:after="60" w:before="60"/>
      </w:pPr>
      <w:r>
        <w:rPr>
          <w:rFonts w:ascii="Arial" w:cs="Arial" w:eastAsia="Arial" w:hAnsi="Arial"/>
          <w:sz w:val="20"/>
          <w:szCs w:val="20"/>
        </w:rPr>
        <w:t xml:space="preserve">Retry once on HTTP 5xx or timeout before routing to Manual Review Queue</w:t>
      </w:r>
    </w:p>
    <w:p>
      <w:pPr>
        <w:pStyle w:val="ListParagraph"/>
        <w:numPr>
          <w:ilvl w:val="0"/>
          <w:numId w:val="2"/>
        </w:numPr>
        <w:spacing w:after="60" w:before="60"/>
      </w:pPr>
      <w:r>
        <w:rPr>
          <w:rFonts w:ascii="Arial" w:cs="Arial" w:eastAsia="Arial" w:hAnsi="Arial"/>
          <w:sz w:val="20"/>
          <w:szCs w:val="20"/>
        </w:rPr>
        <w:t xml:space="preserve">Authentication: OAuth 2.0 Client Credentials flow; credentials stored in secrets vault</w:t>
      </w:r>
    </w:p>
    <w:p>
      <w:pPr>
        <w:pStyle w:val="Heading2"/>
        <w:spacing w:after="120" w:before="240"/>
      </w:pPr>
      <w:r>
        <w:rPr>
          <w:rFonts w:ascii="Arial" w:cs="Arial" w:eastAsia="Arial" w:hAnsi="Arial"/>
          <w:b/>
          <w:bCs/>
          <w:color w:val="2E74B5"/>
          <w:sz w:val="24"/>
          <w:szCs w:val="24"/>
        </w:rPr>
        <w:t xml:space="preserve">3.2.3 Perfios Account Aggregator — Financial Verification</w:t>
      </w:r>
    </w:p>
    <w:p>
      <w:pPr>
        <w:spacing w:after="80" w:before="80"/>
      </w:pPr>
      <w:r>
        <w:rPr>
          <w:rFonts w:ascii="Arial" w:cs="Arial" w:eastAsia="Arial" w:hAnsi="Arial"/>
          <w:b w:val="false"/>
          <w:bCs w:val="false"/>
          <w:sz w:val="20"/>
          <w:szCs w:val="20"/>
        </w:rPr>
        <w:t xml:space="preserve">NovaCred requires bank statement analysis via the Account Aggregator framework through Perfios. This must run in parallel with the CIBIL bureau pull after successful KYC.</w:t>
      </w:r>
    </w:p>
    <w:p>
      <w:pPr>
        <w:pStyle w:val="ListParagraph"/>
        <w:numPr>
          <w:ilvl w:val="0"/>
          <w:numId w:val="2"/>
        </w:numPr>
        <w:spacing w:after="60" w:before="60"/>
      </w:pPr>
      <w:r>
        <w:rPr>
          <w:rFonts w:ascii="Arial" w:cs="Arial" w:eastAsia="Arial" w:hAnsi="Arial"/>
          <w:sz w:val="20"/>
          <w:szCs w:val="20"/>
        </w:rPr>
        <w:t xml:space="preserve">Initiate AA consent request for 6 months of bank statement data from the applicant's nominated bank</w:t>
      </w:r>
    </w:p>
    <w:p>
      <w:pPr>
        <w:pStyle w:val="ListParagraph"/>
        <w:numPr>
          <w:ilvl w:val="0"/>
          <w:numId w:val="2"/>
        </w:numPr>
        <w:spacing w:after="60" w:before="60"/>
      </w:pPr>
      <w:r>
        <w:rPr>
          <w:rFonts w:ascii="Arial" w:cs="Arial" w:eastAsia="Arial" w:hAnsi="Arial"/>
          <w:sz w:val="20"/>
          <w:szCs w:val="20"/>
        </w:rPr>
        <w:t xml:space="preserve">Retrieve average monthly inflow, salary credits, existing EMI obligations, and cash irregularity indicators</w:t>
      </w:r>
    </w:p>
    <w:p>
      <w:pPr>
        <w:pStyle w:val="ListParagraph"/>
        <w:numPr>
          <w:ilvl w:val="0"/>
          <w:numId w:val="2"/>
        </w:numPr>
        <w:spacing w:after="60" w:before="60"/>
      </w:pPr>
      <w:r>
        <w:rPr>
          <w:rFonts w:ascii="Arial" w:cs="Arial" w:eastAsia="Arial" w:hAnsi="Arial"/>
          <w:sz w:val="20"/>
          <w:szCs w:val="20"/>
        </w:rPr>
        <w:t xml:space="preserve">If applicant declines AA consent or data is unavailable, fall back to manual income document review</w:t>
      </w:r>
    </w:p>
    <w:p>
      <w:pPr>
        <w:pStyle w:val="ListParagraph"/>
        <w:numPr>
          <w:ilvl w:val="0"/>
          <w:numId w:val="2"/>
        </w:numPr>
        <w:spacing w:after="60" w:before="60"/>
      </w:pPr>
      <w:r>
        <w:rPr>
          <w:rFonts w:ascii="Arial" w:cs="Arial" w:eastAsia="Arial" w:hAnsi="Arial"/>
          <w:sz w:val="20"/>
          <w:szCs w:val="20"/>
        </w:rPr>
        <w:t xml:space="preserve">Poll for consent completion up to 3 times at 2-minute intervals before routing to Manual Financial Review Queue</w:t>
      </w:r>
    </w:p>
    <w:p>
      <w:pPr>
        <w:pStyle w:val="ListParagraph"/>
        <w:numPr>
          <w:ilvl w:val="0"/>
          <w:numId w:val="2"/>
        </w:numPr>
        <w:spacing w:after="60" w:before="60"/>
      </w:pPr>
      <w:r>
        <w:rPr>
          <w:rFonts w:ascii="Arial" w:cs="Arial" w:eastAsia="Arial" w:hAnsi="Arial"/>
          <w:sz w:val="20"/>
          <w:szCs w:val="20"/>
        </w:rPr>
        <w:t xml:space="preserve">Authentication: OAuth 2.0 Client Credentials; AA consent tokens are applicant-scoped and session-bound</w:t>
      </w:r>
    </w:p>
    <w:p>
      <w:pPr>
        <w:pStyle w:val="Heading2"/>
        <w:spacing w:after="120" w:before="240"/>
      </w:pPr>
      <w:r>
        <w:rPr>
          <w:rFonts w:ascii="Arial" w:cs="Arial" w:eastAsia="Arial" w:hAnsi="Arial"/>
          <w:b/>
          <w:bCs/>
          <w:color w:val="2E74B5"/>
          <w:sz w:val="24"/>
          <w:szCs w:val="24"/>
        </w:rPr>
        <w:t xml:space="preserve">3.2.4 RiskGuard Analytics Engine — Fraud Risk Scoring</w:t>
      </w:r>
    </w:p>
    <w:p>
      <w:pPr>
        <w:spacing w:after="80" w:before="80"/>
      </w:pPr>
      <w:r>
        <w:rPr>
          <w:rFonts w:ascii="Arial" w:cs="Arial" w:eastAsia="Arial" w:hAnsi="Arial"/>
          <w:b w:val="false"/>
          <w:bCs w:val="false"/>
          <w:sz w:val="20"/>
          <w:szCs w:val="20"/>
        </w:rPr>
        <w:t xml:space="preserve">NovaCred mandates real-time fraud scoring on all applications. RiskGuard must run in parallel with KYC at application initiation and must not block the KYC step.</w:t>
      </w:r>
    </w:p>
    <w:p>
      <w:pPr>
        <w:pStyle w:val="ListParagraph"/>
        <w:numPr>
          <w:ilvl w:val="0"/>
          <w:numId w:val="2"/>
        </w:numPr>
        <w:spacing w:after="60" w:before="60"/>
      </w:pPr>
      <w:r>
        <w:rPr>
          <w:rFonts w:ascii="Arial" w:cs="Arial" w:eastAsia="Arial" w:hAnsi="Arial"/>
          <w:sz w:val="20"/>
          <w:szCs w:val="20"/>
        </w:rPr>
        <w:t xml:space="preserve">Submit applicant identity reference, mobile number, originating IP, device session hash, and requested loan principal to RiskGuard</w:t>
      </w:r>
    </w:p>
    <w:p>
      <w:pPr>
        <w:pStyle w:val="ListParagraph"/>
        <w:numPr>
          <w:ilvl w:val="0"/>
          <w:numId w:val="2"/>
        </w:numPr>
        <w:spacing w:after="60" w:before="60"/>
      </w:pPr>
      <w:r>
        <w:rPr>
          <w:rFonts w:ascii="Arial" w:cs="Arial" w:eastAsia="Arial" w:hAnsi="Arial"/>
          <w:sz w:val="20"/>
          <w:szCs w:val="20"/>
        </w:rPr>
        <w:t xml:space="preserve">Receive fraud risk score and risk band classification</w:t>
      </w:r>
    </w:p>
    <w:p>
      <w:pPr>
        <w:pStyle w:val="ListParagraph"/>
        <w:numPr>
          <w:ilvl w:val="0"/>
          <w:numId w:val="2"/>
        </w:numPr>
        <w:spacing w:after="60" w:before="60"/>
      </w:pPr>
      <w:r>
        <w:rPr>
          <w:rFonts w:ascii="Arial" w:cs="Arial" w:eastAsia="Arial" w:hAnsi="Arial"/>
          <w:sz w:val="20"/>
          <w:szCs w:val="20"/>
        </w:rPr>
        <w:t xml:space="preserve">Score &gt;= 75: Immediately suspend processing; escalate to Fraud Investigation Team</w:t>
      </w:r>
    </w:p>
    <w:p>
      <w:pPr>
        <w:pStyle w:val="ListParagraph"/>
        <w:numPr>
          <w:ilvl w:val="0"/>
          <w:numId w:val="2"/>
        </w:numPr>
        <w:spacing w:after="60" w:before="60"/>
      </w:pPr>
      <w:r>
        <w:rPr>
          <w:rFonts w:ascii="Arial" w:cs="Arial" w:eastAsia="Arial" w:hAnsi="Arial"/>
          <w:sz w:val="20"/>
          <w:szCs w:val="20"/>
        </w:rPr>
        <w:t xml:space="preserve">Score 50–74: Apply Enhanced Due Diligence (EDD) flag; continue with mandatory manual review at final decision</w:t>
      </w:r>
    </w:p>
    <w:p>
      <w:pPr>
        <w:pStyle w:val="ListParagraph"/>
        <w:numPr>
          <w:ilvl w:val="0"/>
          <w:numId w:val="2"/>
        </w:numPr>
        <w:spacing w:after="60" w:before="60"/>
      </w:pPr>
      <w:r>
        <w:rPr>
          <w:rFonts w:ascii="Arial" w:cs="Arial" w:eastAsia="Arial" w:hAnsi="Arial"/>
          <w:sz w:val="20"/>
          <w:szCs w:val="20"/>
        </w:rPr>
        <w:t xml:space="preserve">Score 25–49: Apply watchlist flag; continue automated processing</w:t>
      </w:r>
    </w:p>
    <w:p>
      <w:pPr>
        <w:pStyle w:val="ListParagraph"/>
        <w:numPr>
          <w:ilvl w:val="0"/>
          <w:numId w:val="2"/>
        </w:numPr>
        <w:spacing w:after="60" w:before="60"/>
      </w:pPr>
      <w:r>
        <w:rPr>
          <w:rFonts w:ascii="Arial" w:cs="Arial" w:eastAsia="Arial" w:hAnsi="Arial"/>
          <w:sz w:val="20"/>
          <w:szCs w:val="20"/>
        </w:rPr>
        <w:t xml:space="preserve">Score &lt; 25: Continue normal STP processing</w:t>
      </w:r>
    </w:p>
    <w:p>
      <w:pPr>
        <w:pStyle w:val="ListParagraph"/>
        <w:numPr>
          <w:ilvl w:val="0"/>
          <w:numId w:val="2"/>
        </w:numPr>
        <w:spacing w:after="60" w:before="60"/>
      </w:pPr>
      <w:r>
        <w:rPr>
          <w:rFonts w:ascii="Arial" w:cs="Arial" w:eastAsia="Arial" w:hAnsi="Arial"/>
          <w:sz w:val="20"/>
          <w:szCs w:val="20"/>
        </w:rPr>
        <w:t xml:space="preserve">If RiskGuard is unavailable after one retry, apply EDD flag and continue; must not block pipeline</w:t>
      </w:r>
    </w:p>
    <w:p>
      <w:pPr>
        <w:pStyle w:val="ListParagraph"/>
        <w:numPr>
          <w:ilvl w:val="0"/>
          <w:numId w:val="2"/>
        </w:numPr>
        <w:spacing w:after="60" w:before="60"/>
      </w:pPr>
      <w:r>
        <w:rPr>
          <w:rFonts w:ascii="Arial" w:cs="Arial" w:eastAsia="Arial" w:hAnsi="Arial"/>
          <w:sz w:val="20"/>
          <w:szCs w:val="20"/>
        </w:rPr>
        <w:t xml:space="preserve">Authentication: Bearer token stored in secrets vault</w:t>
      </w:r>
    </w:p>
    <w:p>
      <w:pPr>
        <w:pStyle w:val="Heading2"/>
        <w:spacing w:after="120" w:before="240"/>
      </w:pPr>
      <w:r>
        <w:rPr>
          <w:rFonts w:ascii="Arial" w:cs="Arial" w:eastAsia="Arial" w:hAnsi="Arial"/>
          <w:b/>
          <w:bCs/>
          <w:color w:val="2E74B5"/>
          <w:sz w:val="24"/>
          <w:szCs w:val="24"/>
        </w:rPr>
        <w:t xml:space="preserve">3.2.5 Twilio SMS — Applicant Communication</w:t>
      </w:r>
    </w:p>
    <w:p>
      <w:pPr>
        <w:spacing w:after="80" w:before="80"/>
      </w:pPr>
      <w:r>
        <w:rPr>
          <w:rFonts w:ascii="Arial" w:cs="Arial" w:eastAsia="Arial" w:hAnsi="Arial"/>
          <w:b w:val="false"/>
          <w:bCs w:val="false"/>
          <w:sz w:val="20"/>
          <w:szCs w:val="20"/>
        </w:rPr>
        <w:t xml:space="preserve">NovaCred requires transactional SMS notifications via Twilio at defined milestones. All SMS must use DLT-registered Sender ID 'NCRDLP'. SMS failure must not block any workflow step.</w:t>
      </w:r>
    </w:p>
    <w:p>
      <w:pPr>
        <w:pStyle w:val="ListParagraph"/>
        <w:numPr>
          <w:ilvl w:val="0"/>
          <w:numId w:val="2"/>
        </w:numPr>
        <w:spacing w:after="60" w:before="60"/>
      </w:pPr>
      <w:r>
        <w:rPr>
          <w:rFonts w:ascii="Arial" w:cs="Arial" w:eastAsia="Arial" w:hAnsi="Arial"/>
          <w:sz w:val="20"/>
          <w:szCs w:val="20"/>
        </w:rPr>
        <w:t xml:space="preserve">Send SMS on application submission with reference number</w:t>
      </w:r>
    </w:p>
    <w:p>
      <w:pPr>
        <w:pStyle w:val="ListParagraph"/>
        <w:numPr>
          <w:ilvl w:val="0"/>
          <w:numId w:val="2"/>
        </w:numPr>
        <w:spacing w:after="60" w:before="60"/>
      </w:pPr>
      <w:r>
        <w:rPr>
          <w:rFonts w:ascii="Arial" w:cs="Arial" w:eastAsia="Arial" w:hAnsi="Arial"/>
          <w:sz w:val="20"/>
          <w:szCs w:val="20"/>
        </w:rPr>
        <w:t xml:space="preserve">Send SMS on successful KYC completion</w:t>
      </w:r>
    </w:p>
    <w:p>
      <w:pPr>
        <w:pStyle w:val="ListParagraph"/>
        <w:numPr>
          <w:ilvl w:val="0"/>
          <w:numId w:val="2"/>
        </w:numPr>
        <w:spacing w:after="60" w:before="60"/>
      </w:pPr>
      <w:r>
        <w:rPr>
          <w:rFonts w:ascii="Arial" w:cs="Arial" w:eastAsia="Arial" w:hAnsi="Arial"/>
          <w:sz w:val="20"/>
          <w:szCs w:val="20"/>
        </w:rPr>
        <w:t xml:space="preserve">Send SMS with AA consent link when Perfios consent request is generated</w:t>
      </w:r>
    </w:p>
    <w:p>
      <w:pPr>
        <w:pStyle w:val="ListParagraph"/>
        <w:numPr>
          <w:ilvl w:val="0"/>
          <w:numId w:val="2"/>
        </w:numPr>
        <w:spacing w:after="60" w:before="60"/>
      </w:pPr>
      <w:r>
        <w:rPr>
          <w:rFonts w:ascii="Arial" w:cs="Arial" w:eastAsia="Arial" w:hAnsi="Arial"/>
          <w:sz w:val="20"/>
          <w:szCs w:val="20"/>
        </w:rPr>
        <w:t xml:space="preserve">Send SMS on loan approval with approved amount and next steps</w:t>
      </w:r>
    </w:p>
    <w:p>
      <w:pPr>
        <w:pStyle w:val="ListParagraph"/>
        <w:numPr>
          <w:ilvl w:val="0"/>
          <w:numId w:val="2"/>
        </w:numPr>
        <w:spacing w:after="60" w:before="60"/>
      </w:pPr>
      <w:r>
        <w:rPr>
          <w:rFonts w:ascii="Arial" w:cs="Arial" w:eastAsia="Arial" w:hAnsi="Arial"/>
          <w:sz w:val="20"/>
          <w:szCs w:val="20"/>
        </w:rPr>
        <w:t xml:space="preserve">Send SMS if application is referred to manual review with expected turnaround</w:t>
      </w:r>
    </w:p>
    <w:p>
      <w:pPr>
        <w:pStyle w:val="ListParagraph"/>
        <w:numPr>
          <w:ilvl w:val="0"/>
          <w:numId w:val="2"/>
        </w:numPr>
        <w:spacing w:after="60" w:before="60"/>
      </w:pPr>
      <w:r>
        <w:rPr>
          <w:rFonts w:ascii="Arial" w:cs="Arial" w:eastAsia="Arial" w:hAnsi="Arial"/>
          <w:sz w:val="20"/>
          <w:szCs w:val="20"/>
        </w:rPr>
        <w:t xml:space="preserve">Send SMS if application is suspended due to fraud risk escalation</w:t>
      </w:r>
    </w:p>
    <w:p>
      <w:pPr>
        <w:pStyle w:val="ListParagraph"/>
        <w:numPr>
          <w:ilvl w:val="0"/>
          <w:numId w:val="2"/>
        </w:numPr>
        <w:spacing w:after="60" w:before="60"/>
      </w:pPr>
      <w:r>
        <w:rPr>
          <w:rFonts w:ascii="Arial" w:cs="Arial" w:eastAsia="Arial" w:hAnsi="Arial"/>
          <w:sz w:val="20"/>
          <w:szCs w:val="20"/>
        </w:rPr>
        <w:t xml:space="preserve">Retry 2 times on delivery failure at 3-minute intervals; log non-delivery for compliance audit</w:t>
      </w:r>
    </w:p>
    <w:p>
      <w:pPr>
        <w:pStyle w:val="ListParagraph"/>
        <w:numPr>
          <w:ilvl w:val="0"/>
          <w:numId w:val="2"/>
        </w:numPr>
        <w:spacing w:after="60" w:before="60"/>
      </w:pPr>
      <w:r>
        <w:rPr>
          <w:rFonts w:ascii="Arial" w:cs="Arial" w:eastAsia="Arial" w:hAnsi="Arial"/>
          <w:sz w:val="20"/>
          <w:szCs w:val="20"/>
        </w:rPr>
        <w:t xml:space="preserve">Authentication: Account SID and Auth Token stored in secrets vault; all calls over HTTPS</w:t>
      </w:r>
    </w:p>
    <w:p>
      <w:pPr>
        <w:pStyle w:val="Heading1"/>
        <w:spacing w:after="160" w:before="320"/>
      </w:pPr>
      <w:r>
        <w:rPr>
          <w:rFonts w:ascii="Arial" w:cs="Arial" w:eastAsia="Arial" w:hAnsi="Arial"/>
          <w:b/>
          <w:bCs/>
          <w:color w:val="1F3864"/>
          <w:sz w:val="28"/>
          <w:szCs w:val="28"/>
        </w:rPr>
        <w:t xml:space="preserve">4. Applicant Data Input Requirements</w:t>
      </w:r>
    </w:p>
    <w:p>
      <w:pPr>
        <w:spacing w:after="80" w:before="80"/>
      </w:pPr>
      <w:r>
        <w:rPr>
          <w:rFonts w:ascii="Arial" w:cs="Arial" w:eastAsia="Arial" w:hAnsi="Arial"/>
          <w:b w:val="false"/>
          <w:bCs w:val="false"/>
          <w:sz w:val="20"/>
          <w:szCs w:val="20"/>
        </w:rPr>
        <w:t xml:space="preserve">The following fields are collected from the personal loan applicant during the digital application journey. The Platform is expected to automatically determine how each field maps to the corresponding integration API parameters. Field names below reflect NovaCred's internal applicant data model and may differ from vendor API parameter names.</w:t>
      </w:r>
    </w:p>
    <w:p>
      <w:pPr>
        <w:pStyle w:val="Heading2"/>
        <w:spacing w:after="120" w:before="240"/>
      </w:pPr>
      <w:r>
        <w:rPr>
          <w:rFonts w:ascii="Arial" w:cs="Arial" w:eastAsia="Arial" w:hAnsi="Arial"/>
          <w:b/>
          <w:bCs/>
          <w:color w:val="2E74B5"/>
          <w:sz w:val="24"/>
          <w:szCs w:val="24"/>
        </w:rPr>
        <w:t xml:space="preserve">4.1 Identity &amp; Contact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Validation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applicant_full_name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 as per Aadhaar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Legal name for KYC matching and bureau pull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applicant_phone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10-digit Indian 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Aadhaar-linked mobile for eKYC OTP and SMS notifications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applicant_email_id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 email format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 loan agreement delivery and digital communication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dob_dd_mm_yyyy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DD/MM/YYYY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birth; used for bureau pull and age eligibility check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pan_id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AAAAA9999A format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Permanent Account Number for bureau pull, KYC, and AML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aadhaar_uid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12-digit numeric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Karza eKYC; to be masked in all logs and storage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home_address_text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Multi-line address string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Current residential address for bureau and risk zone mapping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address_pincode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6-digit numeric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serviceability check and regional risk classification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kyc_consent_flag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Boolean (true/false)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Explicit consent for Aadhaar eKYC; must be captured before Karza API is called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bureau_consent_flag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(true/false)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consent for CIBIL enquiry under CICRA 2005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aa_data_consent_flag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Boolean (true/false)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Explicit consent for Account Aggregator financial data sharing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request_ip_address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IPv4 or IPv6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Originating IP captured at submission; submitted to RiskGuard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session_device_hash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System-generated string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 fingerprint submitted to RiskGuard if available</w:t>
            </w:r>
          </w:p>
        </w:tc>
      </w:tr>
    </w:tbl>
    <w:p>
      <w:pPr>
        <w:pStyle w:val="Heading2"/>
        <w:spacing w:after="120" w:before="240"/>
      </w:pPr>
      <w:r>
        <w:rPr>
          <w:rFonts w:ascii="Arial" w:cs="Arial" w:eastAsia="Arial" w:hAnsi="Arial"/>
          <w:b/>
          <w:bCs/>
          <w:color w:val="2E74B5"/>
          <w:sz w:val="24"/>
          <w:szCs w:val="24"/>
        </w:rPr>
        <w:t xml:space="preserve">4.2 Financial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Validation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work_type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Salaried / Self-Employed / Business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Determines income verification pathway and Perfios analysis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monthly_take_home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INR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Self-declared monthly net income; cross-verified against Perfios bank analysis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loan_ask_amount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 INR, min 10,000 max 10,00,000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Requested loan principal; submitted to RiskGuard for fraud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repayment_months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6 to 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Desired loan tenure in months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savings_account_num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 to 18 digit numeric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 bank account for Perfios AA financial data linkage and EMI auto-debit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bank_branch_ifsc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11-character alphanumeric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correspond to a valid RBI-registered bank branch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active_loan_count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 0 to 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Self-declared number of active loans; cross-verified with CIBIL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 or business name; used for risk zone assessment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preferred_bank_for_aa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 (bank name)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Applicant's preferred bank for AA consent initiation; defaults to all linked FIPs if not provided</w:t>
            </w:r>
          </w:p>
        </w:tc>
      </w:tr>
    </w:tbl>
    <w:p>
      <w:pPr>
        <w:pStyle w:val="Heading1"/>
        <w:spacing w:after="160" w:before="320"/>
      </w:pPr>
      <w:r>
        <w:rPr>
          <w:rFonts w:ascii="Arial" w:cs="Arial" w:eastAsia="Arial" w:hAnsi="Arial"/>
          <w:b/>
          <w:bCs/>
          <w:color w:val="1F3864"/>
          <w:sz w:val="28"/>
          <w:szCs w:val="28"/>
        </w:rPr>
        <w:t xml:space="preserve">5. Credit Decisioning Workflow</w:t>
      </w:r>
    </w:p>
    <w:p>
      <w:pPr>
        <w:spacing w:after="80" w:before="80"/>
      </w:pPr>
      <w:r>
        <w:rPr>
          <w:rFonts w:ascii="Arial" w:cs="Arial" w:eastAsia="Arial" w:hAnsi="Arial"/>
          <w:b w:val="false"/>
          <w:bCs w:val="false"/>
          <w:sz w:val="20"/>
          <w:szCs w:val="20"/>
        </w:rPr>
        <w:t xml:space="preserve">The following describes the end-to-end applicant journey for digital personal loan decisioning. The workflow is designed for straight-through processing where all verifications pass automated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 submits digital loan application with all required fields from Section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validates input field format and completeness before invoking any external API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RiskGuard fraud scoring initiated in parallel with Karza KYC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Karza KYC verification — Aadhaar eKYC, PAN verification, liveness and face match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 consent request and CIBIL bureau pull initiated in parallel after successful KYC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Perfios financial analysis and CIBIL report retrieval completed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7</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Automated credit decisioning engine evaluates all verification outputs and risk scores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approval notification via SMS; loan agreement generated</w:t>
            </w:r>
          </w:p>
        </w:tc>
      </w:tr>
    </w:tbl>
    <w:p>
      <w:pPr>
        <w:pStyle w:val="Heading1"/>
        <w:spacing w:after="160" w:before="320"/>
      </w:pPr>
      <w:r>
        <w:rPr>
          <w:rFonts w:ascii="Arial" w:cs="Arial" w:eastAsia="Arial" w:hAnsi="Arial"/>
          <w:b/>
          <w:bCs/>
          <w:color w:val="1F3864"/>
          <w:sz w:val="28"/>
          <w:szCs w:val="28"/>
        </w:rPr>
        <w:t xml:space="preserve">6. Retry &amp; Fallback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Retry Policy &amp; Fallback Behaviour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(KYC)</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retry for eKYC OTP step — single attempt per session. On failure: route to Manual Review Queue. Fresh consent required for any re-attempt.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CIBIL (Bureau)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1 time on HTTP 5xx or timeout. On second failure: route to Manual Review Queue. No-hit must not trigger rejection.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Poll for AA consent up to 3 times at 2-minute intervals. If incomplete: route to Manual Financial Review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 (Fraud)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once after 30-second interval. On second failure: apply EDD flag and continue. Must not block pipeline.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(SMS)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Retry 2 times on delivery failure at 3-minute intervals. Non-delivery must not block any workflow step.</w:t>
            </w:r>
          </w:p>
        </w:tc>
      </w:tr>
    </w:tbl>
    <w:p>
      <w:pPr>
        <w:pStyle w:val="Heading1"/>
        <w:spacing w:after="160" w:before="320"/>
      </w:pPr>
      <w:r>
        <w:rPr>
          <w:rFonts w:ascii="Arial" w:cs="Arial" w:eastAsia="Arial" w:hAnsi="Arial"/>
          <w:b/>
          <w:bCs/>
          <w:color w:val="1F3864"/>
          <w:sz w:val="28"/>
          <w:szCs w:val="28"/>
        </w:rPr>
        <w:t xml:space="preserve">7. Authentication &amp;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Authentication Method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KYC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Key stored in secrets vault; rotation every 90 days; passed as request header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CIBIL Bureau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Client Credentials flow; credentials stored in secrets vault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OAuth 2.0 Client Credentials for Perfios API; AA consent tokens are applicant-scoped and session-bound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token stored in secrets vault; EDD fallback if authentication fails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SMS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 SID and Auth Token stored in secrets vault; all calls over HTTPS only</w:t>
            </w:r>
          </w:p>
        </w:tc>
      </w:tr>
    </w:tbl>
    <w:p>
      <w:pPr>
        <w:spacing w:after="80" w:before="80"/>
      </w:pPr>
      <w:r>
        <w:rPr>
          <w:rFonts w:ascii="Arial" w:cs="Arial" w:eastAsia="Arial" w:hAnsi="Arial"/>
          <w:b w:val="false"/>
          <w:bCs w:val="false"/>
          <w:sz w:val="20"/>
          <w:szCs w:val="20"/>
        </w:rPr>
        <w:t xml:space="preserve">General requirements: All credentials must be stored in a designated secrets vault and never hardcoded. Aadhaar numbers must be masked in all logs. PAN numbers must be masked in logs. All inter-service communication must use TLS 1.2 or higher.</w:t>
      </w:r>
    </w:p>
    <w:p>
      <w:pPr>
        <w:pStyle w:val="Heading1"/>
        <w:spacing w:after="160" w:before="320"/>
      </w:pPr>
      <w:r>
        <w:rPr>
          <w:rFonts w:ascii="Arial" w:cs="Arial" w:eastAsia="Arial" w:hAnsi="Arial"/>
          <w:b/>
          <w:bCs/>
          <w:color w:val="1F3864"/>
          <w:sz w:val="28"/>
          <w:szCs w:val="28"/>
        </w:rPr>
        <w:t xml:space="preserve">8. Hook &amp; Lifecycle Requirements</w:t>
      </w:r>
    </w:p>
    <w:p>
      <w:pPr>
        <w:spacing w:after="80" w:before="80"/>
      </w:pPr>
      <w:r>
        <w:rPr>
          <w:rFonts w:ascii="Arial" w:cs="Arial" w:eastAsia="Arial" w:hAnsi="Arial"/>
          <w:b w:val="false"/>
          <w:bCs w:val="false"/>
          <w:sz w:val="20"/>
          <w:szCs w:val="20"/>
        </w:rPr>
        <w:t xml:space="preserve">The Platform is required to automatically configure the appropriate integration lifecycle hooks based on the requirements in this document.</w:t>
      </w:r>
    </w:p>
    <w:p>
      <w:pPr>
        <w:pStyle w:val="Heading2"/>
        <w:spacing w:after="120" w:before="240"/>
      </w:pPr>
      <w:r>
        <w:rPr>
          <w:rFonts w:ascii="Arial" w:cs="Arial" w:eastAsia="Arial" w:hAnsi="Arial"/>
          <w:b/>
          <w:bCs/>
          <w:color w:val="2E74B5"/>
          <w:sz w:val="24"/>
          <w:szCs w:val="24"/>
        </w:rPr>
        <w:t xml:space="preserve">8.1 Pre-Call Hooks</w:t>
      </w:r>
    </w:p>
    <w:p>
      <w:pPr>
        <w:pStyle w:val="ListParagraph"/>
        <w:numPr>
          <w:ilvl w:val="0"/>
          <w:numId w:val="2"/>
        </w:numPr>
        <w:spacing w:after="60" w:before="60"/>
      </w:pPr>
      <w:r>
        <w:rPr>
          <w:rFonts w:ascii="Arial" w:cs="Arial" w:eastAsia="Arial" w:hAnsi="Arial"/>
          <w:sz w:val="20"/>
          <w:szCs w:val="20"/>
        </w:rPr>
        <w:t xml:space="preserve">Credential resolution must occur immediately before every API call; credentials fetched from vault and not cached beyond a single request</w:t>
      </w:r>
    </w:p>
    <w:p>
      <w:pPr>
        <w:pStyle w:val="ListParagraph"/>
        <w:numPr>
          <w:ilvl w:val="0"/>
          <w:numId w:val="2"/>
        </w:numPr>
        <w:spacing w:after="60" w:before="60"/>
      </w:pPr>
      <w:r>
        <w:rPr>
          <w:rFonts w:ascii="Arial" w:cs="Arial" w:eastAsia="Arial" w:hAnsi="Arial"/>
          <w:sz w:val="20"/>
          <w:szCs w:val="20"/>
        </w:rPr>
        <w:t xml:space="preserve">Field-level encryption must be applied to Aadhaar numbers, PAN numbers, and bank account numbers before inclusion in outbound payloads</w:t>
      </w:r>
    </w:p>
    <w:p>
      <w:pPr>
        <w:pStyle w:val="ListParagraph"/>
        <w:numPr>
          <w:ilvl w:val="0"/>
          <w:numId w:val="2"/>
        </w:numPr>
        <w:spacing w:after="60" w:before="60"/>
      </w:pPr>
      <w:r>
        <w:rPr>
          <w:rFonts w:ascii="Arial" w:cs="Arial" w:eastAsia="Arial" w:hAnsi="Arial"/>
          <w:sz w:val="20"/>
          <w:szCs w:val="20"/>
        </w:rPr>
        <w:t xml:space="preserve">Rate limit guard checks must execute before every call to CIBIL and Perfios; calls must be queued if rate limit utilisation reaches 85%</w:t>
      </w:r>
    </w:p>
    <w:p>
      <w:pPr>
        <w:pStyle w:val="ListParagraph"/>
        <w:numPr>
          <w:ilvl w:val="0"/>
          <w:numId w:val="2"/>
        </w:numPr>
        <w:spacing w:after="60" w:before="60"/>
      </w:pPr>
      <w:r>
        <w:rPr>
          <w:rFonts w:ascii="Arial" w:cs="Arial" w:eastAsia="Arial" w:hAnsi="Arial"/>
          <w:sz w:val="20"/>
          <w:szCs w:val="20"/>
        </w:rPr>
        <w:t xml:space="preserve">Pre-authentication token validation must confirm valid credentials before each call; expired tokens must trigger re-authentication</w:t>
      </w:r>
    </w:p>
    <w:p>
      <w:pPr>
        <w:pStyle w:val="Heading2"/>
        <w:spacing w:after="120" w:before="240"/>
      </w:pPr>
      <w:r>
        <w:rPr>
          <w:rFonts w:ascii="Arial" w:cs="Arial" w:eastAsia="Arial" w:hAnsi="Arial"/>
          <w:b/>
          <w:bCs/>
          <w:color w:val="2E74B5"/>
          <w:sz w:val="24"/>
          <w:szCs w:val="24"/>
        </w:rPr>
        <w:t xml:space="preserve">8.2 Post-Call Hooks</w:t>
      </w:r>
    </w:p>
    <w:p>
      <w:pPr>
        <w:pStyle w:val="ListParagraph"/>
        <w:numPr>
          <w:ilvl w:val="0"/>
          <w:numId w:val="2"/>
        </w:numPr>
        <w:spacing w:after="60" w:before="60"/>
      </w:pPr>
      <w:r>
        <w:rPr>
          <w:rFonts w:ascii="Arial" w:cs="Arial" w:eastAsia="Arial" w:hAnsi="Arial"/>
          <w:sz w:val="20"/>
          <w:szCs w:val="20"/>
        </w:rPr>
        <w:t xml:space="preserve">All API responses must be validated against expected response schema before downstream processing</w:t>
      </w:r>
    </w:p>
    <w:p>
      <w:pPr>
        <w:pStyle w:val="ListParagraph"/>
        <w:numPr>
          <w:ilvl w:val="0"/>
          <w:numId w:val="2"/>
        </w:numPr>
        <w:spacing w:after="60" w:before="60"/>
      </w:pPr>
      <w:r>
        <w:rPr>
          <w:rFonts w:ascii="Arial" w:cs="Arial" w:eastAsia="Arial" w:hAnsi="Arial"/>
          <w:sz w:val="20"/>
          <w:szCs w:val="20"/>
        </w:rPr>
        <w:t xml:space="preserve">Post-call transformations must be applied immediately after successful response validation</w:t>
      </w:r>
    </w:p>
    <w:p>
      <w:pPr>
        <w:pStyle w:val="ListParagraph"/>
        <w:numPr>
          <w:ilvl w:val="0"/>
          <w:numId w:val="2"/>
        </w:numPr>
        <w:spacing w:after="60" w:before="60"/>
      </w:pPr>
      <w:r>
        <w:rPr>
          <w:rFonts w:ascii="Arial" w:cs="Arial" w:eastAsia="Arial" w:hAnsi="Arial"/>
          <w:sz w:val="20"/>
          <w:szCs w:val="20"/>
        </w:rPr>
        <w:t xml:space="preserve">All API calls and responses (with PII masked) must be emitted to the audit trail upon completion</w:t>
      </w:r>
    </w:p>
    <w:p>
      <w:pPr>
        <w:pStyle w:val="ListParagraph"/>
        <w:numPr>
          <w:ilvl w:val="0"/>
          <w:numId w:val="2"/>
        </w:numPr>
        <w:spacing w:after="60" w:before="60"/>
      </w:pPr>
      <w:r>
        <w:rPr>
          <w:rFonts w:ascii="Arial" w:cs="Arial" w:eastAsia="Arial" w:hAnsi="Arial"/>
          <w:sz w:val="20"/>
          <w:szCs w:val="20"/>
        </w:rPr>
        <w:t xml:space="preserve">All API calls must be logged to NovaCred's observability platform with request ID, integration name, response time, HTTP status, and outcome</w:t>
      </w:r>
    </w:p>
    <w:p>
      <w:pPr>
        <w:pStyle w:val="Heading2"/>
        <w:spacing w:after="120" w:before="240"/>
      </w:pPr>
      <w:r>
        <w:rPr>
          <w:rFonts w:ascii="Arial" w:cs="Arial" w:eastAsia="Arial" w:hAnsi="Arial"/>
          <w:b/>
          <w:bCs/>
          <w:color w:val="2E74B5"/>
          <w:sz w:val="24"/>
          <w:szCs w:val="24"/>
        </w:rPr>
        <w:t xml:space="preserve">8.3 Failure Hooks</w:t>
      </w:r>
    </w:p>
    <w:p>
      <w:pPr>
        <w:pStyle w:val="ListParagraph"/>
        <w:numPr>
          <w:ilvl w:val="0"/>
          <w:numId w:val="2"/>
        </w:numPr>
        <w:spacing w:after="60" w:before="60"/>
      </w:pPr>
      <w:r>
        <w:rPr>
          <w:rFonts w:ascii="Arial" w:cs="Arial" w:eastAsia="Arial" w:hAnsi="Arial"/>
          <w:sz w:val="20"/>
          <w:szCs w:val="20"/>
        </w:rPr>
        <w:t xml:space="preserve">Automated retry must be triggered per the retry policies in Section 6</w:t>
      </w:r>
    </w:p>
    <w:p>
      <w:pPr>
        <w:pStyle w:val="ListParagraph"/>
        <w:numPr>
          <w:ilvl w:val="0"/>
          <w:numId w:val="2"/>
        </w:numPr>
        <w:spacing w:after="60" w:before="60"/>
      </w:pPr>
      <w:r>
        <w:rPr>
          <w:rFonts w:ascii="Arial" w:cs="Arial" w:eastAsia="Arial" w:hAnsi="Arial"/>
          <w:sz w:val="20"/>
          <w:szCs w:val="20"/>
        </w:rPr>
        <w:t xml:space="preserve">On terminal failure, the on-failure alert hook must notify NovaCred's integration operations team within 2 minutes</w:t>
      </w:r>
    </w:p>
    <w:p>
      <w:pPr>
        <w:pStyle w:val="ListParagraph"/>
        <w:numPr>
          <w:ilvl w:val="0"/>
          <w:numId w:val="2"/>
        </w:numPr>
        <w:spacing w:after="60" w:before="60"/>
      </w:pPr>
      <w:r>
        <w:rPr>
          <w:rFonts w:ascii="Arial" w:cs="Arial" w:eastAsia="Arial" w:hAnsi="Arial"/>
          <w:sz w:val="20"/>
          <w:szCs w:val="20"/>
        </w:rPr>
        <w:t xml:space="preserve">All retry attempts must be individually logged in the audit trail</w:t>
      </w:r>
    </w:p>
    <w:p>
      <w:pPr>
        <w:pStyle w:val="Heading1"/>
        <w:spacing w:after="160" w:before="320"/>
      </w:pPr>
      <w:r>
        <w:rPr>
          <w:rFonts w:ascii="Arial" w:cs="Arial" w:eastAsia="Arial" w:hAnsi="Arial"/>
          <w:b/>
          <w:bCs/>
          <w:color w:val="1F3864"/>
          <w:sz w:val="28"/>
          <w:szCs w:val="28"/>
        </w:rPr>
        <w:t xml:space="preserve">9. Operational &amp; Compliance Requirements</w:t>
      </w:r>
    </w:p>
    <w:p>
      <w:pPr>
        <w:pStyle w:val="Heading2"/>
        <w:spacing w:after="120" w:before="240"/>
      </w:pPr>
      <w:r>
        <w:rPr>
          <w:rFonts w:ascii="Arial" w:cs="Arial" w:eastAsia="Arial" w:hAnsi="Arial"/>
          <w:b/>
          <w:bCs/>
          <w:color w:val="2E74B5"/>
          <w:sz w:val="24"/>
          <w:szCs w:val="24"/>
        </w:rPr>
        <w:t xml:space="preserve">9.1 Manual Review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Queue Name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Condition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Review Queue — KYC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eKYC fails; face match score below threshold; PAN-Aadhaar mismatch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Queue — Credit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CIBIL no-hit; score below threshold; API failure after retry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Financial Review Queue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 consent not completed; data unavailable from FIP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Investigation 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 score &gt;= 75; all automated processing suspended</w:t>
            </w:r>
          </w:p>
        </w:tc>
      </w:tr>
    </w:tbl>
    <w:p>
      <w:pPr>
        <w:pStyle w:val="Heading2"/>
        <w:spacing w:after="120" w:before="240"/>
      </w:pPr>
      <w:r>
        <w:rPr>
          <w:rFonts w:ascii="Arial" w:cs="Arial" w:eastAsia="Arial" w:hAnsi="Arial"/>
          <w:b/>
          <w:bCs/>
          <w:color w:val="2E74B5"/>
          <w:sz w:val="24"/>
          <w:szCs w:val="24"/>
        </w:rPr>
        <w:t xml:space="preserve">9.2 Data Handling &amp; Compliance</w:t>
      </w:r>
    </w:p>
    <w:p>
      <w:pPr>
        <w:pStyle w:val="ListParagraph"/>
        <w:numPr>
          <w:ilvl w:val="0"/>
          <w:numId w:val="2"/>
        </w:numPr>
        <w:spacing w:after="60" w:before="60"/>
      </w:pPr>
      <w:r>
        <w:rPr>
          <w:rFonts w:ascii="Arial" w:cs="Arial" w:eastAsia="Arial" w:hAnsi="Arial"/>
          <w:sz w:val="20"/>
          <w:szCs w:val="20"/>
        </w:rPr>
        <w:t xml:space="preserve">All personal data must be stored within India per RBI Digital Lending Guidelines 2022 and DPDP Act 2023</w:t>
      </w:r>
    </w:p>
    <w:p>
      <w:pPr>
        <w:pStyle w:val="ListParagraph"/>
        <w:numPr>
          <w:ilvl w:val="0"/>
          <w:numId w:val="2"/>
        </w:numPr>
        <w:spacing w:after="60" w:before="60"/>
      </w:pPr>
      <w:r>
        <w:rPr>
          <w:rFonts w:ascii="Arial" w:cs="Arial" w:eastAsia="Arial" w:hAnsi="Arial"/>
          <w:sz w:val="20"/>
          <w:szCs w:val="20"/>
        </w:rPr>
        <w:t xml:space="preserve">Applicant consent for each data processing activity must be recorded with timestamp and IP address before the corresponding API is invoked</w:t>
      </w:r>
    </w:p>
    <w:p>
      <w:pPr>
        <w:pStyle w:val="ListParagraph"/>
        <w:numPr>
          <w:ilvl w:val="0"/>
          <w:numId w:val="2"/>
        </w:numPr>
        <w:spacing w:after="60" w:before="60"/>
      </w:pPr>
      <w:r>
        <w:rPr>
          <w:rFonts w:ascii="Arial" w:cs="Arial" w:eastAsia="Arial" w:hAnsi="Arial"/>
          <w:sz w:val="20"/>
          <w:szCs w:val="20"/>
        </w:rPr>
        <w:t xml:space="preserve">Financial data from Perfios AA must be purged within 24 hours of loan decision as per AA framework data minimisation requirements</w:t>
      </w:r>
    </w:p>
    <w:p>
      <w:pPr>
        <w:pStyle w:val="ListParagraph"/>
        <w:numPr>
          <w:ilvl w:val="0"/>
          <w:numId w:val="2"/>
        </w:numPr>
        <w:spacing w:after="60" w:before="60"/>
      </w:pPr>
      <w:r>
        <w:rPr>
          <w:rFonts w:ascii="Arial" w:cs="Arial" w:eastAsia="Arial" w:hAnsi="Arial"/>
          <w:sz w:val="20"/>
          <w:szCs w:val="20"/>
        </w:rPr>
        <w:t xml:space="preserve">CIBIL credit data must be retained for a maximum of 7 years per RBI CICRA guidelines</w:t>
      </w:r>
    </w:p>
    <w:p>
      <w:pPr>
        <w:pStyle w:val="ListParagraph"/>
        <w:numPr>
          <w:ilvl w:val="0"/>
          <w:numId w:val="2"/>
        </w:numPr>
        <w:spacing w:after="60" w:before="60"/>
      </w:pPr>
      <w:r>
        <w:rPr>
          <w:rFonts w:ascii="Arial" w:cs="Arial" w:eastAsia="Arial" w:hAnsi="Arial"/>
          <w:sz w:val="20"/>
          <w:szCs w:val="20"/>
        </w:rPr>
        <w:t xml:space="preserve">SMS notification logs must be retained for 2 years for TRAI compliance</w:t>
      </w:r>
    </w:p>
    <w:p>
      <w:pPr>
        <w:pBdr>
          <w:bottom w:val="single" w:color="2E74B5" w:sz="4" w:space="1"/>
        </w:pBdr>
        <w:spacing w:after="120" w:before="120"/>
      </w:pPr>
    </w:p>
    <w:p>
      <w:pPr>
        <w:spacing w:after="0" w:before="120"/>
        <w:jc w:val="center"/>
      </w:pPr>
      <w:r>
        <w:rPr>
          <w:rFonts w:ascii="Arial" w:cs="Arial" w:eastAsia="Arial" w:hAnsi="Arial"/>
          <w:color w:val="808080"/>
          <w:sz w:val="18"/>
          <w:szCs w:val="18"/>
        </w:rPr>
        <w:t xml:space="preserve">BRD-NVC-2025-004 | Version 1.0 | October 2025 | NovaCred Financial Services Pvt. Ltd.</w:t>
      </w:r>
    </w:p>
    <w:p>
      <w:pPr>
        <w:spacing w:after="0" w:before="40"/>
        <w:jc w:val="center"/>
      </w:pPr>
      <w:r>
        <w:rPr>
          <w:rFonts w:ascii="Arial" w:cs="Arial" w:eastAsia="Arial" w:hAnsi="Arial"/>
          <w:i/>
          <w:iCs/>
          <w:color w:val="808080"/>
          <w:sz w:val="18"/>
          <w:szCs w:val="18"/>
        </w:rPr>
        <w:t xml:space="preserve">CONFIDENTIAL — Not for distribution outside authorised parties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2026-04-05T07:57:20.190Z</dcterms:created>
  <dcterms:modified xsi:type="dcterms:W3CDTF">2026-04-05T07:57:20.191Z</dcterms:modified>
</cp:coreProperties>
</file>

<file path=docProps/custom.xml><?xml version="1.0" encoding="utf-8"?>
<Properties xmlns="http://schemas.openxmlformats.org/officeDocument/2006/custom-properties" xmlns:vt="http://schemas.openxmlformats.org/officeDocument/2006/docPropsVTypes"/>
</file>