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C3557"/>
          <w:sz w:val="52"/>
          <w:szCs w:val="52"/>
        </w:rPr>
        <w:t xml:space="preserve">NexGen Mobility Finance Ltd.</w:t>
      </w:r>
    </w:p>
    <w:p>
      <w:pPr>
        <w:spacing w:after="60"/>
        <w:jc w:val="center"/>
      </w:pPr>
      <w:r>
        <w:rPr>
          <w:rFonts w:ascii="Arial" w:cs="Arial" w:eastAsia="Arial" w:hAnsi="Arial"/>
          <w:color w:val="666666"/>
          <w:sz w:val="26"/>
          <w:szCs w:val="26"/>
        </w:rPr>
        <w:t xml:space="preserve">Two-Wheeler Loan Origination Platform</w:t>
      </w:r>
    </w:p>
    <w:p>
      <w:pPr>
        <w:spacing w:after="600"/>
        <w:jc w:val="center"/>
      </w:pPr>
      <w:r>
        <w:rPr>
          <w:rFonts w:ascii="Arial" w:cs="Arial" w:eastAsia="Arial" w:hAnsi="Arial"/>
          <w:b/>
          <w:bCs/>
          <w:color w:val="1A1A1A"/>
          <w:sz w:val="30"/>
          <w:szCs w:val="30"/>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Client</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NexGen Mobility Finance Ltd.</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BRD-NGM-2025-003</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1.0 — Draft for Review</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November 2025</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Prepared By</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Operations &amp; Product Team</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Draft — Pending Stakeholder Sign-off</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C3557"/>
          <w:sz w:val="32"/>
          <w:szCs w:val="32"/>
        </w:rPr>
        <w:t xml:space="preserve">1. Overview</w:t>
      </w:r>
    </w:p>
    <w:p>
      <w:pPr>
        <w:spacing w:after="120" w:line="276"/>
      </w:pPr>
      <w:r>
        <w:rPr>
          <w:rFonts w:ascii="Arial" w:cs="Arial" w:eastAsia="Arial" w:hAnsi="Arial"/>
          <w:color w:val="1A1A1A"/>
          <w:sz w:val="22"/>
          <w:szCs w:val="22"/>
        </w:rPr>
        <w:t xml:space="preserve">NexGen Mobility Finance Ltd. is a non-banking financial company providing retail two-wheeler loans across tier-2 and tier-3 cities in India. We currently process loan applications manually through branch staff, which results in average turnaround times of 3 to 4 business days and significant drop-off from applicants.</w:t>
      </w:r>
    </w:p>
    <w:p>
      <w:pPr>
        <w:spacing w:after="120" w:line="276"/>
      </w:pPr>
      <w:r>
        <w:rPr>
          <w:rFonts w:ascii="Arial" w:cs="Arial" w:eastAsia="Arial" w:hAnsi="Arial"/>
          <w:color w:val="1A1A1A"/>
          <w:sz w:val="22"/>
          <w:szCs w:val="22"/>
        </w:rPr>
        <w:t xml:space="preserve">We want to build a digital loan origination system that can process applications end-to-end without manual intervention for eligible applicants. The system should verify identity, check creditworthiness, verify the bank account for EMI collection, and notify the applicant via SMS throughout. We do not have specific API vendors in mind — we would like the integration platform to recommend and configure the most appropriate services based on our requirements.</w:t>
      </w:r>
    </w:p>
    <w:p>
      <w:pPr>
        <w:spacing w:after="80"/>
      </w:pPr>
      <w:r>
        <w:t xml:space="preserve"/>
      </w:r>
    </w:p>
    <w:p>
      <w:pPr>
        <w:pStyle w:val="Heading1"/>
        <w:spacing w:after="140" w:before="320"/>
      </w:pPr>
      <w:r>
        <w:rPr>
          <w:rFonts w:ascii="Arial" w:cs="Arial" w:eastAsia="Arial" w:hAnsi="Arial"/>
          <w:b/>
          <w:bCs/>
          <w:color w:val="1C3557"/>
          <w:sz w:val="32"/>
          <w:szCs w:val="32"/>
        </w:rPr>
        <w:t xml:space="preserve">2. What We Need the System to Do</w:t>
      </w:r>
    </w:p>
    <w:p>
      <w:pPr>
        <w:pStyle w:val="ListParagraph"/>
        <w:numPr>
          <w:ilvl w:val="0"/>
          <w:numId w:val="2"/>
        </w:numPr>
        <w:spacing w:after="90"/>
      </w:pPr>
      <w:r>
        <w:rPr>
          <w:rFonts w:ascii="Arial" w:cs="Arial" w:eastAsia="Arial" w:hAnsi="Arial"/>
          <w:color w:val="1A1A1A"/>
          <w:sz w:val="22"/>
          <w:szCs w:val="22"/>
        </w:rPr>
        <w:t xml:space="preserve">Verify the identity of the applicant using government-issued identification. We need to confirm the applicant's name, date of birth, address, and validate their PAN card.</w:t>
      </w:r>
    </w:p>
    <w:p>
      <w:pPr>
        <w:pStyle w:val="ListParagraph"/>
        <w:numPr>
          <w:ilvl w:val="0"/>
          <w:numId w:val="2"/>
        </w:numPr>
        <w:spacing w:after="90"/>
      </w:pPr>
      <w:r>
        <w:rPr>
          <w:rFonts w:ascii="Arial" w:cs="Arial" w:eastAsia="Arial" w:hAnsi="Arial"/>
          <w:color w:val="1A1A1A"/>
          <w:sz w:val="22"/>
          <w:szCs w:val="22"/>
        </w:rPr>
        <w:t xml:space="preserve">Check the applicant's credit history and score with a credit bureau to assess repayment risk. If the applicant has no credit history, route to a human reviewer rather than rejecting automatically.</w:t>
      </w:r>
    </w:p>
    <w:p>
      <w:pPr>
        <w:pStyle w:val="ListParagraph"/>
        <w:numPr>
          <w:ilvl w:val="0"/>
          <w:numId w:val="2"/>
        </w:numPr>
        <w:spacing w:after="90"/>
      </w:pPr>
      <w:r>
        <w:rPr>
          <w:rFonts w:ascii="Arial" w:cs="Arial" w:eastAsia="Arial" w:hAnsi="Arial"/>
          <w:color w:val="1A1A1A"/>
          <w:sz w:val="22"/>
          <w:szCs w:val="22"/>
        </w:rPr>
        <w:t xml:space="preserve">Verify that the bank account provided for EMI deductions is valid and active, and that the account holder name matches the applicant name.</w:t>
      </w:r>
    </w:p>
    <w:p>
      <w:pPr>
        <w:pStyle w:val="ListParagraph"/>
        <w:numPr>
          <w:ilvl w:val="0"/>
          <w:numId w:val="2"/>
        </w:numPr>
        <w:spacing w:after="90"/>
      </w:pPr>
      <w:r>
        <w:rPr>
          <w:rFonts w:ascii="Arial" w:cs="Arial" w:eastAsia="Arial" w:hAnsi="Arial"/>
          <w:color w:val="1A1A1A"/>
          <w:sz w:val="22"/>
          <w:szCs w:val="22"/>
        </w:rPr>
        <w:t xml:space="preserve">Send SMS notifications at every major step — application receipt, verification completion, credit decision, and loan approval or referral.</w:t>
      </w:r>
    </w:p>
    <w:p>
      <w:pPr>
        <w:pStyle w:val="ListParagraph"/>
        <w:numPr>
          <w:ilvl w:val="0"/>
          <w:numId w:val="2"/>
        </w:numPr>
        <w:spacing w:after="90"/>
      </w:pPr>
      <w:r>
        <w:rPr>
          <w:rFonts w:ascii="Arial" w:cs="Arial" w:eastAsia="Arial" w:hAnsi="Arial"/>
          <w:color w:val="1A1A1A"/>
          <w:sz w:val="22"/>
          <w:szCs w:val="22"/>
        </w:rPr>
        <w:t xml:space="preserve">If any verification step fails, route to a manual review queue rather than reject. Attempt retries where appropriate before routing.</w:t>
      </w:r>
    </w:p>
    <w:p>
      <w:pPr>
        <w:spacing w:after="80"/>
      </w:pPr>
      <w:r>
        <w:t xml:space="preserve"/>
      </w:r>
    </w:p>
    <w:p>
      <w:pPr>
        <w:pStyle w:val="Heading1"/>
        <w:spacing w:after="140" w:before="320"/>
      </w:pPr>
      <w:r>
        <w:rPr>
          <w:rFonts w:ascii="Arial" w:cs="Arial" w:eastAsia="Arial" w:hAnsi="Arial"/>
          <w:b/>
          <w:bCs/>
          <w:color w:val="1C3557"/>
          <w:sz w:val="32"/>
          <w:szCs w:val="32"/>
        </w:rPr>
        <w:t xml:space="preserve">3. Information We Will Collect from Applicants</w:t>
      </w:r>
    </w:p>
    <w:p>
      <w:pPr>
        <w:pStyle w:val="Heading2"/>
        <w:spacing w:after="140" w:before="200"/>
      </w:pPr>
      <w:r>
        <w:rPr>
          <w:rFonts w:ascii="Arial" w:cs="Arial" w:eastAsia="Arial" w:hAnsi="Arial"/>
          <w:b/>
          <w:bCs/>
          <w:color w:val="1C3557"/>
          <w:sz w:val="26"/>
          <w:szCs w:val="26"/>
        </w:rPr>
        <w:t xml:space="preserve">3.1 Personal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2960"/>
      </w:tblGrid>
      <w:tr>
        <w:tc>
          <w:tcPr>
            <w:tcW w:type="dxa" w:w="3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Applicant Full Name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 it appears on Aadhaar card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Mobile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10-digit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Used for OTP and SMS notifications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of Birth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DD/MM/YYYY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identity and age eligibility (21–60 years)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Aadhaar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12-digit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eKYC identity verification</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PAN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AAAAA9999A format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credit bureau check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Current Address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Free text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Residential address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PIN Code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6-digit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serviceability check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Male / Female / Other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 for identity matching</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Email Address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Valid email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Optional — for digital communication</w:t>
            </w:r>
          </w:p>
        </w:tc>
      </w:tr>
    </w:tbl>
    <w:p>
      <w:pPr>
        <w:spacing w:after="80"/>
      </w:pPr>
      <w:r>
        <w:t xml:space="preserve"/>
      </w:r>
    </w:p>
    <w:p>
      <w:pPr>
        <w:pStyle w:val="Heading2"/>
        <w:spacing w:after="140" w:before="200"/>
      </w:pPr>
      <w:r>
        <w:rPr>
          <w:rFonts w:ascii="Arial" w:cs="Arial" w:eastAsia="Arial" w:hAnsi="Arial"/>
          <w:b/>
          <w:bCs/>
          <w:color w:val="1C3557"/>
          <w:sz w:val="26"/>
          <w:szCs w:val="26"/>
        </w:rPr>
        <w:t xml:space="preserve">3.2 Financial &amp; Loan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2960"/>
      </w:tblGrid>
      <w:tr>
        <w:tc>
          <w:tcPr>
            <w:tcW w:type="dxa" w:w="3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Monthly Income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Self-declared; used for eligibility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Employment Type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Salaried / Self-employed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Affects income verification path</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Amount Requested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 INR 20,000 — Max INR 1,50,000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Tenure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Months (12–48)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Requested repayment period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Bank Account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9–18 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Account for EMI auto-debit; to be verified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Bank IFSC Code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11 characters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be a valid RBI-registered branch</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Vehicle Model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Two-wheeler model being financed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Vehicle On-Road Price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Total price for loan-to-value calculation</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Dealer Name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Authorised dealer from empanelled list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Identity Verification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be captured before any check begins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Credit Bureau Enquiry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Explicit consent required by regulation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Karza KYC: consent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Applicant’s explicit consent to Karza eKYC identity verification; must be true before API call is triggered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TransUnion CIBIL: consent_timestamp</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ISO 8601 DateTime</w:t>
            </w:r>
          </w:p>
        </w:tc>
        <w:tc>
          <w:tcPr>
            <w:tcW w:type="dxa" w:w="1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UTC timestamp of applicant’s consent to CIBIL bureau enquiry; mandatory per RBI data-sharing regulations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Twilio SMS: body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 (max 160 chars)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System-generated SMS message text sent to applicant’s mobile number at each processing milestone; failures must not block processing</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C3557"/>
          <w:sz w:val="32"/>
          <w:szCs w:val="32"/>
        </w:rPr>
        <w:t xml:space="preserve">4. Processing &amp; Fallback Rules</w:t>
      </w:r>
    </w:p>
    <w:p>
      <w:pPr>
        <w:spacing w:after="120" w:line="276"/>
      </w:pPr>
      <w:r>
        <w:rPr>
          <w:rFonts w:ascii="Arial" w:cs="Arial" w:eastAsia="Arial" w:hAnsi="Arial"/>
          <w:color w:val="1A1A1A"/>
          <w:sz w:val="22"/>
          <w:szCs w:val="22"/>
        </w:rPr>
        <w:t xml:space="preserve">We expect the following processing sequence and fallback behaviours:</w:t>
      </w:r>
    </w:p>
    <w:p>
      <w:pPr>
        <w:pStyle w:val="ListParagraph"/>
        <w:numPr>
          <w:ilvl w:val="0"/>
          <w:numId w:val="2"/>
        </w:numPr>
        <w:spacing w:after="90"/>
      </w:pPr>
      <w:r>
        <w:rPr>
          <w:rFonts w:ascii="Arial" w:cs="Arial" w:eastAsia="Arial" w:hAnsi="Arial"/>
          <w:color w:val="1A1A1A"/>
          <w:sz w:val="22"/>
          <w:szCs w:val="22"/>
        </w:rPr>
        <w:t xml:space="preserve">Validate all input fields before calling any external service.</w:t>
      </w:r>
    </w:p>
    <w:p>
      <w:pPr>
        <w:pStyle w:val="ListParagraph"/>
        <w:numPr>
          <w:ilvl w:val="0"/>
          <w:numId w:val="2"/>
        </w:numPr>
        <w:spacing w:after="90"/>
      </w:pPr>
      <w:r>
        <w:rPr>
          <w:rFonts w:ascii="Arial" w:cs="Arial" w:eastAsia="Arial" w:hAnsi="Arial"/>
          <w:color w:val="1A1A1A"/>
          <w:sz w:val="22"/>
          <w:szCs w:val="22"/>
        </w:rPr>
        <w:t xml:space="preserve">Identity verification must run first. Credit bureau check should only trigger after identity is confirmed.</w:t>
      </w:r>
    </w:p>
    <w:p>
      <w:pPr>
        <w:pStyle w:val="ListParagraph"/>
        <w:numPr>
          <w:ilvl w:val="0"/>
          <w:numId w:val="2"/>
        </w:numPr>
        <w:spacing w:after="90"/>
      </w:pPr>
      <w:r>
        <w:rPr>
          <w:rFonts w:ascii="Arial" w:cs="Arial" w:eastAsia="Arial" w:hAnsi="Arial"/>
          <w:color w:val="1A1A1A"/>
          <w:sz w:val="22"/>
          <w:szCs w:val="22"/>
        </w:rPr>
        <w:t xml:space="preserve">Bank account verification and credit bureau check can run in sequence or parallel — whatever is more efficient.</w:t>
      </w:r>
    </w:p>
    <w:p>
      <w:pPr>
        <w:pStyle w:val="ListParagraph"/>
        <w:numPr>
          <w:ilvl w:val="0"/>
          <w:numId w:val="2"/>
        </w:numPr>
        <w:spacing w:after="90"/>
      </w:pPr>
      <w:r>
        <w:rPr>
          <w:rFonts w:ascii="Arial" w:cs="Arial" w:eastAsia="Arial" w:hAnsi="Arial"/>
          <w:color w:val="1A1A1A"/>
          <w:sz w:val="22"/>
          <w:szCs w:val="22"/>
        </w:rPr>
        <w:t xml:space="preserve">If identity verification fails, route to manual review queue and notify the applicant via SMS.</w:t>
      </w:r>
    </w:p>
    <w:p>
      <w:pPr>
        <w:pStyle w:val="ListParagraph"/>
        <w:numPr>
          <w:ilvl w:val="0"/>
          <w:numId w:val="2"/>
        </w:numPr>
        <w:spacing w:after="90"/>
      </w:pPr>
      <w:r>
        <w:rPr>
          <w:rFonts w:ascii="Arial" w:cs="Arial" w:eastAsia="Arial" w:hAnsi="Arial"/>
          <w:color w:val="1A1A1A"/>
          <w:sz w:val="22"/>
          <w:szCs w:val="22"/>
        </w:rPr>
        <w:t xml:space="preserve">If credit bureau returns no record, treat as thin-file and send to manual review — do not reject.</w:t>
      </w:r>
    </w:p>
    <w:p>
      <w:pPr>
        <w:pStyle w:val="ListParagraph"/>
        <w:numPr>
          <w:ilvl w:val="0"/>
          <w:numId w:val="2"/>
        </w:numPr>
        <w:spacing w:after="90"/>
      </w:pPr>
      <w:r>
        <w:rPr>
          <w:rFonts w:ascii="Arial" w:cs="Arial" w:eastAsia="Arial" w:hAnsi="Arial"/>
          <w:color w:val="1A1A1A"/>
          <w:sz w:val="22"/>
          <w:szCs w:val="22"/>
        </w:rPr>
        <w:t xml:space="preserve">If bank account verification fails, allow up to 2 re-attempts. If still failing, route to manual review.</w:t>
      </w:r>
    </w:p>
    <w:p>
      <w:pPr>
        <w:pStyle w:val="ListParagraph"/>
        <w:numPr>
          <w:ilvl w:val="0"/>
          <w:numId w:val="2"/>
        </w:numPr>
        <w:spacing w:after="90"/>
      </w:pPr>
      <w:r>
        <w:rPr>
          <w:rFonts w:ascii="Arial" w:cs="Arial" w:eastAsia="Arial" w:hAnsi="Arial"/>
          <w:color w:val="1A1A1A"/>
          <w:sz w:val="22"/>
          <w:szCs w:val="22"/>
        </w:rPr>
        <w:t xml:space="preserve">SMS failures must not block any processing step.</w:t>
      </w:r>
    </w:p>
    <w:p>
      <w:pPr>
        <w:spacing w:after="80"/>
      </w:pPr>
      <w:r>
        <w:t xml:space="preserve"/>
      </w:r>
    </w:p>
    <w:p>
      <w:pPr>
        <w:spacing w:after="80"/>
      </w:pPr>
      <w:r>
        <w:t xml:space="preserve"/>
      </w:r>
    </w:p>
    <w:p>
      <w:pPr>
        <w:pStyle w:val="Heading1"/>
        <w:spacing w:after="140" w:before="320"/>
      </w:pPr>
      <w:r>
        <w:rPr>
          <w:rFonts w:ascii="Arial" w:cs="Arial" w:eastAsia="Arial" w:hAnsi="Arial"/>
          <w:b/>
          <w:bCs/>
          <w:color w:val="1C3557"/>
          <w:sz w:val="32"/>
          <w:szCs w:val="32"/>
        </w:rPr>
        <w:t xml:space="preserve">5. Security Expectations</w:t>
      </w:r>
    </w:p>
    <w:p>
      <w:pPr>
        <w:pStyle w:val="ListParagraph"/>
        <w:numPr>
          <w:ilvl w:val="0"/>
          <w:numId w:val="2"/>
        </w:numPr>
        <w:spacing w:after="90"/>
      </w:pPr>
      <w:r>
        <w:rPr>
          <w:rFonts w:ascii="Arial" w:cs="Arial" w:eastAsia="Arial" w:hAnsi="Arial"/>
          <w:color w:val="1A1A1A"/>
          <w:sz w:val="22"/>
          <w:szCs w:val="22"/>
        </w:rPr>
        <w:t xml:space="preserve">All credentials and API keys must be stored securely — not in any config files or application code.</w:t>
      </w:r>
    </w:p>
    <w:p>
      <w:pPr>
        <w:pStyle w:val="ListParagraph"/>
        <w:numPr>
          <w:ilvl w:val="0"/>
          <w:numId w:val="2"/>
        </w:numPr>
        <w:spacing w:after="90"/>
      </w:pPr>
      <w:r>
        <w:rPr>
          <w:rFonts w:ascii="Arial" w:cs="Arial" w:eastAsia="Arial" w:hAnsi="Arial"/>
          <w:color w:val="1A1A1A"/>
          <w:sz w:val="22"/>
          <w:szCs w:val="22"/>
        </w:rPr>
        <w:t xml:space="preserve">Aadhaar numbers must be masked in all logs and audit records.</w:t>
      </w:r>
    </w:p>
    <w:p>
      <w:pPr>
        <w:pStyle w:val="ListParagraph"/>
        <w:numPr>
          <w:ilvl w:val="0"/>
          <w:numId w:val="2"/>
        </w:numPr>
        <w:spacing w:after="90"/>
      </w:pPr>
      <w:r>
        <w:rPr>
          <w:rFonts w:ascii="Arial" w:cs="Arial" w:eastAsia="Arial" w:hAnsi="Arial"/>
          <w:color w:val="1A1A1A"/>
          <w:sz w:val="22"/>
          <w:szCs w:val="22"/>
        </w:rPr>
        <w:t xml:space="preserve">Applicant consent must be captured and recorded before any verification call is made.</w:t>
      </w:r>
    </w:p>
    <w:p>
      <w:pPr>
        <w:pStyle w:val="ListParagraph"/>
        <w:numPr>
          <w:ilvl w:val="0"/>
          <w:numId w:val="2"/>
        </w:numPr>
        <w:spacing w:after="90"/>
      </w:pPr>
      <w:r>
        <w:rPr>
          <w:rFonts w:ascii="Arial" w:cs="Arial" w:eastAsia="Arial" w:hAnsi="Arial"/>
          <w:color w:val="1A1A1A"/>
          <w:sz w:val="22"/>
          <w:szCs w:val="22"/>
        </w:rPr>
        <w:t xml:space="preserve">All data must remain within India per regulatory requirements.</w:t>
      </w:r>
    </w:p>
    <w:p>
      <w:pPr>
        <w:pStyle w:val="ListParagraph"/>
        <w:numPr>
          <w:ilvl w:val="0"/>
          <w:numId w:val="2"/>
        </w:numPr>
        <w:spacing w:after="90"/>
      </w:pPr>
      <w:r>
        <w:rPr>
          <w:rFonts w:ascii="Arial" w:cs="Arial" w:eastAsia="Arial" w:hAnsi="Arial"/>
          <w:color w:val="1A1A1A"/>
          <w:sz w:val="22"/>
          <w:szCs w:val="22"/>
        </w:rPr>
        <w:t xml:space="preserve">Tokens and credentials should be refreshed automatically without manual intervention.</w:t>
      </w:r>
    </w:p>
    <w:p>
      <w:pPr>
        <w:spacing w:after="80"/>
      </w:pPr>
      <w:r>
        <w:t xml:space="preserve"/>
      </w:r>
    </w:p>
    <w:p>
      <w:pPr>
        <w:spacing w:after="80"/>
      </w:pPr>
      <w:r>
        <w:t xml:space="preserve"/>
      </w:r>
    </w:p>
    <w:p>
      <w:pPr>
        <w:spacing w:before="200"/>
        <w:jc w:val="center"/>
      </w:pPr>
      <w:r>
        <w:rPr>
          <w:rFonts w:ascii="Arial" w:cs="Arial" w:eastAsia="Arial" w:hAnsi="Arial"/>
          <w:color w:val="999999"/>
          <w:sz w:val="20"/>
          <w:szCs w:val="20"/>
        </w:rPr>
        <w:t xml:space="preserve">— End of Document —</w:t>
      </w:r>
    </w:p>
    <w:p>
      <w:pPr>
        <w:jc w:val="center"/>
      </w:pPr>
      <w:r>
        <w:rPr>
          <w:rFonts w:ascii="Arial" w:cs="Arial" w:eastAsia="Arial" w:hAnsi="Arial"/>
          <w:color w:val="BBBBBB"/>
          <w:sz w:val="18"/>
          <w:szCs w:val="18"/>
        </w:rPr>
        <w:t xml:space="preserve">BRD-NGM-2025-003  |  NexGen Mobility Finance Ltd.  |  November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557" w:sz="4" w:space="1"/>
      </w:pBdr>
      <w:tabs>
        <w:tab w:val="right" w:pos="9360"/>
      </w:tabs>
      <w:spacing w:before="100"/>
    </w:pPr>
    <w:r>
      <w:rPr>
        <w:rFonts w:ascii="Arial" w:cs="Arial" w:eastAsia="Arial" w:hAnsi="Arial"/>
        <w:color w:val="999999"/>
        <w:sz w:val="18"/>
        <w:szCs w:val="18"/>
      </w:rPr>
      <w:t xml:space="preserve">BRD-NGM-2025-003  |  v1.0  |  November 2025</w:t>
    </w:r>
    <w:r>
      <w:rPr>
        <w:rFonts w:ascii="Arial" w:cs="Arial" w:eastAsia="Arial" w:hAnsi="Arial"/>
        <w:color w:val="999999"/>
        <w:sz w:val="18"/>
        <w:szCs w:val="18"/>
      </w:rPr>
      <w:t xml:space="preserve">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557" w:sz="4" w:space="1"/>
      </w:pBdr>
      <w:tabs>
        <w:tab w:val="right" w:pos="9360"/>
      </w:tabs>
      <w:spacing w:after="100"/>
    </w:pPr>
    <w:r>
      <w:rPr>
        <w:rFonts w:ascii="Arial" w:cs="Arial" w:eastAsia="Arial" w:hAnsi="Arial"/>
        <w:b/>
        <w:bCs/>
        <w:color w:val="1C3557"/>
        <w:sz w:val="18"/>
        <w:szCs w:val="18"/>
      </w:rPr>
      <w:t xml:space="preserve">NexGen Mobility Finance Ltd.</w:t>
    </w:r>
    <w:r>
      <w:rPr>
        <w:rFonts w:ascii="Arial" w:cs="Arial" w:eastAsia="Arial" w:hAnsi="Arial"/>
        <w:color w:val="999999"/>
        <w:sz w:val="18"/>
        <w:szCs w:val="18"/>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C3557"/>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C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2026-04-05T00:43:05.935Z</dcterms:created>
  <dcterms:modified xsi:type="dcterms:W3CDTF">2026-04-05T00:43:05.936Z</dcterms:modified>
</cp:coreProperties>
</file>

<file path=docProps/custom.xml><?xml version="1.0" encoding="utf-8"?>
<Properties xmlns="http://schemas.openxmlformats.org/officeDocument/2006/custom-properties" xmlns:vt="http://schemas.openxmlformats.org/officeDocument/2006/docPropsVTypes"/>
</file>