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36"/>
          <w:szCs w:val="36"/>
        </w:rPr>
        <w:t xml:space="preserve">NovaCred Financial Services Pvt. Ltd.</w:t>
      </w:r>
    </w:p>
    <w:p>
      <w:pPr>
        <w:spacing w:after="120" w:before="0"/>
        <w:jc w:val="center"/>
      </w:pPr>
      <w:r>
        <w:rPr>
          <w:rFonts w:ascii="Arial" w:cs="Arial" w:eastAsia="Arial" w:hAnsi="Arial"/>
          <w:color w:val="404040"/>
          <w:sz w:val="26"/>
          <w:szCs w:val="26"/>
        </w:rPr>
        <w:t xml:space="preserve">Digital Personal Lending &amp; Credit Decisioning Platform</w:t>
      </w:r>
    </w:p>
    <w:p>
      <w:pPr>
        <w:spacing w:after="120" w:before="0"/>
        <w:jc w:val="center"/>
      </w:pPr>
      <w:r>
        <w:rPr>
          <w:rFonts w:ascii="Arial" w:cs="Arial" w:eastAsia="Arial" w:hAnsi="Arial"/>
          <w:b/>
          <w:bCs/>
          <w:color w:val="2E74B5"/>
          <w:sz w:val="28"/>
          <w:szCs w:val="28"/>
        </w:rPr>
        <w:t xml:space="preserve">Statement of Work</w:t>
      </w:r>
    </w:p>
    <w:p>
      <w:pPr>
        <w:spacing w:after="480" w:before="0"/>
        <w:jc w:val="center"/>
      </w:pPr>
      <w:r>
        <w:rPr>
          <w:rFonts w:ascii="Arial" w:cs="Arial" w:eastAsia="Arial" w:hAnsi="Arial"/>
          <w:color w:val="606060"/>
          <w:sz w:val="22"/>
          <w:szCs w:val="22"/>
        </w:rPr>
        <w:t xml:space="preserve">AI-Assisted Integration Configuration &amp; Orchestration Engine</w:t>
      </w:r>
    </w:p>
    <w:p>
      <w:pPr>
        <w:pBdr>
          <w:bottom w:val="single" w:color="2E74B5" w:sz="4"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Client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NovaCred Financial Services Pvt. Ltd.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Vendor / Platform</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Integration Orchestration Platform (the Platform)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Document 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Statement of Work</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Reference BRD</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BRD-NVC-2025-004 v1.0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SOW Reference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SOW-NVC-2025-004</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 — Initial Release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October 2025</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Contract Period</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October 2025 — April 2026</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Status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Pending Client Sign-off</w:t>
            </w:r>
          </w:p>
        </w:tc>
      </w:tr>
    </w:tbl>
    <w:p>
      <w:pPr>
        <w:spacing w:after="120" w:before="240"/>
      </w:pPr>
      <w:r>
        <w:rPr>
          <w:rFonts w:ascii="Arial" w:cs="Arial" w:eastAsia="Arial" w:hAnsi="Arial"/>
          <w:b/>
          <w:bCs/>
          <w:sz w:val="22"/>
          <w:szCs w:val="22"/>
        </w:rPr>
        <w:t xml:space="preserve">Document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800"/>
        <w:gridCol w:w="37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Author</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Oct 2025</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Priya Menon, Integration Architect</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Initial SOW issued following BRD approval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Oct 2025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Amit Verma, Delivery Manager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Milestone schedule confirmed; risk register updated</w:t>
            </w:r>
          </w:p>
        </w:tc>
      </w:tr>
    </w:tbl>
    <w:p>
      <w:pPr>
        <w:pStyle w:val="Heading1"/>
        <w:spacing w:after="160" w:before="320"/>
      </w:pPr>
      <w:r>
        <w:rPr>
          <w:rFonts w:ascii="Arial" w:cs="Arial" w:eastAsia="Arial" w:hAnsi="Arial"/>
          <w:b/>
          <w:bCs/>
          <w:color w:val="1F3864"/>
          <w:sz w:val="28"/>
          <w:szCs w:val="28"/>
        </w:rPr>
        <w:t xml:space="preserve">1. Purpose &amp; Background</w:t>
      </w:r>
    </w:p>
    <w:p>
      <w:pPr>
        <w:spacing w:after="80" w:before="80"/>
      </w:pPr>
      <w:r>
        <w:rPr>
          <w:rFonts w:ascii="Arial" w:cs="Arial" w:eastAsia="Arial" w:hAnsi="Arial"/>
          <w:b w:val="false"/>
          <w:bCs w:val="false"/>
          <w:sz w:val="20"/>
          <w:szCs w:val="20"/>
        </w:rPr>
        <w:t xml:space="preserve">This Statement of Work (SOW) defines the scope, deliverables, timeline, acceptance criteria, and governance terms for the implementation of the AI-Assisted Integration Configuration &amp; Orchestration Engine (hereinafter 'the Platform') for NovaCred Financial Services Pvt. Ltd.</w:t>
      </w:r>
    </w:p>
    <w:p>
      <w:pPr>
        <w:spacing w:after="80" w:before="80"/>
      </w:pPr>
      <w:r>
        <w:rPr>
          <w:rFonts w:ascii="Arial" w:cs="Arial" w:eastAsia="Arial" w:hAnsi="Arial"/>
          <w:b w:val="false"/>
          <w:bCs w:val="false"/>
          <w:sz w:val="20"/>
          <w:szCs w:val="20"/>
        </w:rPr>
        <w:t xml:space="preserve">The Platform is commissioned to parse BRD-NVC-2025-004 and automatically generate all required integration configurations, field mappings, transformation rules, lifecycle hook specifications, and deployment-ready orchestration artefacts without manual effort from NovaCred's engineering team.</w:t>
      </w:r>
    </w:p>
    <w:p>
      <w:pPr>
        <w:spacing w:after="80" w:before="80"/>
      </w:pPr>
      <w:r>
        <w:rPr>
          <w:rFonts w:ascii="Arial" w:cs="Arial" w:eastAsia="Arial" w:hAnsi="Arial"/>
          <w:b w:val="false"/>
          <w:bCs w:val="false"/>
          <w:sz w:val="20"/>
          <w:szCs w:val="20"/>
        </w:rPr>
        <w:t xml:space="preserve">NovaCred's digital lending journey requires integration with five third-party API providers. Manual configuration of each integration traditionally requires 3 to 5 weeks of engineering effort per provider. The Platform reduces this to an AI-driven configuration generation process measured in minutes.</w:t>
      </w:r>
    </w:p>
    <w:p>
      <w:pPr>
        <w:pStyle w:val="Heading2"/>
        <w:spacing w:after="120" w:before="240"/>
      </w:pPr>
      <w:r>
        <w:rPr>
          <w:rFonts w:ascii="Arial" w:cs="Arial" w:eastAsia="Arial" w:hAnsi="Arial"/>
          <w:b/>
          <w:bCs/>
          <w:color w:val="2E74B5"/>
          <w:sz w:val="24"/>
          <w:szCs w:val="24"/>
        </w:rPr>
        <w:t xml:space="preserve">1.1 Objectives</w:t>
      </w:r>
    </w:p>
    <w:p>
      <w:pPr>
        <w:pStyle w:val="ListParagraph"/>
        <w:numPr>
          <w:ilvl w:val="0"/>
          <w:numId w:val="2"/>
        </w:numPr>
        <w:spacing w:after="60" w:before="60"/>
      </w:pPr>
      <w:r>
        <w:rPr>
          <w:rFonts w:ascii="Arial" w:cs="Arial" w:eastAsia="Arial" w:hAnsi="Arial"/>
          <w:sz w:val="20"/>
          <w:szCs w:val="20"/>
        </w:rPr>
        <w:t xml:space="preserve">Deliver a fully operational, AI-generated integration configuration layer for all five API providers in BRD-NVC-2025-004</w:t>
      </w:r>
    </w:p>
    <w:p>
      <w:pPr>
        <w:pStyle w:val="ListParagraph"/>
        <w:numPr>
          <w:ilvl w:val="0"/>
          <w:numId w:val="2"/>
        </w:numPr>
        <w:spacing w:after="60" w:before="60"/>
      </w:pPr>
      <w:r>
        <w:rPr>
          <w:rFonts w:ascii="Arial" w:cs="Arial" w:eastAsia="Arial" w:hAnsi="Arial"/>
          <w:sz w:val="20"/>
          <w:szCs w:val="20"/>
        </w:rPr>
        <w:t xml:space="preserve">Ensure zero manual field mapping or hook configuration effort from NovaCred's integration teams</w:t>
      </w:r>
    </w:p>
    <w:p>
      <w:pPr>
        <w:pStyle w:val="ListParagraph"/>
        <w:numPr>
          <w:ilvl w:val="0"/>
          <w:numId w:val="2"/>
        </w:numPr>
        <w:spacing w:after="60" w:before="60"/>
      </w:pPr>
      <w:r>
        <w:rPr>
          <w:rFonts w:ascii="Arial" w:cs="Arial" w:eastAsia="Arial" w:hAnsi="Arial"/>
          <w:sz w:val="20"/>
          <w:szCs w:val="20"/>
        </w:rPr>
        <w:t xml:space="preserve">Produce deployment-ready artefacts importable directly into NovaCred's target integration runtime</w:t>
      </w:r>
    </w:p>
    <w:p>
      <w:pPr>
        <w:pStyle w:val="ListParagraph"/>
        <w:numPr>
          <w:ilvl w:val="0"/>
          <w:numId w:val="2"/>
        </w:numPr>
        <w:spacing w:after="60" w:before="60"/>
      </w:pPr>
      <w:r>
        <w:rPr>
          <w:rFonts w:ascii="Arial" w:cs="Arial" w:eastAsia="Arial" w:hAnsi="Arial"/>
          <w:sz w:val="20"/>
          <w:szCs w:val="20"/>
        </w:rPr>
        <w:t xml:space="preserve">Validate all configurations against vendor sandbox environments with a minimum of 10 end-to-end test scenarios</w:t>
      </w:r>
    </w:p>
    <w:p>
      <w:pPr>
        <w:pStyle w:val="ListParagraph"/>
        <w:numPr>
          <w:ilvl w:val="0"/>
          <w:numId w:val="2"/>
        </w:numPr>
        <w:spacing w:after="60" w:before="60"/>
      </w:pPr>
      <w:r>
        <w:rPr>
          <w:rFonts w:ascii="Arial" w:cs="Arial" w:eastAsia="Arial" w:hAnsi="Arial"/>
          <w:sz w:val="20"/>
          <w:szCs w:val="20"/>
        </w:rPr>
        <w:t xml:space="preserve">Enable NovaCred's credit decisioning journey to achieve a target STP rate of 70% for eligible applications</w:t>
      </w:r>
    </w:p>
    <w:p>
      <w:pPr>
        <w:pStyle w:val="Heading1"/>
        <w:spacing w:after="160" w:before="320"/>
      </w:pPr>
      <w:r>
        <w:rPr>
          <w:rFonts w:ascii="Arial" w:cs="Arial" w:eastAsia="Arial" w:hAnsi="Arial"/>
          <w:b/>
          <w:bCs/>
          <w:color w:val="1F3864"/>
          <w:sz w:val="28"/>
          <w:szCs w:val="28"/>
        </w:rPr>
        <w:t xml:space="preserve">2. Scope of Work</w:t>
      </w:r>
    </w:p>
    <w:p>
      <w:pPr>
        <w:pStyle w:val="Heading2"/>
        <w:spacing w:after="120" w:before="240"/>
      </w:pPr>
      <w:r>
        <w:rPr>
          <w:rFonts w:ascii="Arial" w:cs="Arial" w:eastAsia="Arial" w:hAnsi="Arial"/>
          <w:b/>
          <w:bCs/>
          <w:color w:val="2E74B5"/>
          <w:sz w:val="24"/>
          <w:szCs w:val="24"/>
        </w:rPr>
        <w:t xml:space="preserve">2.1 In-Scope Activities</w:t>
      </w:r>
    </w:p>
    <w:p>
      <w:pPr>
        <w:pStyle w:val="Heading2"/>
        <w:spacing w:after="120" w:before="240"/>
      </w:pPr>
      <w:r>
        <w:rPr>
          <w:rFonts w:ascii="Arial" w:cs="Arial" w:eastAsia="Arial" w:hAnsi="Arial"/>
          <w:b/>
          <w:bCs/>
          <w:color w:val="2E74B5"/>
          <w:sz w:val="24"/>
          <w:szCs w:val="24"/>
        </w:rPr>
        <w:t xml:space="preserve">2.1.1 BRD Ingestion &amp; Intent Extraction</w:t>
      </w:r>
    </w:p>
    <w:p>
      <w:pPr>
        <w:pStyle w:val="ListParagraph"/>
        <w:numPr>
          <w:ilvl w:val="0"/>
          <w:numId w:val="2"/>
        </w:numPr>
        <w:spacing w:after="60" w:before="60"/>
      </w:pPr>
      <w:r>
        <w:rPr>
          <w:rFonts w:ascii="Arial" w:cs="Arial" w:eastAsia="Arial" w:hAnsi="Arial"/>
          <w:sz w:val="20"/>
          <w:szCs w:val="20"/>
        </w:rPr>
        <w:t xml:space="preserve">Automated ingestion of BRD-NVC-2025-004 by the Platform's NLP and intent extraction engine</w:t>
      </w:r>
    </w:p>
    <w:p>
      <w:pPr>
        <w:pStyle w:val="ListParagraph"/>
        <w:numPr>
          <w:ilvl w:val="0"/>
          <w:numId w:val="2"/>
        </w:numPr>
        <w:spacing w:after="60" w:before="60"/>
      </w:pPr>
      <w:r>
        <w:rPr>
          <w:rFonts w:ascii="Arial" w:cs="Arial" w:eastAsia="Arial" w:hAnsi="Arial"/>
          <w:sz w:val="20"/>
          <w:szCs w:val="20"/>
        </w:rPr>
        <w:t xml:space="preserve">Extraction and classification of all integration requirements, API endpoint specifications, authentication methods, field definitions from Section 4, workflow rules from Section 5, retry policies from Section 6, and hook requirements from Section 8</w:t>
      </w:r>
    </w:p>
    <w:p>
      <w:pPr>
        <w:pStyle w:val="ListParagraph"/>
        <w:numPr>
          <w:ilvl w:val="0"/>
          <w:numId w:val="2"/>
        </w:numPr>
        <w:spacing w:after="60" w:before="60"/>
      </w:pPr>
      <w:r>
        <w:rPr>
          <w:rFonts w:ascii="Arial" w:cs="Arial" w:eastAsia="Arial" w:hAnsi="Arial"/>
          <w:sz w:val="20"/>
          <w:szCs w:val="20"/>
        </w:rPr>
        <w:t xml:space="preserve">Generation of a structured intent manifest (JSON) representing all extracted requirements for review by NovaCred prior to configuration generation</w:t>
      </w:r>
    </w:p>
    <w:p>
      <w:pPr>
        <w:pStyle w:val="ListParagraph"/>
        <w:numPr>
          <w:ilvl w:val="0"/>
          <w:numId w:val="2"/>
        </w:numPr>
        <w:spacing w:after="60" w:before="60"/>
      </w:pPr>
      <w:r>
        <w:rPr>
          <w:rFonts w:ascii="Arial" w:cs="Arial" w:eastAsia="Arial" w:hAnsi="Arial"/>
          <w:sz w:val="20"/>
          <w:szCs w:val="20"/>
        </w:rPr>
        <w:t xml:space="preserve">Presentation of the intent manifest to NovaCred's integration lead for validation; amendment cycle not to exceed two rounds</w:t>
      </w:r>
    </w:p>
    <w:p>
      <w:pPr>
        <w:pStyle w:val="Heading2"/>
        <w:spacing w:after="120" w:before="240"/>
      </w:pPr>
      <w:r>
        <w:rPr>
          <w:rFonts w:ascii="Arial" w:cs="Arial" w:eastAsia="Arial" w:hAnsi="Arial"/>
          <w:b/>
          <w:bCs/>
          <w:color w:val="2E74B5"/>
          <w:sz w:val="24"/>
          <w:szCs w:val="24"/>
        </w:rPr>
        <w:t xml:space="preserve">2.1.2 Automated Field Mapping &amp; Transformation Configuration</w:t>
      </w:r>
    </w:p>
    <w:p>
      <w:pPr>
        <w:pStyle w:val="ListParagraph"/>
        <w:numPr>
          <w:ilvl w:val="0"/>
          <w:numId w:val="2"/>
        </w:numPr>
        <w:spacing w:after="60" w:before="60"/>
      </w:pPr>
      <w:r>
        <w:rPr>
          <w:rFonts w:ascii="Arial" w:cs="Arial" w:eastAsia="Arial" w:hAnsi="Arial"/>
          <w:sz w:val="20"/>
          <w:szCs w:val="20"/>
        </w:rPr>
        <w:t xml:space="preserve">Automatic inference of field mappings between NovaCred's applicant input fields (BRD Sections 4.1, 4.2) and the request/response schemas of all five integration APIs</w:t>
      </w:r>
    </w:p>
    <w:p>
      <w:pPr>
        <w:pStyle w:val="ListParagraph"/>
        <w:numPr>
          <w:ilvl w:val="0"/>
          <w:numId w:val="2"/>
        </w:numPr>
        <w:spacing w:after="60" w:before="60"/>
      </w:pPr>
      <w:r>
        <w:rPr>
          <w:rFonts w:ascii="Arial" w:cs="Arial" w:eastAsia="Arial" w:hAnsi="Arial"/>
          <w:sz w:val="20"/>
          <w:szCs w:val="20"/>
        </w:rPr>
        <w:t xml:space="preserve">Generation of data transformation rules including: date format normalisation (DD/MM/YYYY to ISO 8601), PAN pattern validation, Aadhaar masking (last 4 digits only in logs), monthly-to-annual income conversion, phone number format conversion to E.164 for Twilio, and conditional field mapping based on work_type</w:t>
      </w:r>
    </w:p>
    <w:p>
      <w:pPr>
        <w:pStyle w:val="ListParagraph"/>
        <w:numPr>
          <w:ilvl w:val="0"/>
          <w:numId w:val="2"/>
        </w:numPr>
        <w:spacing w:after="60" w:before="60"/>
      </w:pPr>
      <w:r>
        <w:rPr>
          <w:rFonts w:ascii="Arial" w:cs="Arial" w:eastAsia="Arial" w:hAnsi="Arial"/>
          <w:sz w:val="20"/>
          <w:szCs w:val="20"/>
        </w:rPr>
        <w:t xml:space="preserve">Automatic generation of request payload templates for each API call incorporating the mapped and transformed fields</w:t>
      </w:r>
    </w:p>
    <w:p>
      <w:pPr>
        <w:pStyle w:val="ListParagraph"/>
        <w:numPr>
          <w:ilvl w:val="0"/>
          <w:numId w:val="2"/>
        </w:numPr>
        <w:spacing w:after="60" w:before="60"/>
      </w:pPr>
      <w:r>
        <w:rPr>
          <w:rFonts w:ascii="Arial" w:cs="Arial" w:eastAsia="Arial" w:hAnsi="Arial"/>
          <w:sz w:val="20"/>
          <w:szCs w:val="20"/>
        </w:rPr>
        <w:t xml:space="preserve">All generated mappings presented in human-readable format for NovaCred review prior to deployment</w:t>
      </w:r>
    </w:p>
    <w:p>
      <w:pPr>
        <w:pStyle w:val="Heading2"/>
        <w:spacing w:after="120" w:before="240"/>
      </w:pPr>
      <w:r>
        <w:rPr>
          <w:rFonts w:ascii="Arial" w:cs="Arial" w:eastAsia="Arial" w:hAnsi="Arial"/>
          <w:b/>
          <w:bCs/>
          <w:color w:val="2E74B5"/>
          <w:sz w:val="24"/>
          <w:szCs w:val="24"/>
        </w:rPr>
        <w:t xml:space="preserve">2.1.3 Orchestration &amp; Workflow Configuration</w:t>
      </w:r>
    </w:p>
    <w:p>
      <w:pPr>
        <w:pStyle w:val="ListParagraph"/>
        <w:numPr>
          <w:ilvl w:val="0"/>
          <w:numId w:val="2"/>
        </w:numPr>
        <w:spacing w:after="60" w:before="60"/>
      </w:pPr>
      <w:r>
        <w:rPr>
          <w:rFonts w:ascii="Arial" w:cs="Arial" w:eastAsia="Arial" w:hAnsi="Arial"/>
          <w:sz w:val="20"/>
          <w:szCs w:val="20"/>
        </w:rPr>
        <w:t xml:space="preserve">Generation of the complete workflow orchestration configuration governing the 8-step credit decisioning journey as described in BRD Section 5</w:t>
      </w:r>
    </w:p>
    <w:p>
      <w:pPr>
        <w:pStyle w:val="ListParagraph"/>
        <w:numPr>
          <w:ilvl w:val="0"/>
          <w:numId w:val="2"/>
        </w:numPr>
        <w:spacing w:after="60" w:before="60"/>
      </w:pPr>
      <w:r>
        <w:rPr>
          <w:rFonts w:ascii="Arial" w:cs="Arial" w:eastAsia="Arial" w:hAnsi="Arial"/>
          <w:sz w:val="20"/>
          <w:szCs w:val="20"/>
        </w:rPr>
        <w:t xml:space="preserve">Automatic configuration of parallel execution paths: RiskGuard fraud scoring and Karza KYC at Steps 3/4; Perfios AA consent and CIBIL bureau pull at Step 5</w:t>
      </w:r>
    </w:p>
    <w:p>
      <w:pPr>
        <w:pStyle w:val="ListParagraph"/>
        <w:numPr>
          <w:ilvl w:val="0"/>
          <w:numId w:val="2"/>
        </w:numPr>
        <w:spacing w:after="60" w:before="60"/>
      </w:pPr>
      <w:r>
        <w:rPr>
          <w:rFonts w:ascii="Arial" w:cs="Arial" w:eastAsia="Arial" w:hAnsi="Arial"/>
          <w:sz w:val="20"/>
          <w:szCs w:val="20"/>
        </w:rPr>
        <w:t xml:space="preserve">Generation of conditional routing logic for all decision branches: RiskGuard score tier routing (Low/Medium/High/Very High), KYC failure routing, Perfios AA consent window management</w:t>
      </w:r>
    </w:p>
    <w:p>
      <w:pPr>
        <w:pStyle w:val="ListParagraph"/>
        <w:numPr>
          <w:ilvl w:val="0"/>
          <w:numId w:val="2"/>
        </w:numPr>
        <w:spacing w:after="60" w:before="60"/>
      </w:pPr>
      <w:r>
        <w:rPr>
          <w:rFonts w:ascii="Arial" w:cs="Arial" w:eastAsia="Arial" w:hAnsi="Arial"/>
          <w:sz w:val="20"/>
          <w:szCs w:val="20"/>
        </w:rPr>
        <w:t xml:space="preserve">Generation of retry hook configurations per BRD Section 6 including configurable intervals, attempt counts, and post-retry escalation actions</w:t>
      </w:r>
    </w:p>
    <w:p>
      <w:pPr>
        <w:pStyle w:val="Heading2"/>
        <w:spacing w:after="120" w:before="240"/>
      </w:pPr>
      <w:r>
        <w:rPr>
          <w:rFonts w:ascii="Arial" w:cs="Arial" w:eastAsia="Arial" w:hAnsi="Arial"/>
          <w:b/>
          <w:bCs/>
          <w:color w:val="2E74B5"/>
          <w:sz w:val="24"/>
          <w:szCs w:val="24"/>
        </w:rPr>
        <w:t xml:space="preserve">2.1.4 Integration Lifecycle Hook Configuration</w:t>
      </w:r>
    </w:p>
    <w:p>
      <w:pPr>
        <w:spacing w:after="80" w:before="80"/>
      </w:pPr>
      <w:r>
        <w:rPr>
          <w:rFonts w:ascii="Arial" w:cs="Arial" w:eastAsia="Arial" w:hAnsi="Arial"/>
          <w:b w:val="false"/>
          <w:bCs w:val="false"/>
          <w:sz w:val="20"/>
          <w:szCs w:val="20"/>
        </w:rPr>
        <w:t xml:space="preserve">The Platform will automatically generate lifecycle hook configurations for all five integrations based on BRD Section 8:</w:t>
      </w:r>
    </w:p>
    <w:p>
      <w:pPr>
        <w:pStyle w:val="ListParagraph"/>
        <w:numPr>
          <w:ilvl w:val="0"/>
          <w:numId w:val="2"/>
        </w:numPr>
        <w:spacing w:after="60" w:before="60"/>
      </w:pPr>
      <w:r>
        <w:rPr>
          <w:rFonts w:ascii="Arial" w:cs="Arial" w:eastAsia="Arial" w:hAnsi="Arial"/>
          <w:sz w:val="20"/>
          <w:szCs w:val="20"/>
        </w:rPr>
        <w:t xml:space="preserve">Credential Resolve Hook: Pre-call vault fetch for all five integrations; no in-memory caching beyond single request</w:t>
      </w:r>
    </w:p>
    <w:p>
      <w:pPr>
        <w:pStyle w:val="ListParagraph"/>
        <w:numPr>
          <w:ilvl w:val="0"/>
          <w:numId w:val="2"/>
        </w:numPr>
        <w:spacing w:after="60" w:before="60"/>
      </w:pPr>
      <w:r>
        <w:rPr>
          <w:rFonts w:ascii="Arial" w:cs="Arial" w:eastAsia="Arial" w:hAnsi="Arial"/>
          <w:sz w:val="20"/>
          <w:szCs w:val="20"/>
        </w:rPr>
        <w:t xml:space="preserve">Field Encryption Hook: Pre-call encryption of Aadhaar, PAN, and bank account numbers for Karza, CIBIL, and Perfios payloads</w:t>
      </w:r>
    </w:p>
    <w:p>
      <w:pPr>
        <w:pStyle w:val="ListParagraph"/>
        <w:numPr>
          <w:ilvl w:val="0"/>
          <w:numId w:val="2"/>
        </w:numPr>
        <w:spacing w:after="60" w:before="60"/>
      </w:pPr>
      <w:r>
        <w:rPr>
          <w:rFonts w:ascii="Arial" w:cs="Arial" w:eastAsia="Arial" w:hAnsi="Arial"/>
          <w:sz w:val="20"/>
          <w:szCs w:val="20"/>
        </w:rPr>
        <w:t xml:space="preserve">Rate Limit Guard Hook: Pre-call rate limit enforcement for CIBIL and Perfios with queuing at 85% quota utilisation</w:t>
      </w:r>
    </w:p>
    <w:p>
      <w:pPr>
        <w:pStyle w:val="ListParagraph"/>
        <w:numPr>
          <w:ilvl w:val="0"/>
          <w:numId w:val="2"/>
        </w:numPr>
        <w:spacing w:after="60" w:before="60"/>
      </w:pPr>
      <w:r>
        <w:rPr>
          <w:rFonts w:ascii="Arial" w:cs="Arial" w:eastAsia="Arial" w:hAnsi="Arial"/>
          <w:sz w:val="20"/>
          <w:szCs w:val="20"/>
        </w:rPr>
        <w:t xml:space="preserve">Pre Auth Hook: Pre-call token validation for Perfios OAuth 2.0 and RiskGuard bearer token; triggers re-authentication on expiry</w:t>
      </w:r>
    </w:p>
    <w:p>
      <w:pPr>
        <w:pStyle w:val="ListParagraph"/>
        <w:numPr>
          <w:ilvl w:val="0"/>
          <w:numId w:val="2"/>
        </w:numPr>
        <w:spacing w:after="60" w:before="60"/>
      </w:pPr>
      <w:r>
        <w:rPr>
          <w:rFonts w:ascii="Arial" w:cs="Arial" w:eastAsia="Arial" w:hAnsi="Arial"/>
          <w:sz w:val="20"/>
          <w:szCs w:val="20"/>
        </w:rPr>
        <w:t xml:space="preserve">Post Schema Validation Hook: Post-call response validation for all five integrations; malformed responses treated as failures</w:t>
      </w:r>
    </w:p>
    <w:p>
      <w:pPr>
        <w:pStyle w:val="ListParagraph"/>
        <w:numPr>
          <w:ilvl w:val="0"/>
          <w:numId w:val="2"/>
        </w:numPr>
        <w:spacing w:after="60" w:before="60"/>
      </w:pPr>
      <w:r>
        <w:rPr>
          <w:rFonts w:ascii="Arial" w:cs="Arial" w:eastAsia="Arial" w:hAnsi="Arial"/>
          <w:sz w:val="20"/>
          <w:szCs w:val="20"/>
        </w:rPr>
        <w:t xml:space="preserve">Post Transform Hook: Post-call transformation for Perfios financial analysis to extract income and cash flow indicators</w:t>
      </w:r>
    </w:p>
    <w:p>
      <w:pPr>
        <w:pStyle w:val="ListParagraph"/>
        <w:numPr>
          <w:ilvl w:val="0"/>
          <w:numId w:val="2"/>
        </w:numPr>
        <w:spacing w:after="60" w:before="60"/>
      </w:pPr>
      <w:r>
        <w:rPr>
          <w:rFonts w:ascii="Arial" w:cs="Arial" w:eastAsia="Arial" w:hAnsi="Arial"/>
          <w:sz w:val="20"/>
          <w:szCs w:val="20"/>
        </w:rPr>
        <w:t xml:space="preserve">Audit Emit Hook: Post-call PII-masked audit event emission for all five integrations</w:t>
      </w:r>
    </w:p>
    <w:p>
      <w:pPr>
        <w:pStyle w:val="ListParagraph"/>
        <w:numPr>
          <w:ilvl w:val="0"/>
          <w:numId w:val="2"/>
        </w:numPr>
        <w:spacing w:after="60" w:before="60"/>
      </w:pPr>
      <w:r>
        <w:rPr>
          <w:rFonts w:ascii="Arial" w:cs="Arial" w:eastAsia="Arial" w:hAnsi="Arial"/>
          <w:sz w:val="20"/>
          <w:szCs w:val="20"/>
        </w:rPr>
        <w:t xml:space="preserve">Observability Logging Hook: Post-call structured log emission with request ID, integration name, latency, HTTP status, and outcome</w:t>
      </w:r>
    </w:p>
    <w:p>
      <w:pPr>
        <w:pStyle w:val="ListParagraph"/>
        <w:numPr>
          <w:ilvl w:val="0"/>
          <w:numId w:val="2"/>
        </w:numPr>
        <w:spacing w:after="60" w:before="60"/>
      </w:pPr>
      <w:r>
        <w:rPr>
          <w:rFonts w:ascii="Arial" w:cs="Arial" w:eastAsia="Arial" w:hAnsi="Arial"/>
          <w:sz w:val="20"/>
          <w:szCs w:val="20"/>
        </w:rPr>
        <w:t xml:space="preserve">Retry Hook: Automated retry per BRD Section 6 policies for all integrations</w:t>
      </w:r>
    </w:p>
    <w:p>
      <w:pPr>
        <w:pStyle w:val="ListParagraph"/>
        <w:numPr>
          <w:ilvl w:val="0"/>
          <w:numId w:val="2"/>
        </w:numPr>
        <w:spacing w:after="60" w:before="60"/>
      </w:pPr>
      <w:r>
        <w:rPr>
          <w:rFonts w:ascii="Arial" w:cs="Arial" w:eastAsia="Arial" w:hAnsi="Arial"/>
          <w:sz w:val="20"/>
          <w:szCs w:val="20"/>
        </w:rPr>
        <w:t xml:space="preserve">On Failure Alert Hook: Terminal failure alerting to NovaCred operations team within 2 minutes of retry exhaustion</w:t>
      </w:r>
    </w:p>
    <w:p>
      <w:pPr>
        <w:pStyle w:val="ListParagraph"/>
        <w:numPr>
          <w:ilvl w:val="0"/>
          <w:numId w:val="2"/>
        </w:numPr>
        <w:spacing w:after="60" w:before="60"/>
      </w:pPr>
      <w:r>
        <w:rPr>
          <w:rFonts w:ascii="Arial" w:cs="Arial" w:eastAsia="Arial" w:hAnsi="Arial"/>
          <w:sz w:val="20"/>
          <w:szCs w:val="20"/>
        </w:rPr>
        <w:t xml:space="preserve">Simulation Intercept Hook: Active during sandbox phase; substitutes mock responses for live API calls</w:t>
      </w:r>
    </w:p>
    <w:p>
      <w:pPr>
        <w:pStyle w:val="ListParagraph"/>
        <w:numPr>
          <w:ilvl w:val="0"/>
          <w:numId w:val="2"/>
        </w:numPr>
        <w:spacing w:after="60" w:before="60"/>
      </w:pPr>
      <w:r>
        <w:rPr>
          <w:rFonts w:ascii="Arial" w:cs="Arial" w:eastAsia="Arial" w:hAnsi="Arial"/>
          <w:sz w:val="20"/>
          <w:szCs w:val="20"/>
        </w:rPr>
        <w:t xml:space="preserve">Version Compatibility Hook: Pre-call API version validation to ensure all calls target correct Platform-selected versions</w:t>
      </w:r>
    </w:p>
    <w:p>
      <w:pPr>
        <w:pStyle w:val="Heading2"/>
        <w:spacing w:after="120" w:before="240"/>
      </w:pPr>
      <w:r>
        <w:rPr>
          <w:rFonts w:ascii="Arial" w:cs="Arial" w:eastAsia="Arial" w:hAnsi="Arial"/>
          <w:b/>
          <w:bCs/>
          <w:color w:val="2E74B5"/>
          <w:sz w:val="24"/>
          <w:szCs w:val="24"/>
        </w:rPr>
        <w:t xml:space="preserve">2.1.5 Authentication &amp; Security Configuration</w:t>
      </w:r>
    </w:p>
    <w:p>
      <w:pPr>
        <w:pStyle w:val="ListParagraph"/>
        <w:numPr>
          <w:ilvl w:val="0"/>
          <w:numId w:val="2"/>
        </w:numPr>
        <w:spacing w:after="60" w:before="60"/>
      </w:pPr>
      <w:r>
        <w:rPr>
          <w:rFonts w:ascii="Arial" w:cs="Arial" w:eastAsia="Arial" w:hAnsi="Arial"/>
          <w:sz w:val="20"/>
          <w:szCs w:val="20"/>
        </w:rPr>
        <w:t xml:space="preserve">Generation of authentication configuration for each vendor per BRD Section 7</w:t>
      </w:r>
    </w:p>
    <w:p>
      <w:pPr>
        <w:pStyle w:val="ListParagraph"/>
        <w:numPr>
          <w:ilvl w:val="0"/>
          <w:numId w:val="2"/>
        </w:numPr>
        <w:spacing w:after="60" w:before="60"/>
      </w:pPr>
      <w:r>
        <w:rPr>
          <w:rFonts w:ascii="Arial" w:cs="Arial" w:eastAsia="Arial" w:hAnsi="Arial"/>
          <w:sz w:val="20"/>
          <w:szCs w:val="20"/>
        </w:rPr>
        <w:t xml:space="preserve">Generation of secrets vault integration configuration; no credentials may appear in configuration files or source code</w:t>
      </w:r>
    </w:p>
    <w:p>
      <w:pPr>
        <w:pStyle w:val="ListParagraph"/>
        <w:numPr>
          <w:ilvl w:val="0"/>
          <w:numId w:val="2"/>
        </w:numPr>
        <w:spacing w:after="60" w:before="60"/>
      </w:pPr>
      <w:r>
        <w:rPr>
          <w:rFonts w:ascii="Arial" w:cs="Arial" w:eastAsia="Arial" w:hAnsi="Arial"/>
          <w:sz w:val="20"/>
          <w:szCs w:val="20"/>
        </w:rPr>
        <w:t xml:space="preserve">Generation of TLS 1.2+ enforcement configuration for all outbound calls</w:t>
      </w:r>
    </w:p>
    <w:p>
      <w:pPr>
        <w:pStyle w:val="ListParagraph"/>
        <w:numPr>
          <w:ilvl w:val="0"/>
          <w:numId w:val="2"/>
        </w:numPr>
        <w:spacing w:after="60" w:before="60"/>
      </w:pPr>
      <w:r>
        <w:rPr>
          <w:rFonts w:ascii="Arial" w:cs="Arial" w:eastAsia="Arial" w:hAnsi="Arial"/>
          <w:sz w:val="20"/>
          <w:szCs w:val="20"/>
        </w:rPr>
        <w:t xml:space="preserve">Generation of PII masking rules covering Aadhaar number (last 4 digits only), PAN number, bank account number, and mobile number for all logging configurations</w:t>
      </w:r>
    </w:p>
    <w:p>
      <w:pPr>
        <w:pStyle w:val="Heading2"/>
        <w:spacing w:after="120" w:before="240"/>
      </w:pPr>
      <w:r>
        <w:rPr>
          <w:rFonts w:ascii="Arial" w:cs="Arial" w:eastAsia="Arial" w:hAnsi="Arial"/>
          <w:b/>
          <w:bCs/>
          <w:color w:val="2E74B5"/>
          <w:sz w:val="24"/>
          <w:szCs w:val="24"/>
        </w:rPr>
        <w:t xml:space="preserve">2.1.6 Notification Configuration</w:t>
      </w:r>
    </w:p>
    <w:p>
      <w:pPr>
        <w:pStyle w:val="ListParagraph"/>
        <w:numPr>
          <w:ilvl w:val="0"/>
          <w:numId w:val="2"/>
        </w:numPr>
        <w:spacing w:after="60" w:before="60"/>
      </w:pPr>
      <w:r>
        <w:rPr>
          <w:rFonts w:ascii="Arial" w:cs="Arial" w:eastAsia="Arial" w:hAnsi="Arial"/>
          <w:sz w:val="20"/>
          <w:szCs w:val="20"/>
        </w:rPr>
        <w:t xml:space="preserve">Generation of Twilio SMS notification configuration for all 6 workflow trigger points specified in BRD Section 3.2.5</w:t>
      </w:r>
    </w:p>
    <w:p>
      <w:pPr>
        <w:pStyle w:val="ListParagraph"/>
        <w:numPr>
          <w:ilvl w:val="0"/>
          <w:numId w:val="2"/>
        </w:numPr>
        <w:spacing w:after="60" w:before="60"/>
      </w:pPr>
      <w:r>
        <w:rPr>
          <w:rFonts w:ascii="Arial" w:cs="Arial" w:eastAsia="Arial" w:hAnsi="Arial"/>
          <w:sz w:val="20"/>
          <w:szCs w:val="20"/>
        </w:rPr>
        <w:t xml:space="preserve">Mapping of SMS message template variables to NovaCred application data fields for each notification event</w:t>
      </w:r>
    </w:p>
    <w:p>
      <w:pPr>
        <w:pStyle w:val="ListParagraph"/>
        <w:numPr>
          <w:ilvl w:val="0"/>
          <w:numId w:val="2"/>
        </w:numPr>
        <w:spacing w:after="60" w:before="60"/>
      </w:pPr>
      <w:r>
        <w:rPr>
          <w:rFonts w:ascii="Arial" w:cs="Arial" w:eastAsia="Arial" w:hAnsi="Arial"/>
          <w:sz w:val="20"/>
          <w:szCs w:val="20"/>
        </w:rPr>
        <w:t xml:space="preserve">Configuration of DLT Sender ID 'NCRDLP' and SMS retry policy per BRD Section 6</w:t>
      </w:r>
    </w:p>
    <w:p>
      <w:pPr>
        <w:pStyle w:val="Heading2"/>
        <w:spacing w:after="120" w:before="240"/>
      </w:pPr>
      <w:r>
        <w:rPr>
          <w:rFonts w:ascii="Arial" w:cs="Arial" w:eastAsia="Arial" w:hAnsi="Arial"/>
          <w:b/>
          <w:bCs/>
          <w:color w:val="2E74B5"/>
          <w:sz w:val="24"/>
          <w:szCs w:val="24"/>
        </w:rPr>
        <w:t xml:space="preserve">2.1.7 Sandbox Validation &amp; Testing</w:t>
      </w:r>
    </w:p>
    <w:p>
      <w:pPr>
        <w:pStyle w:val="ListParagraph"/>
        <w:numPr>
          <w:ilvl w:val="0"/>
          <w:numId w:val="2"/>
        </w:numPr>
        <w:spacing w:after="60" w:before="60"/>
      </w:pPr>
      <w:r>
        <w:rPr>
          <w:rFonts w:ascii="Arial" w:cs="Arial" w:eastAsia="Arial" w:hAnsi="Arial"/>
          <w:sz w:val="20"/>
          <w:szCs w:val="20"/>
        </w:rPr>
        <w:t xml:space="preserve">Execution of all configurations against vendor sandbox environments for all five APIs</w:t>
      </w:r>
    </w:p>
    <w:p>
      <w:pPr>
        <w:pStyle w:val="ListParagraph"/>
        <w:numPr>
          <w:ilvl w:val="0"/>
          <w:numId w:val="2"/>
        </w:numPr>
        <w:spacing w:after="60" w:before="60"/>
      </w:pPr>
      <w:r>
        <w:rPr>
          <w:rFonts w:ascii="Arial" w:cs="Arial" w:eastAsia="Arial" w:hAnsi="Arial"/>
          <w:sz w:val="20"/>
          <w:szCs w:val="20"/>
        </w:rPr>
        <w:t xml:space="preserve">Minimum 10 end-to-end test scenarios covering: STP happy path, Karza KYC failure routing, CIBIL no-hit routing, CIBIL retry on 5xx, Perfios AA consent timeout, Perfios AA declined fallback, RiskGuard score &gt;= 75 suspension, RiskGuard EDD fallback on unavailability, Twilio delivery failure retry, and version compatibility hook validation</w:t>
      </w:r>
    </w:p>
    <w:p>
      <w:pPr>
        <w:pStyle w:val="ListParagraph"/>
        <w:numPr>
          <w:ilvl w:val="0"/>
          <w:numId w:val="2"/>
        </w:numPr>
        <w:spacing w:after="60" w:before="60"/>
      </w:pPr>
      <w:r>
        <w:rPr>
          <w:rFonts w:ascii="Arial" w:cs="Arial" w:eastAsia="Arial" w:hAnsi="Arial"/>
          <w:sz w:val="20"/>
          <w:szCs w:val="20"/>
        </w:rPr>
        <w:t xml:space="preserve">Provision of a test execution report detailing all test scenarios and results</w:t>
      </w:r>
    </w:p>
    <w:p>
      <w:pPr>
        <w:pStyle w:val="Heading2"/>
        <w:spacing w:after="120" w:before="240"/>
      </w:pPr>
      <w:r>
        <w:rPr>
          <w:rFonts w:ascii="Arial" w:cs="Arial" w:eastAsia="Arial" w:hAnsi="Arial"/>
          <w:b/>
          <w:bCs/>
          <w:color w:val="2E74B5"/>
          <w:sz w:val="24"/>
          <w:szCs w:val="24"/>
        </w:rPr>
        <w:t xml:space="preserve">2.2 Out of Scope</w:t>
      </w:r>
    </w:p>
    <w:p>
      <w:pPr>
        <w:pStyle w:val="ListParagraph"/>
        <w:numPr>
          <w:ilvl w:val="0"/>
          <w:numId w:val="2"/>
        </w:numPr>
        <w:spacing w:after="60" w:before="60"/>
      </w:pPr>
      <w:r>
        <w:rPr>
          <w:rFonts w:ascii="Arial" w:cs="Arial" w:eastAsia="Arial" w:hAnsi="Arial"/>
          <w:sz w:val="20"/>
          <w:szCs w:val="20"/>
        </w:rPr>
        <w:t xml:space="preserve">Development of NovaCred's front-end mobile lending application</w:t>
      </w:r>
    </w:p>
    <w:p>
      <w:pPr>
        <w:pStyle w:val="ListParagraph"/>
        <w:numPr>
          <w:ilvl w:val="0"/>
          <w:numId w:val="2"/>
        </w:numPr>
        <w:spacing w:after="60" w:before="60"/>
      </w:pPr>
      <w:r>
        <w:rPr>
          <w:rFonts w:ascii="Arial" w:cs="Arial" w:eastAsia="Arial" w:hAnsi="Arial"/>
          <w:sz w:val="20"/>
          <w:szCs w:val="20"/>
        </w:rPr>
        <w:t xml:space="preserve">Loan disbursement gateway or collections workflow integration</w:t>
      </w:r>
    </w:p>
    <w:p>
      <w:pPr>
        <w:pStyle w:val="ListParagraph"/>
        <w:numPr>
          <w:ilvl w:val="0"/>
          <w:numId w:val="2"/>
        </w:numPr>
        <w:spacing w:after="60" w:before="60"/>
      </w:pPr>
      <w:r>
        <w:rPr>
          <w:rFonts w:ascii="Arial" w:cs="Arial" w:eastAsia="Arial" w:hAnsi="Arial"/>
          <w:sz w:val="20"/>
          <w:szCs w:val="20"/>
        </w:rPr>
        <w:t xml:space="preserve">Procurement of vendor API credentials or sandbox access on behalf of NovaCred</w:t>
      </w:r>
    </w:p>
    <w:p>
      <w:pPr>
        <w:pStyle w:val="ListParagraph"/>
        <w:numPr>
          <w:ilvl w:val="0"/>
          <w:numId w:val="2"/>
        </w:numPr>
        <w:spacing w:after="60" w:before="60"/>
      </w:pPr>
      <w:r>
        <w:rPr>
          <w:rFonts w:ascii="Arial" w:cs="Arial" w:eastAsia="Arial" w:hAnsi="Arial"/>
          <w:sz w:val="20"/>
          <w:szCs w:val="20"/>
        </w:rPr>
        <w:t xml:space="preserve">Infrastructure provisioning for NovaCred's deployment environment</w:t>
      </w:r>
    </w:p>
    <w:p>
      <w:pPr>
        <w:pStyle w:val="ListParagraph"/>
        <w:numPr>
          <w:ilvl w:val="0"/>
          <w:numId w:val="2"/>
        </w:numPr>
        <w:spacing w:after="60" w:before="60"/>
      </w:pPr>
      <w:r>
        <w:rPr>
          <w:rFonts w:ascii="Arial" w:cs="Arial" w:eastAsia="Arial" w:hAnsi="Arial"/>
          <w:sz w:val="20"/>
          <w:szCs w:val="20"/>
        </w:rPr>
        <w:t xml:space="preserve">Scope changes from BRD amendments post-commencement; governed by Change Request process in Section 7</w:t>
      </w:r>
    </w:p>
    <w:p>
      <w:pPr>
        <w:pStyle w:val="Heading1"/>
        <w:spacing w:after="160" w:before="320"/>
      </w:pPr>
      <w:r>
        <w:rPr>
          <w:rFonts w:ascii="Arial" w:cs="Arial" w:eastAsia="Arial" w:hAnsi="Arial"/>
          <w:b/>
          <w:bCs/>
          <w:color w:val="1F3864"/>
          <w:sz w:val="28"/>
          <w:szCs w:val="28"/>
        </w:rPr>
        <w:t xml:space="preserve">3.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4360"/>
        <w:gridCol w:w="1600"/>
      </w:tblGrid>
      <w:t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Del. ID</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Deliverable Name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Milestone</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D-01</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Intent Manifest</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Structured JSON document representing all integration requirements extracted from BRD-NVC-2025-004 including API versions, auth methods, field list, workflow rules, hook requirements, and retry policies</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M1</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Field Mapping Specification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Human-readable and machine-executable field mapping covering all input fields mapped to all five API schemas, including transformation rules and conditional mappings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M2</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D-03</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Workflow Orchestration Configuration</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Executable workflow definition covering the 8-step decisioning journey, parallel execution paths, conditional routing, retry hooks, and fallback handlers</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M2</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Hook Configuration Bundle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lifecycle hook configurations for all 12 hooks across all five integrations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M2</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D-05</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Authentication Configuration Bundle</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Per-integration authentication configuration for all five vendors including vault path references</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M2</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Notification Template Configuration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Twilio SMS template definitions for all 6 notification trigger events with variable bindings and DLT Sender ID 'NCRDLP' configuration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M2</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D-07</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Sandbox Test Execution Report</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Minimum 10 end-to-end test scenario results covering STP path, all parallel paths, retry paths, fallback paths, and fraud score routing tiers</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M3</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Deployment-Ready Configuration Bundle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signed-off integration configuration package ready for deployment to NovaCred's target integration runtime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M4</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D-09</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Configuration Deployment Runbook</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Step-by-step operational runbook for NovaCred's DevOps team to deploy, validate, and roll back the integration configuration</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M4</w:t>
            </w:r>
          </w:p>
        </w:tc>
      </w:tr>
    </w:tbl>
    <w:p>
      <w:pPr>
        <w:pStyle w:val="Heading1"/>
        <w:spacing w:after="160" w:before="320"/>
      </w:pPr>
      <w:r>
        <w:rPr>
          <w:rFonts w:ascii="Arial" w:cs="Arial" w:eastAsia="Arial" w:hAnsi="Arial"/>
          <w:b/>
          <w:bCs/>
          <w:color w:val="1F3864"/>
          <w:sz w:val="28"/>
          <w:szCs w:val="28"/>
        </w:rPr>
        <w:t xml:space="preserve">4. Timeline &amp; Milestones</w:t>
      </w:r>
    </w:p>
    <w:p>
      <w:pPr>
        <w:spacing w:after="80" w:before="80"/>
      </w:pPr>
      <w:r>
        <w:rPr>
          <w:rFonts w:ascii="Arial" w:cs="Arial" w:eastAsia="Arial" w:hAnsi="Arial"/>
          <w:b w:val="false"/>
          <w:bCs w:val="false"/>
          <w:sz w:val="20"/>
          <w:szCs w:val="20"/>
        </w:rPr>
        <w:t xml:space="preserve">The engagement is planned for a total duration of 18 weeks from the confirmed start date, subject to timely provision of prerequisites by NovaCred.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1560"/>
        <w:gridCol w:w="200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Milestone</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 Week</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Owner</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M0 — Kick-off</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Project kick-off, onboarding, prerequisites checklist, environment access confirmation</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Week 1</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Joint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M1 — Intent Extraction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BRD ingestion complete; intent manifest generated, reviewed, and signed off by NovaCred integration lead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Platform</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M2 — Config Generation</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All field mappings, hook configs, orchestration workflows, auth configs, and notification templates generated and reviewed</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Week 8</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Platform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M3 — Sandbox Validation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configurations validated against vendor sandbox environments; 10 test scenarios executed; test report delivered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13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Platform + NovaCred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M4 — Deployment Readiness</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Deployment bundle, runbook delivered; NovaCred DevOps sign-off obtained</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Week 16</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Joint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M5 — Go-Live &amp; Validation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Production deployment, post-deployment validation, final sign-off, and warranty period start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18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NovaCred + Platform</w:t>
            </w:r>
          </w:p>
        </w:tc>
      </w:tr>
    </w:tbl>
    <w:p>
      <w:pPr>
        <w:pStyle w:val="Heading1"/>
        <w:spacing w:after="160" w:before="320"/>
      </w:pPr>
      <w:r>
        <w:rPr>
          <w:rFonts w:ascii="Arial" w:cs="Arial" w:eastAsia="Arial" w:hAnsi="Arial"/>
          <w:b/>
          <w:bCs/>
          <w:color w:val="1F3864"/>
          <w:sz w:val="28"/>
          <w:szCs w:val="28"/>
        </w:rPr>
        <w:t xml:space="preserve">5. Acceptance Criteria</w:t>
      </w:r>
    </w:p>
    <w:p>
      <w:pPr>
        <w:pStyle w:val="Heading2"/>
        <w:spacing w:after="120" w:before="240"/>
      </w:pPr>
      <w:r>
        <w:rPr>
          <w:rFonts w:ascii="Arial" w:cs="Arial" w:eastAsia="Arial" w:hAnsi="Arial"/>
          <w:b/>
          <w:bCs/>
          <w:color w:val="2E74B5"/>
          <w:sz w:val="24"/>
          <w:szCs w:val="24"/>
        </w:rPr>
        <w:t xml:space="preserve">5.1 Intent Manifest (D-01 / M1)</w:t>
      </w:r>
    </w:p>
    <w:p>
      <w:pPr>
        <w:pStyle w:val="ListParagraph"/>
        <w:numPr>
          <w:ilvl w:val="0"/>
          <w:numId w:val="2"/>
        </w:numPr>
        <w:spacing w:after="60" w:before="60"/>
      </w:pPr>
      <w:r>
        <w:rPr>
          <w:rFonts w:ascii="Arial" w:cs="Arial" w:eastAsia="Arial" w:hAnsi="Arial"/>
          <w:sz w:val="20"/>
          <w:szCs w:val="20"/>
        </w:rPr>
        <w:t xml:space="preserve">All five integrations are represented with the Platform-selected stable API versions for Karza, CIBIL, Perfios, RiskGuard, and Twilio</w:t>
      </w:r>
    </w:p>
    <w:p>
      <w:pPr>
        <w:pStyle w:val="ListParagraph"/>
        <w:numPr>
          <w:ilvl w:val="0"/>
          <w:numId w:val="2"/>
        </w:numPr>
        <w:spacing w:after="60" w:before="60"/>
      </w:pPr>
      <w:r>
        <w:rPr>
          <w:rFonts w:ascii="Arial" w:cs="Arial" w:eastAsia="Arial" w:hAnsi="Arial"/>
          <w:sz w:val="20"/>
          <w:szCs w:val="20"/>
        </w:rPr>
        <w:t xml:space="preserve">All input fields from BRD Sections 4.1 and 4.2 are captured with field type, format constraints, and mandatory/optional designation</w:t>
      </w:r>
    </w:p>
    <w:p>
      <w:pPr>
        <w:pStyle w:val="ListParagraph"/>
        <w:numPr>
          <w:ilvl w:val="0"/>
          <w:numId w:val="2"/>
        </w:numPr>
        <w:spacing w:after="60" w:before="60"/>
      </w:pPr>
      <w:r>
        <w:rPr>
          <w:rFonts w:ascii="Arial" w:cs="Arial" w:eastAsia="Arial" w:hAnsi="Arial"/>
          <w:sz w:val="20"/>
          <w:szCs w:val="20"/>
        </w:rPr>
        <w:t xml:space="preserve">All 8 workflow steps from BRD Section 5 are represented including parallel execution paths</w:t>
      </w:r>
    </w:p>
    <w:p>
      <w:pPr>
        <w:pStyle w:val="ListParagraph"/>
        <w:numPr>
          <w:ilvl w:val="0"/>
          <w:numId w:val="2"/>
        </w:numPr>
        <w:spacing w:after="60" w:before="60"/>
      </w:pPr>
      <w:r>
        <w:rPr>
          <w:rFonts w:ascii="Arial" w:cs="Arial" w:eastAsia="Arial" w:hAnsi="Arial"/>
          <w:sz w:val="20"/>
          <w:szCs w:val="20"/>
        </w:rPr>
        <w:t xml:space="preserve">All retry policies from BRD Section 6 are accurately reflected per integration</w:t>
      </w:r>
    </w:p>
    <w:p>
      <w:pPr>
        <w:pStyle w:val="ListParagraph"/>
        <w:numPr>
          <w:ilvl w:val="0"/>
          <w:numId w:val="2"/>
        </w:numPr>
        <w:spacing w:after="60" w:before="60"/>
      </w:pPr>
      <w:r>
        <w:rPr>
          <w:rFonts w:ascii="Arial" w:cs="Arial" w:eastAsia="Arial" w:hAnsi="Arial"/>
          <w:sz w:val="20"/>
          <w:szCs w:val="20"/>
        </w:rPr>
        <w:t xml:space="preserve">All 12 hook requirements from BRD Section 8 are identified with correct lifecycle type and target integration</w:t>
      </w:r>
    </w:p>
    <w:p>
      <w:pPr>
        <w:pStyle w:val="Heading2"/>
        <w:spacing w:after="120" w:before="240"/>
      </w:pPr>
      <w:r>
        <w:rPr>
          <w:rFonts w:ascii="Arial" w:cs="Arial" w:eastAsia="Arial" w:hAnsi="Arial"/>
          <w:b/>
          <w:bCs/>
          <w:color w:val="2E74B5"/>
          <w:sz w:val="24"/>
          <w:szCs w:val="24"/>
        </w:rPr>
        <w:t xml:space="preserve">5.2 Generated Configurations (D-02 through D-06 / M2)</w:t>
      </w:r>
    </w:p>
    <w:p>
      <w:pPr>
        <w:pStyle w:val="ListParagraph"/>
        <w:numPr>
          <w:ilvl w:val="0"/>
          <w:numId w:val="2"/>
        </w:numPr>
        <w:spacing w:after="60" w:before="60"/>
      </w:pPr>
      <w:r>
        <w:rPr>
          <w:rFonts w:ascii="Arial" w:cs="Arial" w:eastAsia="Arial" w:hAnsi="Arial"/>
          <w:sz w:val="20"/>
          <w:szCs w:val="20"/>
        </w:rPr>
        <w:t xml:space="preserve">100% of BRD input fields are mapped to at least one integration API parameter without manual intervention</w:t>
      </w:r>
    </w:p>
    <w:p>
      <w:pPr>
        <w:pStyle w:val="ListParagraph"/>
        <w:numPr>
          <w:ilvl w:val="0"/>
          <w:numId w:val="2"/>
        </w:numPr>
        <w:spacing w:after="60" w:before="60"/>
      </w:pPr>
      <w:r>
        <w:rPr>
          <w:rFonts w:ascii="Arial" w:cs="Arial" w:eastAsia="Arial" w:hAnsi="Arial"/>
          <w:sz w:val="20"/>
          <w:szCs w:val="20"/>
        </w:rPr>
        <w:t xml:space="preserve">Date format transformation (DD/MM/YYYY to ISO 8601) correctly generated for CIBIL and Perfios date fields</w:t>
      </w:r>
    </w:p>
    <w:p>
      <w:pPr>
        <w:pStyle w:val="ListParagraph"/>
        <w:numPr>
          <w:ilvl w:val="0"/>
          <w:numId w:val="2"/>
        </w:numPr>
        <w:spacing w:after="60" w:before="60"/>
      </w:pPr>
      <w:r>
        <w:rPr>
          <w:rFonts w:ascii="Arial" w:cs="Arial" w:eastAsia="Arial" w:hAnsi="Arial"/>
          <w:sz w:val="20"/>
          <w:szCs w:val="20"/>
        </w:rPr>
        <w:t xml:space="preserve">Monthly-to-annual income conversion transformation correctly generated for loan decisioning engine</w:t>
      </w:r>
    </w:p>
    <w:p>
      <w:pPr>
        <w:pStyle w:val="ListParagraph"/>
        <w:numPr>
          <w:ilvl w:val="0"/>
          <w:numId w:val="2"/>
        </w:numPr>
        <w:spacing w:after="60" w:before="60"/>
      </w:pPr>
      <w:r>
        <w:rPr>
          <w:rFonts w:ascii="Arial" w:cs="Arial" w:eastAsia="Arial" w:hAnsi="Arial"/>
          <w:sz w:val="20"/>
          <w:szCs w:val="20"/>
        </w:rPr>
        <w:t xml:space="preserve">Phone number format conversion to E.164 correctly generated for Twilio SMS</w:t>
      </w:r>
    </w:p>
    <w:p>
      <w:pPr>
        <w:pStyle w:val="ListParagraph"/>
        <w:numPr>
          <w:ilvl w:val="0"/>
          <w:numId w:val="2"/>
        </w:numPr>
        <w:spacing w:after="60" w:before="60"/>
      </w:pPr>
      <w:r>
        <w:rPr>
          <w:rFonts w:ascii="Arial" w:cs="Arial" w:eastAsia="Arial" w:hAnsi="Arial"/>
          <w:sz w:val="20"/>
          <w:szCs w:val="20"/>
        </w:rPr>
        <w:t xml:space="preserve">All 12 hook configurations are present and correctly bound to the appropriate integration and lifecycle stage</w:t>
      </w:r>
    </w:p>
    <w:p>
      <w:pPr>
        <w:pStyle w:val="ListParagraph"/>
        <w:numPr>
          <w:ilvl w:val="0"/>
          <w:numId w:val="2"/>
        </w:numPr>
        <w:spacing w:after="60" w:before="60"/>
      </w:pPr>
      <w:r>
        <w:rPr>
          <w:rFonts w:ascii="Arial" w:cs="Arial" w:eastAsia="Arial" w:hAnsi="Arial"/>
          <w:sz w:val="20"/>
          <w:szCs w:val="20"/>
        </w:rPr>
        <w:t xml:space="preserve">Credential Resolve Hook references vault paths for all five integrations without any hardcoded values</w:t>
      </w:r>
    </w:p>
    <w:p>
      <w:pPr>
        <w:pStyle w:val="ListParagraph"/>
        <w:numPr>
          <w:ilvl w:val="0"/>
          <w:numId w:val="2"/>
        </w:numPr>
        <w:spacing w:after="60" w:before="60"/>
      </w:pPr>
      <w:r>
        <w:rPr>
          <w:rFonts w:ascii="Arial" w:cs="Arial" w:eastAsia="Arial" w:hAnsi="Arial"/>
          <w:sz w:val="20"/>
          <w:szCs w:val="20"/>
        </w:rPr>
        <w:t xml:space="preserve">Field Encryption Hook applied to Aadhaar, PAN, and bank account fields in Karza, CIBIL, and Perfios payloads</w:t>
      </w:r>
    </w:p>
    <w:p>
      <w:pPr>
        <w:pStyle w:val="ListParagraph"/>
        <w:numPr>
          <w:ilvl w:val="0"/>
          <w:numId w:val="2"/>
        </w:numPr>
        <w:spacing w:after="60" w:before="60"/>
      </w:pPr>
      <w:r>
        <w:rPr>
          <w:rFonts w:ascii="Arial" w:cs="Arial" w:eastAsia="Arial" w:hAnsi="Arial"/>
          <w:sz w:val="20"/>
          <w:szCs w:val="20"/>
        </w:rPr>
        <w:t xml:space="preserve">Rate Limit Guard Hook configured for CIBIL and Perfios with 85% utilisation queuing threshold</w:t>
      </w:r>
    </w:p>
    <w:p>
      <w:pPr>
        <w:pStyle w:val="ListParagraph"/>
        <w:numPr>
          <w:ilvl w:val="0"/>
          <w:numId w:val="2"/>
        </w:numPr>
        <w:spacing w:after="60" w:before="60"/>
      </w:pPr>
      <w:r>
        <w:rPr>
          <w:rFonts w:ascii="Arial" w:cs="Arial" w:eastAsia="Arial" w:hAnsi="Arial"/>
          <w:sz w:val="20"/>
          <w:szCs w:val="20"/>
        </w:rPr>
        <w:t xml:space="preserve">RiskGuard score tier routing logic (&lt; 25 / 25-49 / 50-74 / &gt;= 75) correctly generated</w:t>
      </w:r>
    </w:p>
    <w:p>
      <w:pPr>
        <w:pStyle w:val="ListParagraph"/>
        <w:numPr>
          <w:ilvl w:val="0"/>
          <w:numId w:val="2"/>
        </w:numPr>
        <w:spacing w:after="60" w:before="60"/>
      </w:pPr>
      <w:r>
        <w:rPr>
          <w:rFonts w:ascii="Arial" w:cs="Arial" w:eastAsia="Arial" w:hAnsi="Arial"/>
          <w:sz w:val="20"/>
          <w:szCs w:val="20"/>
        </w:rPr>
        <w:t xml:space="preserve">All 6 Twilio SMS notification templates generated with correctly bound variable placeholders and DLT Sender ID 'NCRDLP'</w:t>
      </w:r>
    </w:p>
    <w:p>
      <w:pPr>
        <w:pStyle w:val="Heading2"/>
        <w:spacing w:after="120" w:before="240"/>
      </w:pPr>
      <w:r>
        <w:rPr>
          <w:rFonts w:ascii="Arial" w:cs="Arial" w:eastAsia="Arial" w:hAnsi="Arial"/>
          <w:b/>
          <w:bCs/>
          <w:color w:val="2E74B5"/>
          <w:sz w:val="24"/>
          <w:szCs w:val="24"/>
        </w:rPr>
        <w:t xml:space="preserve">5.3 Sandbox Testing (D-07 / M3)</w:t>
      </w:r>
    </w:p>
    <w:p>
      <w:pPr>
        <w:pStyle w:val="ListParagraph"/>
        <w:numPr>
          <w:ilvl w:val="0"/>
          <w:numId w:val="2"/>
        </w:numPr>
        <w:spacing w:after="60" w:before="60"/>
      </w:pPr>
      <w:r>
        <w:rPr>
          <w:rFonts w:ascii="Arial" w:cs="Arial" w:eastAsia="Arial" w:hAnsi="Arial"/>
          <w:sz w:val="20"/>
          <w:szCs w:val="20"/>
        </w:rPr>
        <w:t xml:space="preserve">All 10 required test scenarios execute without configuration errors</w:t>
      </w:r>
    </w:p>
    <w:p>
      <w:pPr>
        <w:pStyle w:val="ListParagraph"/>
        <w:numPr>
          <w:ilvl w:val="0"/>
          <w:numId w:val="2"/>
        </w:numPr>
        <w:spacing w:after="60" w:before="60"/>
      </w:pPr>
      <w:r>
        <w:rPr>
          <w:rFonts w:ascii="Arial" w:cs="Arial" w:eastAsia="Arial" w:hAnsi="Arial"/>
          <w:sz w:val="20"/>
          <w:szCs w:val="20"/>
        </w:rPr>
        <w:t xml:space="preserve">STP happy path completes end-to-end within 4 minutes total processing time</w:t>
      </w:r>
    </w:p>
    <w:p>
      <w:pPr>
        <w:pStyle w:val="ListParagraph"/>
        <w:numPr>
          <w:ilvl w:val="0"/>
          <w:numId w:val="2"/>
        </w:numPr>
        <w:spacing w:after="60" w:before="60"/>
      </w:pPr>
      <w:r>
        <w:rPr>
          <w:rFonts w:ascii="Arial" w:cs="Arial" w:eastAsia="Arial" w:hAnsi="Arial"/>
          <w:sz w:val="20"/>
          <w:szCs w:val="20"/>
        </w:rPr>
        <w:t xml:space="preserve">Parallel execution paths validated: RiskGuard scoring and Karza KYC initiate concurrently; Perfios AA consent and CIBIL pull initiate concurrently after KYC success</w:t>
      </w:r>
    </w:p>
    <w:p>
      <w:pPr>
        <w:pStyle w:val="ListParagraph"/>
        <w:numPr>
          <w:ilvl w:val="0"/>
          <w:numId w:val="2"/>
        </w:numPr>
        <w:spacing w:after="60" w:before="60"/>
      </w:pPr>
      <w:r>
        <w:rPr>
          <w:rFonts w:ascii="Arial" w:cs="Arial" w:eastAsia="Arial" w:hAnsi="Arial"/>
          <w:sz w:val="20"/>
          <w:szCs w:val="20"/>
        </w:rPr>
        <w:t xml:space="preserve">RiskGuard score &gt;= 75 correctly suspends processing and triggers Fraud Investigation Queue routing</w:t>
      </w:r>
    </w:p>
    <w:p>
      <w:pPr>
        <w:pStyle w:val="ListParagraph"/>
        <w:numPr>
          <w:ilvl w:val="0"/>
          <w:numId w:val="2"/>
        </w:numPr>
        <w:spacing w:after="60" w:before="60"/>
      </w:pPr>
      <w:r>
        <w:rPr>
          <w:rFonts w:ascii="Arial" w:cs="Arial" w:eastAsia="Arial" w:hAnsi="Arial"/>
          <w:sz w:val="20"/>
          <w:szCs w:val="20"/>
        </w:rPr>
        <w:t xml:space="preserve">Version Compatibility Hook correctly rejects any test call targeting an incorrect API version</w:t>
      </w:r>
    </w:p>
    <w:p>
      <w:pPr>
        <w:pStyle w:val="Heading1"/>
        <w:spacing w:after="160" w:before="320"/>
      </w:pPr>
      <w:r>
        <w:rPr>
          <w:rFonts w:ascii="Arial" w:cs="Arial" w:eastAsia="Arial" w:hAnsi="Arial"/>
          <w:b/>
          <w:bCs/>
          <w:color w:val="1F3864"/>
          <w:sz w:val="28"/>
          <w:szCs w:val="28"/>
        </w:rPr>
        <w:t xml:space="preserve">6. Technical Constraints</w:t>
      </w:r>
    </w:p>
    <w:p>
      <w:pPr>
        <w:pStyle w:val="ListParagraph"/>
        <w:numPr>
          <w:ilvl w:val="0"/>
          <w:numId w:val="2"/>
        </w:numPr>
        <w:spacing w:after="60" w:before="60"/>
      </w:pPr>
      <w:r>
        <w:rPr>
          <w:rFonts w:ascii="Arial" w:cs="Arial" w:eastAsia="Arial" w:hAnsi="Arial"/>
          <w:sz w:val="20"/>
          <w:szCs w:val="20"/>
        </w:rPr>
        <w:t xml:space="preserve">The Platform generates integration configurations as static, version-controlled artefacts; not dynamically generated at runtime</w:t>
      </w:r>
    </w:p>
    <w:p>
      <w:pPr>
        <w:pStyle w:val="ListParagraph"/>
        <w:numPr>
          <w:ilvl w:val="0"/>
          <w:numId w:val="2"/>
        </w:numPr>
        <w:spacing w:after="60" w:before="60"/>
      </w:pPr>
      <w:r>
        <w:rPr>
          <w:rFonts w:ascii="Arial" w:cs="Arial" w:eastAsia="Arial" w:hAnsi="Arial"/>
          <w:sz w:val="20"/>
          <w:szCs w:val="20"/>
        </w:rPr>
        <w:t xml:space="preserve">All generated configurations will be provided in YAML and JSON formats</w:t>
      </w:r>
    </w:p>
    <w:p>
      <w:pPr>
        <w:pStyle w:val="ListParagraph"/>
        <w:numPr>
          <w:ilvl w:val="0"/>
          <w:numId w:val="2"/>
        </w:numPr>
        <w:spacing w:after="60" w:before="60"/>
      </w:pPr>
      <w:r>
        <w:rPr>
          <w:rFonts w:ascii="Arial" w:cs="Arial" w:eastAsia="Arial" w:hAnsi="Arial"/>
          <w:sz w:val="20"/>
          <w:szCs w:val="20"/>
        </w:rPr>
        <w:t xml:space="preserve">The Platform's generated field mappings use JSONPath expressions for request construction and response extraction</w:t>
      </w:r>
    </w:p>
    <w:p>
      <w:pPr>
        <w:pStyle w:val="ListParagraph"/>
        <w:numPr>
          <w:ilvl w:val="0"/>
          <w:numId w:val="2"/>
        </w:numPr>
        <w:spacing w:after="60" w:before="60"/>
      </w:pPr>
      <w:r>
        <w:rPr>
          <w:rFonts w:ascii="Arial" w:cs="Arial" w:eastAsia="Arial" w:hAnsi="Arial"/>
          <w:sz w:val="20"/>
          <w:szCs w:val="20"/>
        </w:rPr>
        <w:t xml:space="preserve">Hook configurations are generated as standalone JSON artefacts injected into the integration runtime's hook registry at deployment</w:t>
      </w:r>
    </w:p>
    <w:p>
      <w:pPr>
        <w:pStyle w:val="ListParagraph"/>
        <w:numPr>
          <w:ilvl w:val="0"/>
          <w:numId w:val="2"/>
        </w:numPr>
        <w:spacing w:after="60" w:before="60"/>
      </w:pPr>
      <w:r>
        <w:rPr>
          <w:rFonts w:ascii="Arial" w:cs="Arial" w:eastAsia="Arial" w:hAnsi="Arial"/>
          <w:sz w:val="20"/>
          <w:szCs w:val="20"/>
        </w:rPr>
        <w:t xml:space="preserve">Perfios AA consent tokens are applicant-scoped and session-bound; the Platform's configuration includes a token lifecycle handler that invalidates tokens at application session end</w:t>
      </w:r>
    </w:p>
    <w:p>
      <w:pPr>
        <w:pStyle w:val="ListParagraph"/>
        <w:numPr>
          <w:ilvl w:val="0"/>
          <w:numId w:val="2"/>
        </w:numPr>
        <w:spacing w:after="60" w:before="60"/>
      </w:pPr>
      <w:r>
        <w:rPr>
          <w:rFonts w:ascii="Arial" w:cs="Arial" w:eastAsia="Arial" w:hAnsi="Arial"/>
          <w:sz w:val="20"/>
          <w:szCs w:val="20"/>
        </w:rPr>
        <w:t xml:space="preserve">RiskGuard EDD fallback path is mandatory configuration; the Platform generates both normal and EDD-flagged execution paths</w:t>
      </w:r>
    </w:p>
    <w:p>
      <w:pPr>
        <w:pStyle w:val="ListParagraph"/>
        <w:numPr>
          <w:ilvl w:val="0"/>
          <w:numId w:val="2"/>
        </w:numPr>
        <w:spacing w:after="60" w:before="60"/>
      </w:pPr>
      <w:r>
        <w:rPr>
          <w:rFonts w:ascii="Arial" w:cs="Arial" w:eastAsia="Arial" w:hAnsi="Arial"/>
          <w:sz w:val="20"/>
          <w:szCs w:val="20"/>
        </w:rPr>
        <w:t xml:space="preserve">All generated configurations must comply with RBI Digital Lending Guidelines 2022 requirements for third-party API security</w:t>
      </w:r>
    </w:p>
    <w:p>
      <w:pPr>
        <w:pStyle w:val="Heading1"/>
        <w:spacing w:after="160" w:before="320"/>
      </w:pPr>
      <w:r>
        <w:rPr>
          <w:rFonts w:ascii="Arial" w:cs="Arial" w:eastAsia="Arial" w:hAnsi="Arial"/>
          <w:b/>
          <w:bCs/>
          <w:color w:val="1F3864"/>
          <w:sz w:val="28"/>
          <w:szCs w:val="28"/>
        </w:rPr>
        <w:t xml:space="preserve">7. Risk Register &amp; Dependencies</w:t>
      </w:r>
    </w:p>
    <w:p>
      <w:pPr>
        <w:pStyle w:val="Heading2"/>
        <w:spacing w:after="120" w:before="240"/>
      </w:pPr>
      <w:r>
        <w:rPr>
          <w:rFonts w:ascii="Arial" w:cs="Arial" w:eastAsia="Arial" w:hAnsi="Arial"/>
          <w:b/>
          <w:bCs/>
          <w:color w:val="2E74B5"/>
          <w:sz w:val="24"/>
          <w:szCs w:val="24"/>
        </w:rPr>
        <w:t xml:space="preserve">7.1 Key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1200"/>
        <w:gridCol w:w="1200"/>
        <w:gridCol w:w="256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 Description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Probability</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Mitigation</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R-01</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Perfios FIU registration not complete before testing milestone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High</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NovaCred to confirm registration at Kick-off; Platform can simulate AA consent responses in test harness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R-02</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 consent window timeout rate higher than expected in sandbox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Retry hook polling frequency configurable post-deployment</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R-03</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RiskGuard score threshold calibration for lending use case differs from default</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Low</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Medium</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Thresholds (25/50/75) are configurable parameters in generated config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R-04</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Twilio DLT Sender ID 'NCRDLP' not registered before go-live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DLT registration initiated in parallel; Platform uses test sender ID during sandbox phase</w:t>
            </w:r>
          </w:p>
        </w:tc>
      </w:tr>
    </w:tbl>
    <w:p>
      <w:pPr>
        <w:pStyle w:val="Heading2"/>
        <w:spacing w:after="120" w:before="240"/>
      </w:pPr>
      <w:r>
        <w:rPr>
          <w:rFonts w:ascii="Arial" w:cs="Arial" w:eastAsia="Arial" w:hAnsi="Arial"/>
          <w:b/>
          <w:bCs/>
          <w:color w:val="2E74B5"/>
          <w:sz w:val="24"/>
          <w:szCs w:val="24"/>
        </w:rPr>
        <w:t xml:space="preserve">7.2 Key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060"/>
        <w:gridCol w:w="1800"/>
        <w:gridCol w:w="1600"/>
      </w:tblGrid>
      <w:t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5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Dependency</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Required By</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Owner</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D-01</w:t>
            </w:r>
          </w:p>
        </w:tc>
        <w:tc>
          <w:tcPr>
            <w:tcW w:type="dxa" w:w="5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Karza KYC v2 API credentials and sandbox access with face match and liveness check enabled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Week 1 (Kick-off)</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NovaCred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TransUnion CIBIL sandbox access and API credentials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NovaCred</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D-03</w:t>
            </w:r>
          </w:p>
        </w:tc>
        <w:tc>
          <w:tcPr>
            <w:tcW w:type="dxa" w:w="5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Perfios Account Aggregator v2 API credentials and registered FIU ID in the AA ecosystem</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Week 1 (Kick-off)</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NovaCred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RiskGuard Analytics Engine sandbox access with lending use case model configuration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1 (Kick-off)</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NovaCred</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D-05</w:t>
            </w:r>
          </w:p>
        </w:tc>
        <w:tc>
          <w:tcPr>
            <w:tcW w:type="dxa" w:w="5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Twilio Messaging API account credentials and test sender ID for sandbox phase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Week 1 (Kick-off)</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NovaCred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Designated secrets management vault provisioned and accessible to Platform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NovaCred</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D-07</w:t>
            </w:r>
          </w:p>
        </w:tc>
        <w:tc>
          <w:tcPr>
            <w:tcW w:type="dxa" w:w="5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NovaCred canonical underwriting data model schema for response mapping and normalisation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Week 2</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NovaCred</w:t>
            </w:r>
          </w:p>
        </w:tc>
      </w:tr>
    </w:tbl>
    <w:p>
      <w:pPr>
        <w:pStyle w:val="Heading1"/>
        <w:spacing w:after="160" w:before="320"/>
      </w:pPr>
      <w:r>
        <w:rPr>
          <w:rFonts w:ascii="Arial" w:cs="Arial" w:eastAsia="Arial" w:hAnsi="Arial"/>
          <w:b/>
          <w:bCs/>
          <w:color w:val="1F3864"/>
          <w:sz w:val="28"/>
          <w:szCs w:val="28"/>
        </w:rPr>
        <w:t xml:space="preserve">8. Governance &amp; Commercial Terms</w:t>
      </w:r>
    </w:p>
    <w:p>
      <w:pPr>
        <w:pStyle w:val="Heading2"/>
        <w:spacing w:after="120" w:before="240"/>
      </w:pPr>
      <w:r>
        <w:rPr>
          <w:rFonts w:ascii="Arial" w:cs="Arial" w:eastAsia="Arial" w:hAnsi="Arial"/>
          <w:b/>
          <w:bCs/>
          <w:color w:val="2E74B5"/>
          <w:sz w:val="24"/>
          <w:szCs w:val="24"/>
        </w:rPr>
        <w:t xml:space="preserve">8.1 Governance Model</w:t>
      </w:r>
    </w:p>
    <w:p>
      <w:pPr>
        <w:pStyle w:val="ListParagraph"/>
        <w:numPr>
          <w:ilvl w:val="0"/>
          <w:numId w:val="2"/>
        </w:numPr>
        <w:spacing w:after="60" w:before="60"/>
      </w:pPr>
      <w:r>
        <w:rPr>
          <w:rFonts w:ascii="Arial" w:cs="Arial" w:eastAsia="Arial" w:hAnsi="Arial"/>
          <w:sz w:val="20"/>
          <w:szCs w:val="20"/>
        </w:rPr>
        <w:t xml:space="preserve">Project Sponsor (NovaCred): Executive accountable for business outcomes; sign-off authority on all milestones</w:t>
      </w:r>
    </w:p>
    <w:p>
      <w:pPr>
        <w:pStyle w:val="ListParagraph"/>
        <w:numPr>
          <w:ilvl w:val="0"/>
          <w:numId w:val="2"/>
        </w:numPr>
        <w:spacing w:after="60" w:before="60"/>
      </w:pPr>
      <w:r>
        <w:rPr>
          <w:rFonts w:ascii="Arial" w:cs="Arial" w:eastAsia="Arial" w:hAnsi="Arial"/>
          <w:sz w:val="20"/>
          <w:szCs w:val="20"/>
        </w:rPr>
        <w:t xml:space="preserve">Integration Lead (NovaCred): Day-to-day technical point of contact; responsible for reviewing and approving all Platform-generated artefacts within 5 business days</w:t>
      </w:r>
    </w:p>
    <w:p>
      <w:pPr>
        <w:pStyle w:val="ListParagraph"/>
        <w:numPr>
          <w:ilvl w:val="0"/>
          <w:numId w:val="2"/>
        </w:numPr>
        <w:spacing w:after="60" w:before="60"/>
      </w:pPr>
      <w:r>
        <w:rPr>
          <w:rFonts w:ascii="Arial" w:cs="Arial" w:eastAsia="Arial" w:hAnsi="Arial"/>
          <w:sz w:val="20"/>
          <w:szCs w:val="20"/>
        </w:rPr>
        <w:t xml:space="preserve">Delivery Manager (Platform): Accountable for delivery timeline, sprint execution, and escalation of blockers</w:t>
      </w:r>
    </w:p>
    <w:p>
      <w:pPr>
        <w:pStyle w:val="ListParagraph"/>
        <w:numPr>
          <w:ilvl w:val="0"/>
          <w:numId w:val="2"/>
        </w:numPr>
        <w:spacing w:after="60" w:before="60"/>
      </w:pPr>
      <w:r>
        <w:rPr>
          <w:rFonts w:ascii="Arial" w:cs="Arial" w:eastAsia="Arial" w:hAnsi="Arial"/>
          <w:sz w:val="20"/>
          <w:szCs w:val="20"/>
        </w:rPr>
        <w:t xml:space="preserve">Steering Committee: Joint bi-weekly meeting at each milestone for formal sign-off</w:t>
      </w:r>
    </w:p>
    <w:p>
      <w:pPr>
        <w:pStyle w:val="Heading2"/>
        <w:spacing w:after="120" w:before="240"/>
      </w:pPr>
      <w:r>
        <w:rPr>
          <w:rFonts w:ascii="Arial" w:cs="Arial" w:eastAsia="Arial" w:hAnsi="Arial"/>
          <w:b/>
          <w:bCs/>
          <w:color w:val="2E74B5"/>
          <w:sz w:val="24"/>
          <w:szCs w:val="24"/>
        </w:rPr>
        <w:t xml:space="preserve">8.2 Change Request Process</w:t>
      </w:r>
    </w:p>
    <w:p>
      <w:pPr>
        <w:spacing w:after="80" w:before="80"/>
      </w:pPr>
      <w:r>
        <w:rPr>
          <w:rFonts w:ascii="Arial" w:cs="Arial" w:eastAsia="Arial" w:hAnsi="Arial"/>
          <w:b w:val="false"/>
          <w:bCs w:val="false"/>
          <w:sz w:val="20"/>
          <w:szCs w:val="20"/>
        </w:rPr>
        <w:t xml:space="preserve">Any change to the scope defined in Section 2 — including addition of new API integrations, additional hook types, or significant workflow changes — must be submitted as a formal Change Request (CR). CRs are effective only upon written approval from NovaCred's Project Sponsor and Platform's Delivery Manager.</w:t>
      </w:r>
    </w:p>
    <w:p>
      <w:pPr>
        <w:pStyle w:val="Heading2"/>
        <w:spacing w:after="120" w:before="240"/>
      </w:pPr>
      <w:r>
        <w:rPr>
          <w:rFonts w:ascii="Arial" w:cs="Arial" w:eastAsia="Arial" w:hAnsi="Arial"/>
          <w:b/>
          <w:bCs/>
          <w:color w:val="2E74B5"/>
          <w:sz w:val="24"/>
          <w:szCs w:val="24"/>
        </w:rPr>
        <w:t xml:space="preserve">8.3 Commercial Terms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Engagement Model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Fixed-price delivery with defined milestones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Payment Schedule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 at M0; 25% at M2 sign-off; 30% at M3 sign-off; 25% at M5 sign-off</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Warranty Period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 days from M5 sign-off; configuration defects remediated at no additional cost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IP Ownership</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Generated configuration artefacts owned by NovaCred upon final payment; Platform retains IP in the generation engine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Confidentiality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 parties bound by NDA; BRD, generated artefacts, and applicant data schemas are Confidential</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Governing Law</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Laws of India; disputes subject to arbitration in Pune per Arbitration and Conciliation Act, 1996</w:t>
            </w:r>
          </w:p>
        </w:tc>
      </w:tr>
    </w:tbl>
    <w:p>
      <w:pPr>
        <w:pStyle w:val="Heading1"/>
        <w:spacing w:after="160" w:before="320"/>
      </w:pPr>
      <w:r>
        <w:rPr>
          <w:rFonts w:ascii="Arial" w:cs="Arial" w:eastAsia="Arial" w:hAnsi="Arial"/>
          <w:b/>
          <w:bCs/>
          <w:color w:val="1F3864"/>
          <w:sz w:val="28"/>
          <w:szCs w:val="28"/>
        </w:rPr>
        <w:t xml:space="preserve">9. Signature &amp; Authorisation</w:t>
      </w:r>
    </w:p>
    <w:p>
      <w:pPr>
        <w:spacing w:after="80" w:before="80"/>
      </w:pPr>
      <w:r>
        <w:rPr>
          <w:rFonts w:ascii="Arial" w:cs="Arial" w:eastAsia="Arial" w:hAnsi="Arial"/>
          <w:b w:val="false"/>
          <w:bCs w:val="false"/>
          <w:sz w:val="20"/>
          <w:szCs w:val="20"/>
        </w:rPr>
        <w:t xml:space="preserve">By signing below, the authorised representatives of NovaCred Financial Services Pvt. Ltd. and the Integration Platform Vendor confirm their agreement to the scope, deliverables, timeline, and terms set out in this Statement of Work.</w:t>
      </w:r>
    </w:p>
    <w:p>
      <w:pPr>
        <w:spacing w:after="40" w:before="200"/>
      </w:pPr>
      <w:r>
        <w:rPr>
          <w:rFonts w:ascii="Arial" w:cs="Arial" w:eastAsia="Arial" w:hAnsi="Arial"/>
          <w:b/>
          <w:bCs/>
          <w:sz w:val="22"/>
          <w:szCs w:val="22"/>
        </w:rPr>
        <w:t xml:space="preserve">NovaCred Financial Services Pvt. Ltd.</w:t>
      </w:r>
    </w:p>
    <w:p>
      <w:pPr>
        <w:spacing w:after="40" w:before="40"/>
      </w:pPr>
      <w:r>
        <w:rPr>
          <w:rFonts w:ascii="Arial" w:cs="Arial" w:eastAsia="Arial" w:hAnsi="Arial"/>
          <w:sz w:val="20"/>
          <w:szCs w:val="20"/>
        </w:rPr>
        <w:t xml:space="preserve">Signature: ___________________________________________________</w:t>
      </w:r>
    </w:p>
    <w:p>
      <w:pPr>
        <w:spacing w:after="40" w:before="40"/>
      </w:pPr>
      <w:r>
        <w:rPr>
          <w:rFonts w:ascii="Arial" w:cs="Arial" w:eastAsia="Arial" w:hAnsi="Arial"/>
          <w:sz w:val="20"/>
          <w:szCs w:val="20"/>
        </w:rPr>
        <w:t xml:space="preserve">Name: ________________________________________  Title: Project Sponsor / CEO</w:t>
      </w:r>
    </w:p>
    <w:p>
      <w:pPr>
        <w:spacing w:after="160" w:before="40"/>
      </w:pPr>
      <w:r>
        <w:rPr>
          <w:rFonts w:ascii="Arial" w:cs="Arial" w:eastAsia="Arial" w:hAnsi="Arial"/>
          <w:sz w:val="20"/>
          <w:szCs w:val="20"/>
        </w:rPr>
        <w:t xml:space="preserve">Date: ___________________</w:t>
      </w:r>
    </w:p>
    <w:p>
      <w:pPr>
        <w:spacing w:after="40" w:before="40"/>
      </w:pPr>
      <w:r>
        <w:rPr>
          <w:rFonts w:ascii="Arial" w:cs="Arial" w:eastAsia="Arial" w:hAnsi="Arial"/>
          <w:b/>
          <w:bCs/>
          <w:sz w:val="22"/>
          <w:szCs w:val="22"/>
        </w:rPr>
        <w:t xml:space="preserve">Integration Platform Vendor</w:t>
      </w:r>
    </w:p>
    <w:p>
      <w:pPr>
        <w:spacing w:after="40" w:before="40"/>
      </w:pPr>
      <w:r>
        <w:rPr>
          <w:rFonts w:ascii="Arial" w:cs="Arial" w:eastAsia="Arial" w:hAnsi="Arial"/>
          <w:sz w:val="20"/>
          <w:szCs w:val="20"/>
        </w:rPr>
        <w:t xml:space="preserve">Signature: ___________________________________________________</w:t>
      </w:r>
    </w:p>
    <w:p>
      <w:pPr>
        <w:spacing w:after="40" w:before="40"/>
      </w:pPr>
      <w:r>
        <w:rPr>
          <w:rFonts w:ascii="Arial" w:cs="Arial" w:eastAsia="Arial" w:hAnsi="Arial"/>
          <w:sz w:val="20"/>
          <w:szCs w:val="20"/>
        </w:rPr>
        <w:t xml:space="preserve">Name: ________________________________________  Title: Delivery Manager</w:t>
      </w:r>
    </w:p>
    <w:p>
      <w:pPr>
        <w:spacing w:after="240" w:before="40"/>
      </w:pPr>
      <w:r>
        <w:rPr>
          <w:rFonts w:ascii="Arial" w:cs="Arial" w:eastAsia="Arial" w:hAnsi="Arial"/>
          <w:sz w:val="20"/>
          <w:szCs w:val="20"/>
        </w:rPr>
        <w:t xml:space="preserve">Date: ___________________</w:t>
      </w:r>
    </w:p>
    <w:p>
      <w:pPr>
        <w:pBdr>
          <w:bottom w:val="single" w:color="2E74B5" w:sz="4" w:space="1"/>
        </w:pBdr>
        <w:spacing w:after="120" w:before="120"/>
      </w:pPr>
    </w:p>
    <w:p>
      <w:pPr>
        <w:spacing w:after="0" w:before="120"/>
        <w:jc w:val="center"/>
      </w:pPr>
      <w:r>
        <w:rPr>
          <w:rFonts w:ascii="Arial" w:cs="Arial" w:eastAsia="Arial" w:hAnsi="Arial"/>
          <w:color w:val="808080"/>
          <w:sz w:val="18"/>
          <w:szCs w:val="18"/>
        </w:rPr>
        <w:t xml:space="preserve">SOW-NVC-2025-004 | Version 1.0 | October 2025 | NovaCred Financial Services Pvt. Ltd.</w:t>
      </w:r>
    </w:p>
    <w:p>
      <w:pPr>
        <w:spacing w:after="0" w:before="40"/>
        <w:jc w:val="center"/>
      </w:pPr>
      <w:r>
        <w:rPr>
          <w:rFonts w:ascii="Arial" w:cs="Arial" w:eastAsia="Arial" w:hAnsi="Arial"/>
          <w:i/>
          <w:iCs/>
          <w:color w:val="808080"/>
          <w:sz w:val="18"/>
          <w:szCs w:val="18"/>
        </w:rPr>
        <w:t xml:space="preserve">CONFIDENTIAL — Not for distribution outside authorised parties</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2026-04-05T07:57:20.608Z</dcterms:created>
  <dcterms:modified xsi:type="dcterms:W3CDTF">2026-04-05T07:57:20.609Z</dcterms:modified>
</cp:coreProperties>
</file>

<file path=docProps/custom.xml><?xml version="1.0" encoding="utf-8"?>
<Properties xmlns="http://schemas.openxmlformats.org/officeDocument/2006/custom-properties" xmlns:vt="http://schemas.openxmlformats.org/officeDocument/2006/docPropsVTypes"/>
</file>