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95959"/>
          <w:sz w:val="20"/>
          <w:szCs w:val="20"/>
        </w:rPr>
        <w:t xml:space="preserve">REFERENCE DOCUMENT  —  DISHA RAG PIPELINE</w:t>
      </w:r>
    </w:p>
    <w:p>
      <w:pPr>
        <w:spacing w:after="40"/>
        <w:jc w:val="center"/>
      </w:pPr>
      <w:r>
        <w:rPr>
          <w:rFonts w:ascii="Calibri" w:cs="Calibri" w:eastAsia="Calibri" w:hAnsi="Calibri"/>
          <w:b/>
          <w:bCs/>
          <w:color w:val="000000"/>
          <w:sz w:val="32"/>
          <w:szCs w:val="32"/>
        </w:rPr>
        <w:t xml:space="preserve">Tools, Libraries &amp; Concepts Explained</w:t>
      </w:r>
    </w:p>
    <w:p>
      <w:pPr>
        <w:spacing w:after="200"/>
        <w:jc w:val="center"/>
      </w:pPr>
      <w:r>
        <w:rPr>
          <w:rFonts w:ascii="Calibri" w:cs="Calibri" w:eastAsia="Calibri" w:hAnsi="Calibri"/>
          <w:i/>
          <w:iCs/>
          <w:color w:val="595959"/>
          <w:sz w:val="20"/>
          <w:szCs w:val="20"/>
        </w:rPr>
        <w:t xml:space="preserve">A plain-language companion to the Disha codebase — every tool, library, and technique, explained twice: simply, then technically</w:t>
      </w: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How to use this document</w:t>
            </w:r>
          </w:p>
          <w:p>
            <w:r>
              <w:rPr>
                <w:rFonts w:ascii="Calibri" w:cs="Calibri" w:eastAsia="Calibri" w:hAnsi="Calibri"/>
                <w:color w:val="000000"/>
                <w:sz w:val="20"/>
                <w:szCs w:val="20"/>
              </w:rPr>
              <w:t xml:space="preserve">This is a reference, not a step-by-step lab — read it alongside the code, or hand it to participants as background before or after building Disha. Every section follows the same shape: explain it simply, explain it technically, then say exactly where it appears in the codebase.</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A. The Big Picture — Why So Many Tools?</w:t>
      </w:r>
    </w:p>
    <w:p>
      <w:pPr>
        <w:spacing w:after="120" w:line="276"/>
      </w:pPr>
      <w:r>
        <w:rPr>
          <w:rFonts w:ascii="Calibri" w:cs="Calibri" w:eastAsia="Calibri" w:hAnsi="Calibri"/>
          <w:b w:val="false"/>
          <w:bCs w:val="false"/>
          <w:i w:val="false"/>
          <w:iCs w:val="false"/>
          <w:color w:val="000000"/>
          <w:sz w:val="21"/>
          <w:szCs w:val="21"/>
        </w:rPr>
        <w:t xml:space="preserve">A RAG pipeline touches several genuinely different jobs: reading files in different formats, splitting text sensibly, turning text into searchable vectors, storing those vectors, searching them, and finally generating an answer. No single library does all of this well — which is why Disha combines a small, deliberate set of tools, each doing the one job it's best at.</w:t>
      </w:r>
    </w:p>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B. The Core Tools &amp; Libraries</w:t>
      </w: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100"/>
        <w:gridCol w:w="3600"/>
        <w:gridCol w:w="3650"/>
      </w:tblGrid>
      <w:tr>
        <w:trPr>
          <w:tblHeader/>
        </w:trPr>
        <w:tc>
          <w:tcPr>
            <w:tcW w:type="dxa" w:w="21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Tool</w:t>
            </w:r>
          </w:p>
        </w:tc>
        <w:tc>
          <w:tcPr>
            <w:tcW w:type="dxa" w:w="36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What it does (simply)</w:t>
            </w:r>
          </w:p>
        </w:tc>
        <w:tc>
          <w:tcPr>
            <w:tcW w:type="dxa" w:w="36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Why Disha uses it</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LangChain</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toolkit that standardises how you talk to different AI models, vector databases, and document types — so switching one piece out doesn't mean rewriting everything else.</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Provides the Document object every loader and chunk uses, and the Chroma wrapper that connects embeddings to storage without hand-rolled glue code.</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ChromaDB</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database built specifically to store vectors (embeddings) and search them by similarity, instead of by exact match.</w:t>
            </w:r>
          </w:p>
        </w:tc>
        <w:tc>
          <w:tcPr>
            <w:tcW w:type="dxa" w:w="3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Stores every chunk's embedding plus its metadata, and does the actual nearest-neighbour search behind every /ask request.</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OpenAI Embeddings
(text-embedding-3-small)</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model that turns a piece of text into a list of numbers capturing its meaning — covered in depth on Day 1.</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Used to embed every chunk during ingestion, and every question at query time, so they can be compared in the same numeric space.</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OpenAI Chat Model</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The model that actually writes the final answer, once it's been given the relevant retrieved text.</w:t>
            </w:r>
          </w:p>
        </w:tc>
        <w:tc>
          <w:tcPr>
            <w:tcW w:type="dxa" w:w="3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Reads the assembled context and the question, and generates a grounded, cited response — or is never called at all if nothing confident was retrieved.</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PyMuPDF (fitz)</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library for reading PDF files and pulling out their text, page by page.</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Loads the 5G Deployment SOP, keeping each page as a separate unit so citations can point to an exact page.</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python-docx</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library for reading and writing Microsoft Word (.docx) files.</w:t>
            </w:r>
          </w:p>
        </w:tc>
        <w:tc>
          <w:tcPr>
            <w:tcW w:type="dxa" w:w="3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Loads the Enterprise SLA document by reading every paragraph in order.</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BeautifulSoup</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library for reading HTML and stripping out the tags, leaving just the readable text and structure.</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Loads the Network Ops FAQ, splitting it by its &lt;h2&gt; headings so each Q&amp;A pair stays together.</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FastAPI</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framework for building a web API quickly, with automatic interactive documentation.</w:t>
            </w:r>
          </w:p>
        </w:tc>
        <w:tc>
          <w:tcPr>
            <w:tcW w:type="dxa" w:w="3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Powers app.py's /ask endpoint — the same pattern used for Saathi and in Day 3's streaming lab.</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uvicorn</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The actual server software that runs a FastAPI application and listens for requests.</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Started with `uvicorn app:app --reload --port 8000` to bring Disha's backend online.</w:t>
            </w:r>
          </w:p>
        </w:tc>
      </w:tr>
      <w:tr>
        <w:tc>
          <w:tcPr>
            <w:tcW w:type="dxa" w:w="21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python-dotenv</w:t>
            </w:r>
          </w:p>
        </w:tc>
        <w:tc>
          <w:tcPr>
            <w:tcW w:type="dxa" w:w="36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A tiny library that reads a .env file and loads its contents as environment variables.</w:t>
            </w:r>
          </w:p>
        </w:tc>
        <w:tc>
          <w:tcPr>
            <w:tcW w:type="dxa" w:w="3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Keeps the OpenAI API key out of source code entirely — the secure pattern from Day 2.</w:t>
            </w:r>
          </w:p>
        </w:tc>
      </w:tr>
      <w:tr>
        <w:tc>
          <w:tcPr>
            <w:tcW w:type="dxa" w:w="21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requests</w:t>
            </w:r>
          </w:p>
        </w:tc>
        <w:tc>
          <w:tcPr>
            <w:tcW w:type="dxa" w:w="36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library for making HTTP calls from Python — essentially how one program asks another program a question over the web.</w:t>
            </w:r>
          </w:p>
        </w:tc>
        <w:tc>
          <w:tcPr>
            <w:tcW w:type="dxa" w:w="3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Used by agent.py to call app.py's /ask endpoint, the same way a real chatbot UI would.</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C. Document Loaders — One Format, One Job Each</w:t>
      </w:r>
    </w:p>
    <w:p>
      <w:pPr>
        <w:spacing w:after="120" w:line="276"/>
      </w:pPr>
      <w:r>
        <w:rPr>
          <w:rFonts w:ascii="Calibri" w:cs="Calibri" w:eastAsia="Calibri" w:hAnsi="Calibri"/>
          <w:b w:val="false"/>
          <w:bCs w:val="false"/>
          <w:i w:val="false"/>
          <w:iCs w:val="false"/>
          <w:color w:val="000000"/>
          <w:sz w:val="21"/>
          <w:szCs w:val="21"/>
        </w:rPr>
        <w:t xml:space="preserve">Every loader in loaders.py returns the exact same shape — a list of {“text”, “metadata”} entries — no matter which format it read. This is deliberate: everything downstream (chunking, embedding, storage) never needs to know or care what the original file format was.</w:t>
      </w:r>
    </w:p>
    <w:p>
      <w:pPr>
        <w:spacing w:after="80"/>
      </w:pP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1700"/>
        <w:gridCol w:w="3300"/>
        <w:gridCol w:w="4350"/>
      </w:tblGrid>
      <w:tr>
        <w:trPr>
          <w:tblHeader/>
        </w:trPr>
        <w:tc>
          <w:tcPr>
            <w:tcW w:type="dxa" w:w="17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Format</w:t>
            </w:r>
          </w:p>
        </w:tc>
        <w:tc>
          <w:tcPr>
            <w:tcW w:type="dxa" w:w="33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How it's split into units</w:t>
            </w:r>
          </w:p>
        </w:tc>
        <w:tc>
          <w:tcPr>
            <w:tcW w:type="dxa" w:w="43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Why this split makes sense</w:t>
            </w:r>
          </w:p>
        </w:tc>
      </w:tr>
      <w:tr>
        <w:tc>
          <w:tcPr>
            <w:tcW w:type="dxa" w:w="1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PDF</w:t>
            </w:r>
          </w:p>
        </w:tc>
        <w:tc>
          <w:tcPr>
            <w:tcW w:type="dxa" w:w="3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One unit per page</w:t>
            </w:r>
          </w:p>
        </w:tc>
        <w:tc>
          <w:tcPr>
            <w:tcW w:type="dxa" w:w="4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Preserves a page number for citation — useful for long manuals where “which page” genuinely matters.</w:t>
            </w:r>
          </w:p>
        </w:tc>
      </w:tr>
      <w:tr>
        <w:tc>
          <w:tcPr>
            <w:tcW w:type="dxa" w:w="1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Word (.docx)</w:t>
            </w:r>
          </w:p>
        </w:tc>
        <w:tc>
          <w:tcPr>
            <w:tcW w:type="dxa" w:w="33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One unit for the whole document</w:t>
            </w:r>
          </w:p>
        </w:tc>
        <w:tc>
          <w:tcPr>
            <w:tcW w:type="dxa" w:w="43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SLA-style documents in this lab are short; splitting further happens later, during chunking.</w:t>
            </w:r>
          </w:p>
        </w:tc>
      </w:tr>
      <w:tr>
        <w:tc>
          <w:tcPr>
            <w:tcW w:type="dxa" w:w="1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HTML</w:t>
            </w:r>
          </w:p>
        </w:tc>
        <w:tc>
          <w:tcPr>
            <w:tcW w:type="dxa" w:w="3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One unit per &lt;h2&gt; section</w:t>
            </w:r>
          </w:p>
        </w:tc>
        <w:tc>
          <w:tcPr>
            <w:tcW w:type="dxa" w:w="4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An FAQ page is naturally organised by question — splitting there keeps each Q&amp;A pair intact rather than arbitrarily cut.</w:t>
            </w:r>
          </w:p>
        </w:tc>
      </w:tr>
      <w:tr>
        <w:tc>
          <w:tcPr>
            <w:tcW w:type="dxa" w:w="1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CSV</w:t>
            </w:r>
          </w:p>
        </w:tc>
        <w:tc>
          <w:tcPr>
            <w:tcW w:type="dxa" w:w="33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One unit per row</w:t>
            </w:r>
          </w:p>
        </w:tc>
        <w:tc>
          <w:tcPr>
            <w:tcW w:type="dxa" w:w="43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Each row (each incident) is already a complete, self-contained fact — splitting any other way would break that.</w:t>
            </w:r>
          </w:p>
        </w:tc>
      </w:tr>
      <w:tr>
        <w:tc>
          <w:tcPr>
            <w:tcW w:type="dxa" w:w="1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JSON</w:t>
            </w:r>
          </w:p>
        </w:tc>
        <w:tc>
          <w:tcPr>
            <w:tcW w:type="dxa" w:w="33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One unit per record in the file's list</w:t>
            </w:r>
          </w:p>
        </w:tc>
        <w:tc>
          <w:tcPr>
            <w:tcW w:type="dxa" w:w="43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Same logic as CSV — each equipment entry is a complete fact on its own.</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D. Chunking Strategies Explained</w:t>
      </w:r>
    </w:p>
    <w:p>
      <w:pPr>
        <w:spacing w:after="120" w:line="276"/>
      </w:pPr>
      <w:r>
        <w:rPr>
          <w:rFonts w:ascii="Calibri" w:cs="Calibri" w:eastAsia="Calibri" w:hAnsi="Calibri"/>
          <w:b w:val="false"/>
          <w:bCs w:val="false"/>
          <w:i w:val="false"/>
          <w:iCs w:val="false"/>
          <w:color w:val="000000"/>
          <w:sz w:val="21"/>
          <w:szCs w:val="21"/>
        </w:rPr>
        <w:t xml:space="preserve">Once a document is loaded, it still needs to be split into smaller pieces before embedding — covered conceptually on Day 1, Sheet 3. Disha implements five different ways to do this, all switchable with one flag.</w:t>
      </w:r>
    </w:p>
    <w:p>
      <w:pPr>
        <w:spacing w:after="100"/>
      </w:pPr>
    </w:p>
    <w:p>
      <w:pPr>
        <w:pStyle w:val="Heading2"/>
        <w:spacing w:after="120" w:before="260"/>
      </w:pPr>
      <w:r>
        <w:rPr>
          <w:rFonts w:ascii="Calibri" w:cs="Calibri" w:eastAsia="Calibri" w:hAnsi="Calibri"/>
          <w:b/>
          <w:bCs/>
          <w:color w:val="3F3F3F"/>
          <w:sz w:val="24"/>
          <w:szCs w:val="24"/>
        </w:rPr>
        <w:t xml:space="preserve">D1. Fixed</w:t>
      </w:r>
    </w:p>
    <w:p>
      <w:pPr>
        <w:spacing w:after="120" w:line="276"/>
      </w:pPr>
      <w:r>
        <w:rPr>
          <w:rFonts w:ascii="Calibri" w:cs="Calibri" w:eastAsia="Calibri" w:hAnsi="Calibri"/>
          <w:b w:val="false"/>
          <w:bCs w:val="false"/>
          <w:i w:val="false"/>
          <w:iCs w:val="false"/>
          <w:color w:val="000000"/>
          <w:sz w:val="21"/>
          <w:szCs w:val="21"/>
        </w:rPr>
        <w:t xml:space="preserve">Explain it simply: cut the text every N characters, like slicing a loaf of bread at exact measured intervals, regardless of where the slices land.</w:t>
      </w:r>
    </w:p>
    <w:p>
      <w:pPr>
        <w:spacing w:after="120" w:line="276"/>
      </w:pPr>
      <w:r>
        <w:rPr>
          <w:rFonts w:ascii="Calibri" w:cs="Calibri" w:eastAsia="Calibri" w:hAnsi="Calibri"/>
          <w:b w:val="false"/>
          <w:bCs w:val="false"/>
          <w:i w:val="false"/>
          <w:iCs w:val="false"/>
          <w:color w:val="000000"/>
          <w:sz w:val="21"/>
          <w:szCs w:val="21"/>
        </w:rPr>
        <w:t xml:space="preserve">Technically: splits text into equal-size pieces with no overlap and no awareness of sentence or section boundaries. Fastest and simplest to implement.</w:t>
      </w:r>
    </w:p>
    <w:p>
      <w:pPr>
        <w:spacing w:after="120" w:line="276"/>
      </w:pPr>
      <w:r>
        <w:rPr>
          <w:rFonts w:ascii="Calibri" w:cs="Calibri" w:eastAsia="Calibri" w:hAnsi="Calibri"/>
          <w:b w:val="false"/>
          <w:bCs w:val="false"/>
          <w:i w:val="false"/>
          <w:iCs w:val="false"/>
          <w:color w:val="000000"/>
          <w:sz w:val="21"/>
          <w:szCs w:val="21"/>
        </w:rPr>
        <w:t xml:space="preserve">Trade-off: frequently cuts a sentence or idea in half, right at the chunk boundary — the piece that got cut may retrieve poorly, or answer only half the question.</w:t>
      </w:r>
    </w:p>
    <w:p>
      <w:pPr>
        <w:spacing w:after="140"/>
      </w:pPr>
    </w:p>
    <w:p>
      <w:pPr>
        <w:pStyle w:val="Heading2"/>
        <w:spacing w:after="120" w:before="260"/>
      </w:pPr>
      <w:r>
        <w:rPr>
          <w:rFonts w:ascii="Calibri" w:cs="Calibri" w:eastAsia="Calibri" w:hAnsi="Calibri"/>
          <w:b/>
          <w:bCs/>
          <w:color w:val="3F3F3F"/>
          <w:sz w:val="24"/>
          <w:szCs w:val="24"/>
        </w:rPr>
        <w:t xml:space="preserve">D2. Overlap</w:t>
      </w:r>
    </w:p>
    <w:p>
      <w:pPr>
        <w:spacing w:after="120" w:line="276"/>
      </w:pPr>
      <w:r>
        <w:rPr>
          <w:rFonts w:ascii="Calibri" w:cs="Calibri" w:eastAsia="Calibri" w:hAnsi="Calibri"/>
          <w:b w:val="false"/>
          <w:bCs w:val="false"/>
          <w:i w:val="false"/>
          <w:iCs w:val="false"/>
          <w:color w:val="000000"/>
          <w:sz w:val="21"/>
          <w:szCs w:val="21"/>
        </w:rPr>
        <w:t xml:space="preserve">Explain it simply: the same bread-slicing idea, but each new slice includes a little of the end of the previous one — so nothing sitting exactly on a cut is lost entirely.</w:t>
      </w:r>
    </w:p>
    <w:p>
      <w:pPr>
        <w:spacing w:after="120" w:line="276"/>
      </w:pPr>
      <w:r>
        <w:rPr>
          <w:rFonts w:ascii="Calibri" w:cs="Calibri" w:eastAsia="Calibri" w:hAnsi="Calibri"/>
          <w:b w:val="false"/>
          <w:bCs w:val="false"/>
          <w:i w:val="false"/>
          <w:iCs w:val="false"/>
          <w:color w:val="000000"/>
          <w:sz w:val="21"/>
          <w:szCs w:val="21"/>
        </w:rPr>
        <w:t xml:space="preserve">Technically: fixed-size chunks where each chunk shares a set number of characters with its neighbour.</w:t>
      </w:r>
    </w:p>
    <w:p>
      <w:pPr>
        <w:spacing w:after="120" w:line="276"/>
      </w:pPr>
      <w:r>
        <w:rPr>
          <w:rFonts w:ascii="Calibri" w:cs="Calibri" w:eastAsia="Calibri" w:hAnsi="Calibri"/>
          <w:b w:val="false"/>
          <w:bCs w:val="false"/>
          <w:i w:val="false"/>
          <w:iCs w:val="false"/>
          <w:color w:val="000000"/>
          <w:sz w:val="21"/>
          <w:szCs w:val="21"/>
        </w:rPr>
        <w:t xml:space="preserve">Trade-off: more chunks overall (more storage, slightly more embedding cost) in exchange for better continuity across boundaries. Disha's default strategy.</w:t>
      </w:r>
    </w:p>
    <w:p>
      <w:pPr>
        <w:spacing w:after="140"/>
      </w:pPr>
    </w:p>
    <w:p>
      <w:pPr>
        <w:pStyle w:val="Heading2"/>
        <w:spacing w:after="120" w:before="260"/>
      </w:pPr>
      <w:r>
        <w:rPr>
          <w:rFonts w:ascii="Calibri" w:cs="Calibri" w:eastAsia="Calibri" w:hAnsi="Calibri"/>
          <w:b/>
          <w:bCs/>
          <w:color w:val="3F3F3F"/>
          <w:sz w:val="24"/>
          <w:szCs w:val="24"/>
        </w:rPr>
        <w:t xml:space="preserve">D3. Sentence</w:t>
      </w:r>
    </w:p>
    <w:p>
      <w:pPr>
        <w:spacing w:after="120" w:line="276"/>
      </w:pPr>
      <w:r>
        <w:rPr>
          <w:rFonts w:ascii="Calibri" w:cs="Calibri" w:eastAsia="Calibri" w:hAnsi="Calibri"/>
          <w:b w:val="false"/>
          <w:bCs w:val="false"/>
          <w:i w:val="false"/>
          <w:iCs w:val="false"/>
          <w:color w:val="000000"/>
          <w:sz w:val="21"/>
          <w:szCs w:val="21"/>
        </w:rPr>
        <w:t xml:space="preserve">Explain it simply: never cut a sentence in half — group whole sentences together instead, a few at a time.</w:t>
      </w:r>
    </w:p>
    <w:p>
      <w:pPr>
        <w:spacing w:after="120" w:line="276"/>
      </w:pPr>
      <w:r>
        <w:rPr>
          <w:rFonts w:ascii="Calibri" w:cs="Calibri" w:eastAsia="Calibri" w:hAnsi="Calibri"/>
          <w:b w:val="false"/>
          <w:bCs w:val="false"/>
          <w:i w:val="false"/>
          <w:iCs w:val="false"/>
          <w:color w:val="000000"/>
          <w:sz w:val="21"/>
          <w:szCs w:val="21"/>
        </w:rPr>
        <w:t xml:space="preserve">Technically: splits the text into individual sentences first (using punctuation as the boundary), then groups a fixed number of sentences per chunk.</w:t>
      </w:r>
    </w:p>
    <w:p>
      <w:pPr>
        <w:spacing w:after="120" w:line="276"/>
      </w:pPr>
      <w:r>
        <w:rPr>
          <w:rFonts w:ascii="Calibri" w:cs="Calibri" w:eastAsia="Calibri" w:hAnsi="Calibri"/>
          <w:b w:val="false"/>
          <w:bCs w:val="false"/>
          <w:i w:val="false"/>
          <w:iCs w:val="false"/>
          <w:color w:val="000000"/>
          <w:sz w:val="21"/>
          <w:szCs w:val="21"/>
        </w:rPr>
        <w:t xml:space="preserve">Trade-off: chunk sizes vary (some sentences are long, some short), but grammatical integrity is always preserved — useful when exact wording matters.</w:t>
      </w:r>
    </w:p>
    <w:p>
      <w:pPr>
        <w:spacing w:after="140"/>
      </w:pPr>
    </w:p>
    <w:p>
      <w:pPr>
        <w:pStyle w:val="Heading2"/>
        <w:spacing w:after="120" w:before="260"/>
      </w:pPr>
      <w:r>
        <w:rPr>
          <w:rFonts w:ascii="Calibri" w:cs="Calibri" w:eastAsia="Calibri" w:hAnsi="Calibri"/>
          <w:b/>
          <w:bCs/>
          <w:color w:val="3F3F3F"/>
          <w:sz w:val="24"/>
          <w:szCs w:val="24"/>
        </w:rPr>
        <w:t xml:space="preserve">D4. Heading-Aware</w:t>
      </w:r>
    </w:p>
    <w:p>
      <w:pPr>
        <w:spacing w:after="120" w:line="276"/>
      </w:pPr>
      <w:r>
        <w:rPr>
          <w:rFonts w:ascii="Calibri" w:cs="Calibri" w:eastAsia="Calibri" w:hAnsi="Calibri"/>
          <w:b w:val="false"/>
          <w:bCs w:val="false"/>
          <w:i w:val="false"/>
          <w:iCs w:val="false"/>
          <w:color w:val="000000"/>
          <w:sz w:val="21"/>
          <w:szCs w:val="21"/>
        </w:rPr>
        <w:t xml:space="preserve">Explain it simply: split wherever the document itself already has a heading — respecting the structure the original author built in, rather than imposing an arbitrary one.</w:t>
      </w:r>
    </w:p>
    <w:p>
      <w:pPr>
        <w:spacing w:after="120" w:line="276"/>
      </w:pPr>
      <w:r>
        <w:rPr>
          <w:rFonts w:ascii="Calibri" w:cs="Calibri" w:eastAsia="Calibri" w:hAnsi="Calibri"/>
          <w:b w:val="false"/>
          <w:bCs w:val="false"/>
          <w:i w:val="false"/>
          <w:iCs w:val="false"/>
          <w:color w:val="000000"/>
          <w:sz w:val="21"/>
          <w:szCs w:val="21"/>
        </w:rPr>
        <w:t xml:space="preserve">Technically: uses a pattern match to detect heading-like lines (e.g., ‘1. Scope’ or ‘Clause 4: Penalty for SLA Breach’), then treats everything between one heading and the next as a single chunk.</w:t>
      </w:r>
    </w:p>
    <w:p>
      <w:pPr>
        <w:spacing w:after="120" w:line="276"/>
      </w:pPr>
      <w:r>
        <w:rPr>
          <w:rFonts w:ascii="Calibri" w:cs="Calibri" w:eastAsia="Calibri" w:hAnsi="Calibri"/>
          <w:b w:val="false"/>
          <w:bCs w:val="false"/>
          <w:i w:val="false"/>
          <w:iCs w:val="false"/>
          <w:color w:val="000000"/>
          <w:sz w:val="21"/>
          <w:szCs w:val="21"/>
        </w:rPr>
        <w:t xml:space="preserve">Trade-off: chunk sizes can vary a lot (a short clause vs. a long one), and it only works as well as the heading pattern you write — documents with no headings fall back to paragraph splitting. When it works, it produces the cleanest, most complete chunks of all five strategies — confirmed in this lab: it produced exactly one chunk per real SLA clause.</w:t>
      </w:r>
    </w:p>
    <w:p>
      <w:pPr>
        <w:spacing w:after="140"/>
      </w:pPr>
    </w:p>
    <w:p>
      <w:pPr>
        <w:pStyle w:val="Heading2"/>
        <w:spacing w:after="120" w:before="260"/>
      </w:pPr>
      <w:r>
        <w:rPr>
          <w:rFonts w:ascii="Calibri" w:cs="Calibri" w:eastAsia="Calibri" w:hAnsi="Calibri"/>
          <w:b/>
          <w:bCs/>
          <w:color w:val="3F3F3F"/>
          <w:sz w:val="24"/>
          <w:szCs w:val="24"/>
        </w:rPr>
        <w:t xml:space="preserve">D5. Semantic (Approximated)</w:t>
      </w:r>
    </w:p>
    <w:p>
      <w:pPr>
        <w:spacing w:after="120" w:line="276"/>
      </w:pPr>
      <w:r>
        <w:rPr>
          <w:rFonts w:ascii="Calibri" w:cs="Calibri" w:eastAsia="Calibri" w:hAnsi="Calibri"/>
          <w:b w:val="false"/>
          <w:bCs w:val="false"/>
          <w:i w:val="false"/>
          <w:iCs w:val="false"/>
          <w:color w:val="000000"/>
          <w:sz w:val="21"/>
          <w:szCs w:val="21"/>
        </w:rPr>
        <w:t xml:space="preserve">Explain it simply: split wherever the topic seems to change, the way a thoughtful reader would notice a shift from one idea to the next.</w:t>
      </w:r>
    </w:p>
    <w:p>
      <w:pPr>
        <w:spacing w:after="120" w:line="276"/>
      </w:pPr>
      <w:r>
        <w:rPr>
          <w:rFonts w:ascii="Calibri" w:cs="Calibri" w:eastAsia="Calibri" w:hAnsi="Calibri"/>
          <w:b w:val="false"/>
          <w:bCs w:val="false"/>
          <w:i w:val="false"/>
          <w:iCs w:val="false"/>
          <w:color w:val="000000"/>
          <w:sz w:val="21"/>
          <w:szCs w:val="21"/>
        </w:rPr>
        <w:t xml:space="preserve">Technically — and honestly: TRUE semantic chunking uses an embedding model to detect where meaning shifts inside a document, splitting there. That's more machinery than fits cleanly in a teaching-scale script. Disha approximates it by splitting at paragraph (blank-line) boundaries, which in a well-written policy document usually does line up with a topic change — but this is a heuristic stand-in, not the real technique.</w:t>
      </w:r>
    </w:p>
    <w:p>
      <w:pPr>
        <w:spacing w:after="120" w:line="276"/>
      </w:pPr>
      <w:r>
        <w:rPr>
          <w:rFonts w:ascii="Calibri" w:cs="Calibri" w:eastAsia="Calibri" w:hAnsi="Calibri"/>
          <w:b w:val="false"/>
          <w:bCs w:val="false"/>
          <w:i w:val="false"/>
          <w:iCs w:val="false"/>
          <w:color w:val="000000"/>
          <w:sz w:val="21"/>
          <w:szCs w:val="21"/>
        </w:rPr>
        <w:t xml:space="preserve">Trade-off: cheap and fast, reasonable results on well-structured documents, but not a substitute for genuine embedding-based semantic splitting in a production system.</w:t>
      </w:r>
    </w:p>
    <w:p>
      <w:pPr>
        <w:spacing w:after="12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Quick comparison</w:t>
            </w:r>
          </w:p>
          <w:p>
            <w:r>
              <w:rPr>
                <w:rFonts w:ascii="Calibri" w:cs="Calibri" w:eastAsia="Calibri" w:hAnsi="Calibri"/>
                <w:color w:val="000000"/>
                <w:sz w:val="20"/>
                <w:szCs w:val="20"/>
              </w:rPr>
              <w:t xml:space="preserve">fixed = fastest, worst boundaries. overlap = fixed's safer sibling. sentence = never breaks grammar. heading_aware = best quality when headings exist. semantic = a reasonable paragraph-based approximation, not the real algorithm.</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E. Retrieval Patterns Explained</w:t>
      </w:r>
    </w:p>
    <w:p>
      <w:pPr>
        <w:pStyle w:val="Heading2"/>
        <w:spacing w:after="120" w:before="260"/>
      </w:pPr>
      <w:r>
        <w:rPr>
          <w:rFonts w:ascii="Calibri" w:cs="Calibri" w:eastAsia="Calibri" w:hAnsi="Calibri"/>
          <w:b/>
          <w:bCs/>
          <w:color w:val="3F3F3F"/>
          <w:sz w:val="24"/>
          <w:szCs w:val="24"/>
        </w:rPr>
        <w:t xml:space="preserve">E1. Top-K</w:t>
      </w:r>
    </w:p>
    <w:p>
      <w:pPr>
        <w:spacing w:after="120" w:line="276"/>
      </w:pPr>
      <w:r>
        <w:rPr>
          <w:rFonts w:ascii="Calibri" w:cs="Calibri" w:eastAsia="Calibri" w:hAnsi="Calibri"/>
          <w:b w:val="false"/>
          <w:bCs w:val="false"/>
          <w:i w:val="false"/>
          <w:iCs w:val="false"/>
          <w:color w:val="000000"/>
          <w:sz w:val="21"/>
          <w:szCs w:val="21"/>
        </w:rPr>
        <w:t xml:space="preserve">Explain it simply: just bring back the K chunks that are most similar to the question, full stop — like handing over the top 3 search results, whether they're a great match or a mediocre one.</w:t>
      </w:r>
    </w:p>
    <w:p>
      <w:pPr>
        <w:spacing w:after="120" w:line="276"/>
      </w:pPr>
      <w:r>
        <w:rPr>
          <w:rFonts w:ascii="Calibri" w:cs="Calibri" w:eastAsia="Calibri" w:hAnsi="Calibri"/>
          <w:b w:val="false"/>
          <w:bCs w:val="false"/>
          <w:i w:val="false"/>
          <w:iCs w:val="false"/>
          <w:color w:val="000000"/>
          <w:sz w:val="21"/>
          <w:szCs w:val="21"/>
        </w:rPr>
        <w:t xml:space="preserve">Technically: computes similarity between the question's embedding and every stored chunk, returns the K closest, along with a relevance score for each.</w:t>
      </w:r>
    </w:p>
    <w:p>
      <w:pPr>
        <w:spacing w:after="120" w:line="276"/>
      </w:pPr>
      <w:r>
        <w:rPr>
          <w:rFonts w:ascii="Calibri" w:cs="Calibri" w:eastAsia="Calibri" w:hAnsi="Calibri"/>
          <w:b w:val="false"/>
          <w:bCs w:val="false"/>
          <w:i w:val="false"/>
          <w:iCs w:val="false"/>
          <w:color w:val="000000"/>
          <w:sz w:val="21"/>
          <w:szCs w:val="21"/>
        </w:rPr>
        <w:t xml:space="preserve">Best for: simple lookups where you're fairly confident the knowledge base covers the topic.</w:t>
      </w:r>
    </w:p>
    <w:p>
      <w:pPr>
        <w:spacing w:after="140"/>
      </w:pPr>
    </w:p>
    <w:p>
      <w:pPr>
        <w:pStyle w:val="Heading2"/>
        <w:spacing w:after="120" w:before="260"/>
      </w:pPr>
      <w:r>
        <w:rPr>
          <w:rFonts w:ascii="Calibri" w:cs="Calibri" w:eastAsia="Calibri" w:hAnsi="Calibri"/>
          <w:b/>
          <w:bCs/>
          <w:color w:val="3F3F3F"/>
          <w:sz w:val="24"/>
          <w:szCs w:val="24"/>
        </w:rPr>
        <w:t xml:space="preserve">E2. MMR (Maximal Marginal Relevance)</w:t>
      </w:r>
    </w:p>
    <w:p>
      <w:pPr>
        <w:spacing w:after="120" w:line="276"/>
      </w:pPr>
      <w:r>
        <w:rPr>
          <w:rFonts w:ascii="Calibri" w:cs="Calibri" w:eastAsia="Calibri" w:hAnsi="Calibri"/>
          <w:b w:val="false"/>
          <w:bCs w:val="false"/>
          <w:i w:val="false"/>
          <w:iCs w:val="false"/>
          <w:color w:val="000000"/>
          <w:sz w:val="21"/>
          <w:szCs w:val="21"/>
        </w:rPr>
        <w:t xml:space="preserve">Explain it simply: bring back chunks that are relevant to the question AND different from each other — rather than 3 chunks that all say almost the same thing.</w:t>
      </w:r>
    </w:p>
    <w:p>
      <w:pPr>
        <w:spacing w:after="120" w:line="276"/>
      </w:pPr>
      <w:r>
        <w:rPr>
          <w:rFonts w:ascii="Calibri" w:cs="Calibri" w:eastAsia="Calibri" w:hAnsi="Calibri"/>
          <w:b w:val="false"/>
          <w:bCs w:val="false"/>
          <w:i w:val="false"/>
          <w:iCs w:val="false"/>
          <w:color w:val="000000"/>
          <w:sz w:val="21"/>
          <w:szCs w:val="21"/>
        </w:rPr>
        <w:t xml:space="preserve">Technically: first fetches a larger candidate pool, then selects K chunks balancing similarity to the question against dissimilarity to chunks already selected, controlled by a lambda_mult parameter (1.0 = pure relevance, 0.0 = pure diversity).</w:t>
      </w:r>
    </w:p>
    <w:p>
      <w:pPr>
        <w:spacing w:after="120" w:line="276"/>
      </w:pPr>
      <w:r>
        <w:rPr>
          <w:rFonts w:ascii="Calibri" w:cs="Calibri" w:eastAsia="Calibri" w:hAnsi="Calibri"/>
          <w:b w:val="false"/>
          <w:bCs w:val="false"/>
          <w:i w:val="false"/>
          <w:iCs w:val="false"/>
          <w:color w:val="000000"/>
          <w:sz w:val="21"/>
          <w:szCs w:val="21"/>
        </w:rPr>
        <w:t xml:space="preserve">Best for: broader questions where several distinct pieces of information might all be relevant, and you don't want 3 near-duplicate chunks crowding out variety.</w:t>
      </w:r>
    </w:p>
    <w:p>
      <w:pPr>
        <w:spacing w:after="140"/>
      </w:pPr>
    </w:p>
    <w:p>
      <w:pPr>
        <w:pStyle w:val="Heading2"/>
        <w:spacing w:after="120" w:before="260"/>
      </w:pPr>
      <w:r>
        <w:rPr>
          <w:rFonts w:ascii="Calibri" w:cs="Calibri" w:eastAsia="Calibri" w:hAnsi="Calibri"/>
          <w:b/>
          <w:bCs/>
          <w:color w:val="3F3F3F"/>
          <w:sz w:val="24"/>
          <w:szCs w:val="24"/>
        </w:rPr>
        <w:t xml:space="preserve">E3. Threshold-Based</w:t>
      </w:r>
    </w:p>
    <w:p>
      <w:pPr>
        <w:spacing w:after="120" w:line="276"/>
      </w:pPr>
      <w:r>
        <w:rPr>
          <w:rFonts w:ascii="Calibri" w:cs="Calibri" w:eastAsia="Calibri" w:hAnsi="Calibri"/>
          <w:b w:val="false"/>
          <w:bCs w:val="false"/>
          <w:i w:val="false"/>
          <w:iCs w:val="false"/>
          <w:color w:val="000000"/>
          <w:sz w:val="21"/>
          <w:szCs w:val="21"/>
        </w:rPr>
        <w:t xml:space="preserve">Explain it simply: only bring back chunks that are ACTUALLY similar enough to trust — if nothing clears the bar, bring back nothing at all.</w:t>
      </w:r>
    </w:p>
    <w:p>
      <w:pPr>
        <w:spacing w:after="120" w:line="276"/>
      </w:pPr>
      <w:r>
        <w:rPr>
          <w:rFonts w:ascii="Calibri" w:cs="Calibri" w:eastAsia="Calibri" w:hAnsi="Calibri"/>
          <w:b w:val="false"/>
          <w:bCs w:val="false"/>
          <w:i w:val="false"/>
          <w:iCs w:val="false"/>
          <w:color w:val="000000"/>
          <w:sz w:val="21"/>
          <w:szCs w:val="21"/>
        </w:rPr>
        <w:t xml:space="preserve">Technically: retrieves up to K chunks, then discards any whose relevance score falls below a minimum cutoff (min_score).</w:t>
      </w:r>
    </w:p>
    <w:p>
      <w:pPr>
        <w:spacing w:after="120" w:line="276"/>
      </w:pPr>
      <w:r>
        <w:rPr>
          <w:rFonts w:ascii="Calibri" w:cs="Calibri" w:eastAsia="Calibri" w:hAnsi="Calibri"/>
          <w:b w:val="false"/>
          <w:bCs w:val="false"/>
          <w:i w:val="false"/>
          <w:iCs w:val="false"/>
          <w:color w:val="000000"/>
          <w:sz w:val="21"/>
          <w:szCs w:val="21"/>
        </w:rPr>
        <w:t xml:space="preserve">Best for: exactly what powers Disha's ‘I don't know’ behaviour — when a question falls outside the knowledge base entirely, this pattern can return zero results, so the pipeline can refuse to answer instead of guessing.</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F. Context Assembly — Deduplication &amp; Evidence Packing</w:t>
      </w:r>
    </w:p>
    <w:p>
      <w:pPr>
        <w:spacing w:after="120" w:line="276"/>
      </w:pPr>
      <w:r>
        <w:rPr>
          <w:rFonts w:ascii="Calibri" w:cs="Calibri" w:eastAsia="Calibri" w:hAnsi="Calibri"/>
          <w:b w:val="false"/>
          <w:bCs w:val="false"/>
          <w:i w:val="false"/>
          <w:iCs w:val="false"/>
          <w:color w:val="000000"/>
          <w:sz w:val="21"/>
          <w:szCs w:val="21"/>
        </w:rPr>
        <w:t xml:space="preserve">Retrieval doesn't always return clean, unique, appropriately-sized results — two chunks can say nearly the same thing (especially with overlap chunking), and there's no natural limit on how much text gets sent to the LLM. context.py handles both problems, after retrieval and before the LLM ever sees anything.</w:t>
      </w:r>
    </w:p>
    <w:p>
      <w:pPr>
        <w:pStyle w:val="ListParagraph"/>
        <w:numPr>
          <w:ilvl w:val="0"/>
          <w:numId w:val="2"/>
        </w:numPr>
        <w:spacing w:after="60"/>
      </w:pPr>
      <w:r>
        <w:rPr>
          <w:rFonts w:ascii="Calibri" w:cs="Calibri" w:eastAsia="Calibri" w:hAnsi="Calibri"/>
          <w:color w:val="000000"/>
          <w:sz w:val="21"/>
          <w:szCs w:val="21"/>
        </w:rPr>
        <w:t xml:space="preserve">Deduplication: compares chunks after normalising whitespace and case; if one chunk's text is basically contained within another already kept, it's dropped rather than sent twice.</w:t>
      </w:r>
    </w:p>
    <w:p>
      <w:pPr>
        <w:pStyle w:val="ListParagraph"/>
        <w:numPr>
          <w:ilvl w:val="0"/>
          <w:numId w:val="2"/>
        </w:numPr>
        <w:spacing w:after="60"/>
      </w:pPr>
      <w:r>
        <w:rPr>
          <w:rFonts w:ascii="Calibri" w:cs="Calibri" w:eastAsia="Calibri" w:hAnsi="Calibri"/>
          <w:color w:val="000000"/>
          <w:sz w:val="21"/>
          <w:szCs w:val="21"/>
        </w:rPr>
        <w:t xml:space="preserve">Evidence packing: assembles the surviving chunks into a single context string, but stops adding more once a character budget (max_chars) is reached — keeping cost and latency predictable regardless of how much was retrieved.</w:t>
      </w:r>
    </w:p>
    <w:p>
      <w:pPr>
        <w:spacing w:after="180"/>
      </w:pPr>
    </w:p>
    <w:p>
      <w:pPr>
        <w:pStyle w:val="Heading1"/>
        <w:pBdr>
          <w:bottom w:val="single" w:color="808080" w:sz="6" w:space="4"/>
        </w:pBdr>
        <w:spacing w:after="160" w:before="320"/>
      </w:pPr>
      <w:r>
        <w:rPr>
          <w:rFonts w:ascii="Calibri" w:cs="Calibri" w:eastAsia="Calibri" w:hAnsi="Calibri"/>
          <w:b/>
          <w:bCs/>
          <w:color w:val="3F3F3F"/>
          <w:sz w:val="30"/>
          <w:szCs w:val="30"/>
        </w:rPr>
        <w:t xml:space="preserve">G. PII-Safe Ingestion</w:t>
      </w:r>
    </w:p>
    <w:p>
      <w:pPr>
        <w:spacing w:after="120" w:line="276"/>
      </w:pPr>
      <w:r>
        <w:rPr>
          <w:rFonts w:ascii="Calibri" w:cs="Calibri" w:eastAsia="Calibri" w:hAnsi="Calibri"/>
          <w:b w:val="false"/>
          <w:bCs w:val="false"/>
          <w:i w:val="false"/>
          <w:iCs w:val="false"/>
          <w:color w:val="000000"/>
          <w:sz w:val="21"/>
          <w:szCs w:val="21"/>
        </w:rPr>
        <w:t xml:space="preserve">Explain it simply: before anything gets stored, scan it for obvious personal details — like an email address or phone number — and black them out, the way a redacted document has whole lines blanked.</w:t>
      </w:r>
    </w:p>
    <w:p>
      <w:pPr>
        <w:spacing w:after="120" w:line="276"/>
      </w:pPr>
      <w:r>
        <w:rPr>
          <w:rFonts w:ascii="Calibri" w:cs="Calibri" w:eastAsia="Calibri" w:hAnsi="Calibri"/>
          <w:b w:val="false"/>
          <w:bCs w:val="false"/>
          <w:i w:val="false"/>
          <w:iCs w:val="false"/>
          <w:color w:val="000000"/>
          <w:sz w:val="21"/>
          <w:szCs w:val="21"/>
        </w:rPr>
        <w:t xml:space="preserve">Technically: pii.py uses regular expressions to detect a small set of PII shapes (email addresses, Indian 10-digit phone numbers, PAN-style alphanumeric IDs) and replaces each match with a labelled placeholder such as [REDACTED_EMAIL], before the text is chunked or embedded.</w:t>
      </w:r>
    </w:p>
    <w:p>
      <w:pPr>
        <w:spacing w:after="100"/>
      </w:pPr>
    </w:p>
    <w:tbl>
      <w:tblPr>
        <w:tblW w:type="dxa" w:w="9350"/>
        <w:tblBorders>
          <w:top w:val="single" w:color="808080" w:sz="6"/>
          <w:left w:val="single" w:color="808080" w:sz="6"/>
          <w:bottom w:val="single" w:color="808080" w:sz="6"/>
          <w:right w:val="single" w:color="808080" w:sz="6"/>
          <w:insideH w:val="single" w:color="auto" w:sz="4"/>
          <w:insideV w:val="single" w:color="auto" w:sz="4"/>
        </w:tblBorders>
      </w:tblPr>
      <w:tblGrid>
        <w:gridCol w:w="9350"/>
      </w:tblGrid>
      <w:tr>
        <w:tc>
          <w:tcPr>
            <w:tcW w:type="dxa" w:w="9350"/>
            <w:shd w:fill="F3F3F3" w:val="clear"/>
            <w:tcMar>
              <w:top w:type="dxa" w:w="140"/>
              <w:left w:type="dxa" w:w="160"/>
              <w:bottom w:type="dxa" w:w="140"/>
              <w:right w:type="dxa" w:w="160"/>
            </w:tcMar>
          </w:tcPr>
          <w:p>
            <w:pPr>
              <w:spacing w:after="60"/>
            </w:pPr>
            <w:r>
              <w:rPr>
                <w:rFonts w:ascii="Calibri" w:cs="Calibri" w:eastAsia="Calibri" w:hAnsi="Calibri"/>
                <w:b/>
                <w:bCs/>
                <w:color w:val="3F3F3F"/>
                <w:sz w:val="20"/>
                <w:szCs w:val="20"/>
              </w:rPr>
              <w:t xml:space="preserve">An honest limitation</w:t>
            </w:r>
          </w:p>
          <w:p>
            <w:r>
              <w:rPr>
                <w:rFonts w:ascii="Calibri" w:cs="Calibri" w:eastAsia="Calibri" w:hAnsi="Calibri"/>
                <w:color w:val="000000"/>
                <w:sz w:val="20"/>
                <w:szCs w:val="20"/>
              </w:rPr>
              <w:t xml:space="preserve">This is pattern-matching, not understanding. It catches PII with a predictable shape (an email always has an @, a phone number is a run of digits) but will NOT catch a person's name written in plain prose — that requires a proper Named Entity Recognition (NER) model, which is a heavier tool than this teaching-scale lab uses. Worth naming as a real production gap, not glossing over.</w:t>
            </w:r>
          </w:p>
        </w:tc>
      </w:tr>
    </w:tbl>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H. Grounded Answers — Citation &amp; ‘I Don't Know’</w:t>
      </w:r>
    </w:p>
    <w:p>
      <w:pPr>
        <w:spacing w:after="120" w:line="276"/>
      </w:pPr>
      <w:r>
        <w:rPr>
          <w:rFonts w:ascii="Calibri" w:cs="Calibri" w:eastAsia="Calibri" w:hAnsi="Calibri"/>
          <w:b w:val="false"/>
          <w:bCs w:val="false"/>
          <w:i w:val="false"/>
          <w:iCs w:val="false"/>
          <w:color w:val="000000"/>
          <w:sz w:val="21"/>
          <w:szCs w:val="21"/>
        </w:rPr>
        <w:t xml:space="preserve">Two guardrails work together in app.py to keep answers trustworthy:</w:t>
      </w:r>
    </w:p>
    <w:p>
      <w:pPr>
        <w:pStyle w:val="ListParagraph"/>
        <w:numPr>
          <w:ilvl w:val="0"/>
          <w:numId w:val="2"/>
        </w:numPr>
        <w:spacing w:after="60"/>
      </w:pPr>
      <w:r>
        <w:rPr>
          <w:rFonts w:ascii="Calibri" w:cs="Calibri" w:eastAsia="Calibri" w:hAnsi="Calibri"/>
          <w:color w:val="000000"/>
          <w:sz w:val="21"/>
          <w:szCs w:val="21"/>
        </w:rPr>
        <w:t xml:space="preserve">Citation requirement: the system prompt instructs the model that every factual claim must be followed by (Source: &lt;filename&gt;) — turning a plausible-sounding answer into a checkable one.</w:t>
      </w:r>
    </w:p>
    <w:p>
      <w:pPr>
        <w:pStyle w:val="ListParagraph"/>
        <w:numPr>
          <w:ilvl w:val="0"/>
          <w:numId w:val="2"/>
        </w:numPr>
        <w:spacing w:after="60"/>
      </w:pPr>
      <w:r>
        <w:rPr>
          <w:rFonts w:ascii="Calibri" w:cs="Calibri" w:eastAsia="Calibri" w:hAnsi="Calibri"/>
          <w:color w:val="000000"/>
          <w:sz w:val="21"/>
          <w:szCs w:val="21"/>
        </w:rPr>
        <w:t xml:space="preserve">The confidence guardrail: before the LLM is even called, Disha checks whether the best retrieved chunk's relevance score clears MIN_CONFIDENCE. If nothing does, the pipeline returns a fixed ‘I don't know’ response directly — no LLM call happens at all. This is a structural guardrail, not a hope that the model will be honest on its own.</w:t>
      </w:r>
    </w:p>
    <w:p>
      <w:pPr>
        <w:spacing w:after="200"/>
      </w:pPr>
    </w:p>
    <w:p>
      <w:pPr>
        <w:pStyle w:val="Heading1"/>
        <w:pBdr>
          <w:bottom w:val="single" w:color="808080" w:sz="6" w:space="4"/>
        </w:pBdr>
        <w:spacing w:after="160" w:before="320"/>
      </w:pPr>
      <w:r>
        <w:rPr>
          <w:rFonts w:ascii="Calibri" w:cs="Calibri" w:eastAsia="Calibri" w:hAnsi="Calibri"/>
          <w:b/>
          <w:bCs/>
          <w:color w:val="3F3F3F"/>
          <w:sz w:val="30"/>
          <w:szCs w:val="30"/>
        </w:rPr>
        <w:t xml:space="preserve">I. Quick Reference</w:t>
      </w:r>
    </w:p>
    <w:tbl>
      <w:tblPr>
        <w:tblW w:type="dxa" w:w="9350"/>
        <w:tblBorders>
          <w:top w:val="single" w:color="808080" w:sz="4"/>
          <w:left w:val="single" w:color="808080" w:sz="4"/>
          <w:bottom w:val="single" w:color="808080" w:sz="4"/>
          <w:right w:val="single" w:color="808080" w:sz="4"/>
          <w:insideH w:val="single" w:color="808080" w:sz="4"/>
          <w:insideV w:val="single" w:color="808080" w:sz="4"/>
        </w:tblBorders>
      </w:tblPr>
      <w:tblGrid>
        <w:gridCol w:w="2650"/>
        <w:gridCol w:w="6700"/>
      </w:tblGrid>
      <w:tr>
        <w:trPr>
          <w:tblHeader/>
        </w:trPr>
        <w:tc>
          <w:tcPr>
            <w:tcW w:type="dxa" w:w="265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Concept</w:t>
            </w:r>
          </w:p>
        </w:tc>
        <w:tc>
          <w:tcPr>
            <w:tcW w:type="dxa" w:w="6700"/>
            <w:shd w:fill="E7E7E7" w:val="clear"/>
            <w:tcMar>
              <w:top w:type="dxa" w:w="100"/>
              <w:left w:type="dxa" w:w="120"/>
              <w:bottom w:type="dxa" w:w="100"/>
              <w:right w:type="dxa" w:w="120"/>
            </w:tcMar>
            <w:vAlign w:val="center"/>
          </w:tcPr>
          <w:p>
            <w:r>
              <w:rPr>
                <w:rFonts w:ascii="Calibri" w:cs="Calibri" w:eastAsia="Calibri" w:hAnsi="Calibri"/>
                <w:b/>
                <w:bCs/>
                <w:color w:val="000000"/>
                <w:sz w:val="19"/>
                <w:szCs w:val="19"/>
              </w:rPr>
              <w:t xml:space="preserve">One-line definition</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Chunking</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Splitting a document into smaller pieces before embedding</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Embedding</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Turning text into a list of numbers representing its meaning</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Vector store</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 database built to search embeddings by similarity, not exact match</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Retrieval</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Finding the most relevant stored chunks for a given question</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Reranking / MMR</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Adjusting or diversifying an initial set of retrieved results</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Context assembly</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Deduplicating and packing retrieved chunks before they reach the LLM</w:t>
            </w:r>
          </w:p>
        </w:tc>
      </w:tr>
      <w:tr>
        <w:tc>
          <w:tcPr>
            <w:tcW w:type="dxa" w:w="265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Grounding</w:t>
            </w:r>
          </w:p>
        </w:tc>
        <w:tc>
          <w:tcPr>
            <w:tcW w:type="dxa" w:w="6700"/>
            <w:shd w:fill="FFFFFF" w:val="clear"/>
            <w:tcMar>
              <w:top w:type="dxa" w:w="90"/>
              <w:left w:type="dxa" w:w="120"/>
              <w:bottom w:type="dxa" w:w="90"/>
              <w:right w:type="dxa" w:w="120"/>
            </w:tcMar>
            <w:vAlign w:val="top"/>
          </w:tcPr>
          <w:p>
            <w:r>
              <w:rPr>
                <w:rFonts w:ascii="Calibri" w:cs="Calibri" w:eastAsia="Calibri" w:hAnsi="Calibri"/>
                <w:color w:val="000000"/>
                <w:sz w:val="19"/>
                <w:szCs w:val="19"/>
              </w:rPr>
              <w:t xml:space="preserve">Requiring an answer to be based only on retrieved evidence, with citations</w:t>
            </w:r>
          </w:p>
        </w:tc>
      </w:tr>
      <w:tr>
        <w:tc>
          <w:tcPr>
            <w:tcW w:type="dxa" w:w="265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Confidence guardrail</w:t>
            </w:r>
          </w:p>
        </w:tc>
        <w:tc>
          <w:tcPr>
            <w:tcW w:type="dxa" w:w="6700"/>
            <w:shd w:fill="F3F3F3" w:val="clear"/>
            <w:tcMar>
              <w:top w:type="dxa" w:w="90"/>
              <w:left w:type="dxa" w:w="120"/>
              <w:bottom w:type="dxa" w:w="90"/>
              <w:right w:type="dxa" w:w="120"/>
            </w:tcMar>
            <w:vAlign w:val="top"/>
          </w:tcPr>
          <w:p>
            <w:r>
              <w:rPr>
                <w:rFonts w:ascii="Calibri" w:cs="Calibri" w:eastAsia="Calibri" w:hAnsi="Calibri"/>
                <w:color w:val="000000"/>
                <w:sz w:val="19"/>
                <w:szCs w:val="19"/>
              </w:rPr>
              <w:t xml:space="preserve">Refusing to answer when no evidence is a strong enough match</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Confidential | For NCS Telco+ Cohort Use Only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95959"/>
        <w:sz w:val="16"/>
        <w:szCs w:val="16"/>
      </w:rPr>
      <w:t xml:space="preserve">NCS Telco+  |  Working with LLMs &amp; Agentic AI  |  NIIT StackRoute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2026-09-03T09:11:34.589Z</dcterms:created>
  <dcterms:modified xsi:type="dcterms:W3CDTF">2026-09-03T09:11:34.601Z</dcterms:modified>
</cp:coreProperties>
</file>

<file path=docProps/custom.xml><?xml version="1.0" encoding="utf-8"?>
<Properties xmlns="http://schemas.openxmlformats.org/officeDocument/2006/custom-properties" xmlns:vt="http://schemas.openxmlformats.org/officeDocument/2006/docPropsVTypes"/>
</file>