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PRACTICE SHEET 1 OF 4  —  DAY 1</w:t>
      </w:r>
    </w:p>
    <w:p>
      <w:pPr>
        <w:spacing w:after="40"/>
        <w:jc w:val="center"/>
      </w:pPr>
      <w:r>
        <w:rPr>
          <w:rFonts w:ascii="Calibri" w:cs="Calibri" w:eastAsia="Calibri" w:hAnsi="Calibri"/>
          <w:b/>
          <w:bCs/>
          <w:color w:val="000000"/>
          <w:sz w:val="40"/>
          <w:szCs w:val="40"/>
        </w:rPr>
        <w:t xml:space="preserve">Understanding the GenAI Ecosystem</w:t>
      </w:r>
    </w:p>
    <w:p>
      <w:pPr>
        <w:spacing w:after="200"/>
        <w:jc w:val="center"/>
      </w:pPr>
      <w:r>
        <w:rPr>
          <w:rFonts w:ascii="Calibri" w:cs="Calibri" w:eastAsia="Calibri" w:hAnsi="Calibri"/>
          <w:i/>
          <w:iCs/>
          <w:color w:val="595959"/>
          <w:sz w:val="20"/>
          <w:szCs w:val="20"/>
        </w:rPr>
        <w:t xml:space="preserve">Module 1: GenAI &amp; LLM Foundations  |  Hour 1 of the Day  |  Duration: ~50 minutes</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Who this is for</w:t>
            </w:r>
          </w:p>
          <w:p>
            <w:r>
              <w:rPr>
                <w:rFonts w:ascii="Calibri" w:cs="Calibri" w:eastAsia="Calibri" w:hAnsi="Calibri"/>
                <w:color w:val="000000"/>
                <w:sz w:val="20"/>
                <w:szCs w:val="20"/>
              </w:rPr>
              <w:t xml:space="preserve">You are engineers first, GenAI users second. This sheet does not assume you know any AI jargon. Every term is explained in plain language first, and then tied back to how it shows up in your day-to-day work on NCS Telco+ engagements — network operations, customer care, compliance, and delivery.</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A. Before You Start</w:t>
      </w:r>
    </w:p>
    <w:p>
      <w:pPr>
        <w:spacing w:after="120" w:line="276"/>
      </w:pPr>
      <w:r>
        <w:rPr>
          <w:rFonts w:ascii="Calibri" w:cs="Calibri" w:eastAsia="Calibri" w:hAnsi="Calibri"/>
          <w:b w:val="false"/>
          <w:bCs w:val="false"/>
          <w:i w:val="false"/>
          <w:iCs w:val="false"/>
          <w:color w:val="000000"/>
          <w:sz w:val="21"/>
          <w:szCs w:val="21"/>
        </w:rPr>
        <w:t xml:space="preserve">This is an individual worksheet. Read each section, then fill in the blanks where asked. There are no wrong answers in the glossary and activity sections — the goal is to build a shared vocabulary before we touch any code.</w:t>
      </w:r>
    </w:p>
    <w:p>
      <w:pPr>
        <w:spacing w:after="80"/>
      </w:pPr>
      <w:r>
        <w:rPr>
          <w:rFonts w:ascii="Calibri" w:cs="Calibri" w:eastAsia="Calibri" w:hAnsi="Calibri"/>
          <w:b/>
          <w:bCs/>
          <w:color w:val="595959"/>
          <w:sz w:val="20"/>
          <w:szCs w:val="20"/>
        </w:rPr>
        <w:t xml:space="preserve">How to use this sheet:</w:t>
      </w:r>
    </w:p>
    <w:p>
      <w:pPr>
        <w:pStyle w:val="ListParagraph"/>
        <w:numPr>
          <w:ilvl w:val="0"/>
          <w:numId w:val="2"/>
        </w:numPr>
        <w:spacing w:after="60"/>
      </w:pPr>
      <w:r>
        <w:rPr>
          <w:rFonts w:ascii="Calibri" w:cs="Calibri" w:eastAsia="Calibri" w:hAnsi="Calibri"/>
          <w:color w:val="000000"/>
          <w:sz w:val="21"/>
          <w:szCs w:val="21"/>
        </w:rPr>
        <w:t xml:space="preserve">Read Section B and C first — this gives you the vocabulary for the entire 50-hour programme.</w:t>
      </w:r>
    </w:p>
    <w:p>
      <w:pPr>
        <w:pStyle w:val="ListParagraph"/>
        <w:numPr>
          <w:ilvl w:val="0"/>
          <w:numId w:val="2"/>
        </w:numPr>
        <w:spacing w:after="60"/>
      </w:pPr>
      <w:r>
        <w:rPr>
          <w:rFonts w:ascii="Calibri" w:cs="Calibri" w:eastAsia="Calibri" w:hAnsi="Calibri"/>
          <w:color w:val="000000"/>
          <w:sz w:val="21"/>
          <w:szCs w:val="21"/>
        </w:rPr>
        <w:t xml:space="preserve">Section D and E compare the tools and account types you will encounter at NCS and with clients.</w:t>
      </w:r>
    </w:p>
    <w:p>
      <w:pPr>
        <w:pStyle w:val="ListParagraph"/>
        <w:numPr>
          <w:ilvl w:val="0"/>
          <w:numId w:val="2"/>
        </w:numPr>
        <w:spacing w:after="60"/>
      </w:pPr>
      <w:r>
        <w:rPr>
          <w:rFonts w:ascii="Calibri" w:cs="Calibri" w:eastAsia="Calibri" w:hAnsi="Calibri"/>
          <w:color w:val="000000"/>
          <w:sz w:val="21"/>
          <w:szCs w:val="21"/>
        </w:rPr>
        <w:t xml:space="preserve">Section F is the one to remember when you are handling any client or NCS confidential data.</w:t>
      </w:r>
    </w:p>
    <w:p>
      <w:pPr>
        <w:pStyle w:val="ListParagraph"/>
        <w:numPr>
          <w:ilvl w:val="0"/>
          <w:numId w:val="2"/>
        </w:numPr>
        <w:spacing w:after="60"/>
      </w:pPr>
      <w:r>
        <w:rPr>
          <w:rFonts w:ascii="Calibri" w:cs="Calibri" w:eastAsia="Calibri" w:hAnsi="Calibri"/>
          <w:color w:val="000000"/>
          <w:sz w:val="21"/>
          <w:szCs w:val="21"/>
        </w:rPr>
        <w:t xml:space="preserve">Section G is a hands-on activity — keep your laptop ready.</w:t>
      </w:r>
    </w:p>
    <w:p>
      <w:pPr>
        <w:spacing w:after="160"/>
      </w:pPr>
    </w:p>
    <w:p>
      <w:pPr>
        <w:pStyle w:val="Heading1"/>
        <w:pBdr>
          <w:bottom w:val="single" w:color="808080" w:sz="6" w:space="4"/>
        </w:pBdr>
        <w:spacing w:after="160" w:before="320"/>
      </w:pPr>
      <w:r>
        <w:rPr>
          <w:rFonts w:ascii="Calibri" w:cs="Calibri" w:eastAsia="Calibri" w:hAnsi="Calibri"/>
          <w:b/>
          <w:bCs/>
          <w:color w:val="3F3F3F"/>
          <w:sz w:val="30"/>
          <w:szCs w:val="30"/>
        </w:rPr>
        <w:t xml:space="preserve">B. The Big Picture — GenAI Explained Simply</w:t>
      </w:r>
    </w:p>
    <w:p>
      <w:pPr>
        <w:pStyle w:val="Heading2"/>
        <w:spacing w:after="120" w:before="260"/>
      </w:pPr>
      <w:r>
        <w:rPr>
          <w:rFonts w:ascii="Calibri" w:cs="Calibri" w:eastAsia="Calibri" w:hAnsi="Calibri"/>
          <w:b/>
          <w:bCs/>
          <w:color w:val="3F3F3F"/>
          <w:sz w:val="24"/>
          <w:szCs w:val="24"/>
        </w:rPr>
        <w:t xml:space="preserve">Explain it like I'm 10</w:t>
      </w:r>
    </w:p>
    <w:p>
      <w:pPr>
        <w:spacing w:after="120" w:line="276"/>
      </w:pPr>
      <w:r>
        <w:rPr>
          <w:rFonts w:ascii="Calibri" w:cs="Calibri" w:eastAsia="Calibri" w:hAnsi="Calibri"/>
          <w:b w:val="false"/>
          <w:bCs w:val="false"/>
          <w:i w:val="false"/>
          <w:iCs w:val="false"/>
          <w:color w:val="000000"/>
          <w:sz w:val="21"/>
          <w:szCs w:val="21"/>
        </w:rPr>
        <w:t xml:space="preserve">Imagine you have a friend who has read almost every book, article, manual, and webpage that exists — but instead of memorising exact pages, they learned the patterns of how words and ideas fit together. Now, when you ask this friend a question, they don't look anything up. They generate a brand-new answer, word by word, by predicting “what word usually comes next,” based on everything they've learned.</w:t>
      </w:r>
    </w:p>
    <w:p>
      <w:pPr>
        <w:spacing w:after="120" w:line="276"/>
      </w:pPr>
      <w:r>
        <w:rPr>
          <w:rFonts w:ascii="Calibri" w:cs="Calibri" w:eastAsia="Calibri" w:hAnsi="Calibri"/>
          <w:b w:val="false"/>
          <w:bCs w:val="false"/>
          <w:i w:val="false"/>
          <w:iCs w:val="false"/>
          <w:color w:val="000000"/>
          <w:sz w:val="21"/>
          <w:szCs w:val="21"/>
        </w:rPr>
        <w:t xml:space="preserve">That friend is what we call a Generative AI (GenAI) system. It doesn't retrieve a stored answer like a search engine. It generates fresh text (or images, code, audio) on the spot.</w:t>
      </w:r>
    </w:p>
    <w:p>
      <w:pPr>
        <w:pStyle w:val="Heading2"/>
        <w:spacing w:after="120" w:before="260"/>
      </w:pPr>
      <w:r>
        <w:rPr>
          <w:rFonts w:ascii="Calibri" w:cs="Calibri" w:eastAsia="Calibri" w:hAnsi="Calibri"/>
          <w:b/>
          <w:bCs/>
          <w:color w:val="3F3F3F"/>
          <w:sz w:val="24"/>
          <w:szCs w:val="24"/>
        </w:rPr>
        <w:t xml:space="preserve">Now in NCS / engineering terms</w:t>
      </w:r>
    </w:p>
    <w:p>
      <w:pPr>
        <w:spacing w:after="120" w:line="276"/>
      </w:pPr>
      <w:r>
        <w:rPr>
          <w:rFonts w:ascii="Calibri" w:cs="Calibri" w:eastAsia="Calibri" w:hAnsi="Calibri"/>
          <w:b w:val="false"/>
          <w:bCs w:val="false"/>
          <w:i w:val="false"/>
          <w:iCs w:val="false"/>
          <w:color w:val="000000"/>
          <w:sz w:val="21"/>
          <w:szCs w:val="21"/>
        </w:rPr>
        <w:t xml:space="preserve">Generative AI is a class of AI models that produce new content — text, code, images — by predicting the most likely continuation of an input, based on patterns learned from massive training datasets. The specific engine behind most GenAI text tools is a Large Language Model (LLM).</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Why this matters at NCS</w:t>
            </w:r>
          </w:p>
          <w:p>
            <w:r>
              <w:rPr>
                <w:rFonts w:ascii="Calibri" w:cs="Calibri" w:eastAsia="Calibri" w:hAnsi="Calibri"/>
                <w:color w:val="000000"/>
                <w:sz w:val="20"/>
                <w:szCs w:val="20"/>
              </w:rPr>
              <w:t xml:space="preserve">Every one of the 10 telco use cases in this programme — RCA generation, customer care agents, SLA summarisation, compliance monitoring — is built on top of an LLM generating grounded, cited text. If you understand this one idea, the rest of the programme is just “how do we control and direct this generation reliably.”</w:t>
            </w:r>
          </w:p>
        </w:tc>
      </w:tr>
    </w:tbl>
    <w:p>
      <w:pPr>
        <w:spacing w:after="160"/>
      </w:pPr>
    </w:p>
    <w:p>
      <w:pPr>
        <w:pStyle w:val="Heading1"/>
        <w:pBdr>
          <w:bottom w:val="single" w:color="808080" w:sz="6" w:space="4"/>
        </w:pBdr>
        <w:spacing w:after="160" w:before="320"/>
      </w:pPr>
      <w:r>
        <w:rPr>
          <w:rFonts w:ascii="Calibri" w:cs="Calibri" w:eastAsia="Calibri" w:hAnsi="Calibri"/>
          <w:b/>
          <w:bCs/>
          <w:color w:val="3F3F3F"/>
          <w:sz w:val="30"/>
          <w:szCs w:val="30"/>
        </w:rPr>
        <w:t xml:space="preserve">C. Key Terms Glossary</w:t>
      </w:r>
    </w:p>
    <w:p>
      <w:pPr>
        <w:spacing w:after="120" w:line="276"/>
      </w:pPr>
      <w:r>
        <w:rPr>
          <w:rFonts w:ascii="Calibri" w:cs="Calibri" w:eastAsia="Calibri" w:hAnsi="Calibri"/>
          <w:b w:val="false"/>
          <w:bCs w:val="false"/>
          <w:i w:val="false"/>
          <w:iCs w:val="false"/>
          <w:color w:val="000000"/>
          <w:sz w:val="21"/>
          <w:szCs w:val="21"/>
        </w:rPr>
        <w:t xml:space="preserve">Read each term's simple explanation first, then the NCS-relevance note. You will hear all of these terms repeatedly over the next 50 hours.</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100"/>
        <w:gridCol w:w="4200"/>
        <w:gridCol w:w="3050"/>
      </w:tblGrid>
      <w:tr>
        <w:trPr>
          <w:tblHeader/>
        </w:trPr>
        <w:tc>
          <w:tcPr>
            <w:tcW w:type="dxa" w:w="21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Term</w:t>
            </w:r>
          </w:p>
        </w:tc>
        <w:tc>
          <w:tcPr>
            <w:tcW w:type="dxa" w:w="4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Explain it like I'm 10</w:t>
            </w:r>
          </w:p>
        </w:tc>
        <w:tc>
          <w:tcPr>
            <w:tcW w:type="dxa" w:w="30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Why it matters at NCS</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Artificial Intelligence (AI)</w:t>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computer program that can do things which normally need human thinking — like recognising a face or answering a question.</w:t>
            </w:r>
          </w:p>
        </w:tc>
        <w:tc>
          <w:tcPr>
            <w:tcW w:type="dxa" w:w="30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umbrella term. Everything else in this glossary sits under it.</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Machine Learning (ML)</w:t>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Instead of a programmer writing exact rules, the computer looks at lots of examples and figures out the rules itself.</w:t>
            </w:r>
          </w:p>
        </w:tc>
        <w:tc>
          <w:tcPr>
            <w:tcW w:type="dxa" w:w="30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Older NCS analytics (churn scoring, fraud detection) are ML. GenAI is a newer, different branch.</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Generative AI (GenAI)</w:t>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AI that creates brand-new content — text, images, code — instead of just sorting or predicting a number.</w:t>
            </w:r>
          </w:p>
        </w:tc>
        <w:tc>
          <w:tcPr>
            <w:tcW w:type="dxa" w:w="30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Powers every use case in this programme: RCA reports, customer replies, SLA memos.</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Large Language Model (LLM)</w:t>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The engine inside GenAI chat tools. It has read enormous amounts of text and learned how language and ideas fit together.</w:t>
            </w:r>
          </w:p>
        </w:tc>
        <w:tc>
          <w:tcPr>
            <w:tcW w:type="dxa" w:w="30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GPT-4o, Claude, and Gemini are all LLMs. You will call these directly via API from Module 3 onward.</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Prompt</w:t>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instruction or question you type to the AI. Like giving directions to a very literal assistant.</w:t>
            </w:r>
          </w:p>
        </w:tc>
        <w:tc>
          <w:tcPr>
            <w:tcW w:type="dxa" w:w="30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Prompt quality is the single biggest driver of output quality — covered in full in Module 2.</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Token</w:t>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small chunk of text (roughly ¾ of a word) that the model reads and generates one piece at a time.</w:t>
            </w:r>
          </w:p>
        </w:tc>
        <w:tc>
          <w:tcPr>
            <w:tcW w:type="dxa" w:w="30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Telco documents (5G manuals, SLAs) are billed and limited by token count — this affects both cost and what fits in one request.</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Model</w:t>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trained “brain” itself — a specific version, like GPT-4o or Claude Sonnet, with its own strengths and limits.</w:t>
            </w:r>
          </w:p>
        </w:tc>
        <w:tc>
          <w:tcPr>
            <w:tcW w:type="dxa" w:w="30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Different NCS use cases may deliberately use different models based on cost, accuracy, or data-residency needs.</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Training data</w:t>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The huge collection of text (books, sites, code) the model studied before it was ever released to users.</w:t>
            </w:r>
          </w:p>
        </w:tc>
        <w:tc>
          <w:tcPr>
            <w:tcW w:type="dxa" w:w="30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This is exactly what enterprise agreements promise NOT to include — covered in Section F.</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Chatbot vs Copilot vs Agent</w:t>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Chatbot: answers questions. Copilot: works alongside you on a task. Agent: can take multi-step actions on its own using tools.</w:t>
            </w:r>
          </w:p>
        </w:tc>
        <w:tc>
          <w:tcPr>
            <w:tcW w:type="dxa" w:w="30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10 use cases progress from chatbot-style Q&amp;A (Use Case 3) to full agents (Use Case 1, 5, 10) across the programme.</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Hallucination</w:t>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When the AI confidently generates something that sounds right but is factually wrong — because it's predicting plausible text, not looking up truth.</w:t>
            </w:r>
          </w:p>
        </w:tc>
        <w:tc>
          <w:tcPr>
            <w:tcW w:type="dxa" w:w="30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This is precisely why every NCS use case in this programme requires citations, grounding, and refusal patterns (Module 5–7).</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D. Meet the Tools — The GenAI Landscape</w:t>
      </w:r>
    </w:p>
    <w:p>
      <w:pPr>
        <w:spacing w:after="120" w:line="276"/>
      </w:pPr>
      <w:r>
        <w:rPr>
          <w:rFonts w:ascii="Calibri" w:cs="Calibri" w:eastAsia="Calibri" w:hAnsi="Calibri"/>
          <w:b w:val="false"/>
          <w:bCs w:val="false"/>
          <w:i w:val="false"/>
          <w:iCs w:val="false"/>
          <w:color w:val="000000"/>
          <w:sz w:val="21"/>
          <w:szCs w:val="21"/>
        </w:rPr>
        <w:t xml:space="preserve">There are several GenAI chat tools you will have heard of. They are built by different companies, on different underlying models, and behave slightly differently. None is “the best” in every situation — part of engineering judgement is knowing which tool fits which job.</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1500"/>
        <w:gridCol w:w="3600"/>
        <w:gridCol w:w="2750"/>
      </w:tblGrid>
      <w:tr>
        <w:trPr>
          <w:tblHeader/>
        </w:trPr>
        <w:tc>
          <w:tcPr>
            <w:tcW w:type="dxa" w:w="15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Tool</w:t>
            </w:r>
          </w:p>
        </w:tc>
        <w:tc>
          <w:tcPr>
            <w:tcW w:type="dxa" w:w="15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Made by</w:t>
            </w:r>
          </w:p>
        </w:tc>
        <w:tc>
          <w:tcPr>
            <w:tcW w:type="dxa" w:w="36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makes it different</w:t>
            </w:r>
          </w:p>
        </w:tc>
        <w:tc>
          <w:tcPr>
            <w:tcW w:type="dxa" w:w="27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Where an NCS team might reach for it</w:t>
            </w:r>
          </w:p>
        </w:tc>
      </w:tr>
      <w:tr>
        <w:tc>
          <w:tcPr>
            <w:tcW w:type="dxa" w:w="1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ChatGPT</w:t>
            </w:r>
          </w:p>
        </w:tc>
        <w:tc>
          <w:tcPr>
            <w:tcW w:type="dxa" w:w="1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OpenAI</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most widely adopted GenAI assistant; strong general reasoning and coding; broad plugin / tool ecosystem.</w:t>
            </w:r>
          </w:p>
        </w:tc>
        <w:tc>
          <w:tcPr>
            <w:tcW w:type="dxa" w:w="2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Quick drafting, code assistance, general research during delivery work.</w:t>
            </w:r>
          </w:p>
        </w:tc>
      </w:tr>
      <w:tr>
        <w:tc>
          <w:tcPr>
            <w:tcW w:type="dxa" w:w="1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Gemini</w:t>
            </w:r>
          </w:p>
        </w:tc>
        <w:tc>
          <w:tcPr>
            <w:tcW w:type="dxa" w:w="1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Google</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Deep integration with Google Workspace (Docs, Sheets, Gmail); strong multimodal (image, video) understanding.</w:t>
            </w:r>
          </w:p>
        </w:tc>
        <w:tc>
          <w:tcPr>
            <w:tcW w:type="dxa" w:w="27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Where a client is already on Google Workspace, or the task involves images/video alongside text.</w:t>
            </w:r>
          </w:p>
        </w:tc>
      </w:tr>
      <w:tr>
        <w:tc>
          <w:tcPr>
            <w:tcW w:type="dxa" w:w="1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Claude</w:t>
            </w:r>
          </w:p>
        </w:tc>
        <w:tc>
          <w:tcPr>
            <w:tcW w:type="dxa" w:w="1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Anthropic</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Known for careful, well-reasoned long-form writing and large context windows; strong on following detailed instructions safely.</w:t>
            </w:r>
          </w:p>
        </w:tc>
        <w:tc>
          <w:tcPr>
            <w:tcW w:type="dxa" w:w="27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Long document analysis (SLAs, regulatory filings), and tasks needing careful, citation-aware output — exactly what this programme's use cases need.</w:t>
            </w:r>
          </w:p>
        </w:tc>
      </w:tr>
      <w:tr>
        <w:tc>
          <w:tcPr>
            <w:tcW w:type="dxa" w:w="1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Perplexity</w:t>
            </w:r>
          </w:p>
        </w:tc>
        <w:tc>
          <w:tcPr>
            <w:tcW w:type="dxa" w:w="1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Perplexity AI</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Built primarily as an “answer engine” — every answer comes with live web citations by default.</w:t>
            </w:r>
          </w:p>
        </w:tc>
        <w:tc>
          <w:tcPr>
            <w:tcW w:type="dxa" w:w="27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Quick, cited fact-checking and current-events research where citation-by-default matters.</w:t>
            </w:r>
          </w:p>
        </w:tc>
      </w:tr>
    </w:tbl>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A note on the name</w:t>
            </w:r>
          </w:p>
          <w:p>
            <w:r>
              <w:rPr>
                <w:rFonts w:ascii="Calibri" w:cs="Calibri" w:eastAsia="Calibri" w:hAnsi="Calibri"/>
                <w:color w:val="000000"/>
                <w:sz w:val="20"/>
                <w:szCs w:val="20"/>
              </w:rPr>
              <w:t xml:space="preserve">If your source material said a tool called “Babesity,” that isn't a recognised GenAI product — this is most likely a mishearing of Perplexity, which we've used above. Flag this with your facilitator if you meant a different tool.</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E. Free vs Pro vs Enterprise — Same Tool, Different Rules</w:t>
      </w:r>
    </w:p>
    <w:p>
      <w:pPr>
        <w:pStyle w:val="Heading2"/>
        <w:spacing w:after="120" w:before="260"/>
      </w:pPr>
      <w:r>
        <w:rPr>
          <w:rFonts w:ascii="Calibri" w:cs="Calibri" w:eastAsia="Calibri" w:hAnsi="Calibri"/>
          <w:b/>
          <w:bCs/>
          <w:color w:val="3F3F3F"/>
          <w:sz w:val="24"/>
          <w:szCs w:val="24"/>
        </w:rPr>
        <w:t xml:space="preserve">Explain it like I'm 10</w:t>
      </w:r>
    </w:p>
    <w:p>
      <w:pPr>
        <w:spacing w:after="120" w:line="276"/>
      </w:pPr>
      <w:r>
        <w:rPr>
          <w:rFonts w:ascii="Calibri" w:cs="Calibri" w:eastAsia="Calibri" w:hAnsi="Calibri"/>
          <w:b w:val="false"/>
          <w:bCs w:val="false"/>
          <w:i w:val="false"/>
          <w:iCs w:val="false"/>
          <w:color w:val="000000"/>
          <w:sz w:val="21"/>
          <w:szCs w:val="21"/>
        </w:rPr>
        <w:t xml:space="preserve">Think of a public library. Anyone can walk in and read a book for free — but you can't take confidential company files in there and leave them lying on a public table. A Pro subscription is like buying your own copy of the book — more convenient, still yours, but still just for you. An Enterprise account is like a private research library your company built, with guards at the door, a sign-in log for every visitor, and a guarantee that nothing you bring in gets copied into anyone else's book.</w:t>
      </w:r>
    </w:p>
    <w:p>
      <w:pPr>
        <w:pStyle w:val="Heading2"/>
        <w:spacing w:after="120" w:before="260"/>
      </w:pPr>
      <w:r>
        <w:rPr>
          <w:rFonts w:ascii="Calibri" w:cs="Calibri" w:eastAsia="Calibri" w:hAnsi="Calibri"/>
          <w:b/>
          <w:bCs/>
          <w:color w:val="3F3F3F"/>
          <w:sz w:val="24"/>
          <w:szCs w:val="24"/>
        </w:rPr>
        <w:t xml:space="preserve">In practical terms</w:t>
      </w:r>
    </w:p>
    <w:p>
      <w:pPr>
        <w:spacing w:after="120" w:line="276"/>
      </w:pPr>
      <w:r>
        <w:rPr>
          <w:rFonts w:ascii="Calibri" w:cs="Calibri" w:eastAsia="Calibri" w:hAnsi="Calibri"/>
          <w:b w:val="false"/>
          <w:bCs w:val="false"/>
          <w:i w:val="false"/>
          <w:iCs w:val="false"/>
          <w:color w:val="000000"/>
          <w:sz w:val="21"/>
          <w:szCs w:val="21"/>
        </w:rPr>
        <w:t xml:space="preserve">The same underlying model (say, GPT-4o) can sit behind three very different accounts — and the account type, not the model, is what decides what happens to your data.</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2300"/>
        <w:gridCol w:w="2350"/>
        <w:gridCol w:w="2300"/>
      </w:tblGrid>
      <w:tr>
        <w:trPr>
          <w:tblHeader/>
        </w:trPr>
        <w:tc>
          <w:tcPr>
            <w:tcW w:type="dxa" w:w="24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Aspect</w:t>
            </w:r>
          </w:p>
        </w:tc>
        <w:tc>
          <w:tcPr>
            <w:tcW w:type="dxa" w:w="23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Free (personal ID)</w:t>
            </w:r>
          </w:p>
        </w:tc>
        <w:tc>
          <w:tcPr>
            <w:tcW w:type="dxa" w:w="23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Pro / Plus (personal, paid)</w:t>
            </w:r>
          </w:p>
        </w:tc>
        <w:tc>
          <w:tcPr>
            <w:tcW w:type="dxa" w:w="23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Enterprise (NCS domain ID)</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Who pays / owns the account</w:t>
            </w:r>
          </w:p>
        </w:tc>
        <w:tc>
          <w:tcPr>
            <w:tcW w:type="dxa" w:w="2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Individual, no cost</w:t>
            </w:r>
          </w:p>
        </w:tc>
        <w:tc>
          <w:tcPr>
            <w:tcW w:type="dxa" w:w="2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Individual, monthly fee</w:t>
            </w:r>
          </w:p>
        </w:tc>
        <w:tc>
          <w:tcPr>
            <w:tcW w:type="dxa" w:w="2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NCS, centrally managed and licensed</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Used to train the public model?</w:t>
            </w:r>
          </w:p>
        </w:tc>
        <w:tc>
          <w:tcPr>
            <w:tcW w:type="dxa" w:w="2300"/>
            <w:shd w:fill="F3F3F3"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Often yes, unless manually opted out</w:t>
            </w:r>
          </w:p>
        </w:tc>
        <w:tc>
          <w:tcPr>
            <w:tcW w:type="dxa" w:w="2350"/>
            <w:shd w:fill="F3F3F3"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Usually opt-out available, but off by default in some tools</w:t>
            </w:r>
          </w:p>
        </w:tc>
        <w:tc>
          <w:tcPr>
            <w:tcW w:type="dxa" w:w="2300"/>
            <w:shd w:fill="F3F3F3" w:val="clear"/>
            <w:tcMar>
              <w:top w:type="dxa" w:w="90"/>
              <w:left w:type="dxa" w:w="120"/>
              <w:bottom w:type="dxa" w:w="90"/>
              <w:right w:type="dxa" w:w="120"/>
            </w:tcMar>
            <w:vAlign w:val="top"/>
          </w:tcPr>
          <w:p>
            <w:pPr>
              <w:spacing w:after="40"/>
            </w:pPr>
            <w:r>
              <w:rPr>
                <w:rFonts w:ascii="Calibri" w:cs="Calibri" w:eastAsia="Calibri" w:hAnsi="Calibri"/>
                <w:color w:val="000000"/>
                <w:sz w:val="19"/>
                <w:szCs w:val="19"/>
              </w:rPr>
              <w:t xml:space="preserve">No — contractually excluded by default (Data Processing Agreement)</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Data retention</w:t>
            </w:r>
          </w:p>
        </w:tc>
        <w:tc>
          <w:tcPr>
            <w:tcW w:type="dxa" w:w="2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Retained per standard consumer policy</w:t>
            </w:r>
          </w:p>
        </w:tc>
        <w:tc>
          <w:tcPr>
            <w:tcW w:type="dxa" w:w="2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Retained, some user controls</w:t>
            </w:r>
          </w:p>
        </w:tc>
        <w:tc>
          <w:tcPr>
            <w:tcW w:type="dxa" w:w="2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Configurable; can be set to zero / short retention</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Admin visibility &amp; audit logs</w:t>
            </w:r>
          </w:p>
        </w:tc>
        <w:tc>
          <w:tcPr>
            <w:tcW w:type="dxa" w:w="2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None — fully private to the individual</w:t>
            </w:r>
          </w:p>
        </w:tc>
        <w:tc>
          <w:tcPr>
            <w:tcW w:type="dxa" w:w="23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None</w:t>
            </w:r>
          </w:p>
        </w:tc>
        <w:tc>
          <w:tcPr>
            <w:tcW w:type="dxa" w:w="2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Full — org admins can see usage, enforce policy, audit access</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Single Sign-On (SSO) / access control</w:t>
            </w:r>
          </w:p>
        </w:tc>
        <w:tc>
          <w:tcPr>
            <w:tcW w:type="dxa" w:w="2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Not available</w:t>
            </w:r>
          </w:p>
        </w:tc>
        <w:tc>
          <w:tcPr>
            <w:tcW w:type="dxa" w:w="2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Not available</w:t>
            </w:r>
          </w:p>
        </w:tc>
        <w:tc>
          <w:tcPr>
            <w:tcW w:type="dxa" w:w="2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Tied to NCS domain identity and access policy</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Appropriate for client-confidential data?</w:t>
            </w:r>
          </w:p>
        </w:tc>
        <w:tc>
          <w:tcPr>
            <w:tcW w:type="dxa" w:w="2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No</w:t>
            </w:r>
          </w:p>
        </w:tc>
        <w:tc>
          <w:tcPr>
            <w:tcW w:type="dxa" w:w="23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No</w:t>
            </w:r>
          </w:p>
        </w:tc>
        <w:tc>
          <w:tcPr>
            <w:tcW w:type="dxa" w:w="2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Yes — within the terms of the specific client's DPA</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F. Deep Dive — Security &amp; Confidential Client Data</w:t>
      </w:r>
    </w:p>
    <w:p>
      <w:pPr>
        <w:spacing w:after="120" w:line="276"/>
      </w:pPr>
      <w:r>
        <w:rPr>
          <w:rFonts w:ascii="Calibri" w:cs="Calibri" w:eastAsia="Calibri" w:hAnsi="Calibri"/>
          <w:b w:val="false"/>
          <w:bCs w:val="false"/>
          <w:i w:val="false"/>
          <w:iCs w:val="false"/>
          <w:color w:val="000000"/>
          <w:sz w:val="21"/>
          <w:szCs w:val="21"/>
        </w:rPr>
        <w:t xml:space="preserve">This is the single most important section on this sheet. NCS works with telco clients on network data, customer records, and regulatory filings — all of which can be confidential or contain personal data (PII). The account tier you use for any GenAI tool directly determines whether that data is safe.</w:t>
      </w:r>
    </w:p>
    <w:p>
      <w:pPr>
        <w:pStyle w:val="Heading2"/>
        <w:spacing w:after="120" w:before="260"/>
      </w:pPr>
      <w:r>
        <w:rPr>
          <w:rFonts w:ascii="Calibri" w:cs="Calibri" w:eastAsia="Calibri" w:hAnsi="Calibri"/>
          <w:b/>
          <w:bCs/>
          <w:color w:val="3F3F3F"/>
          <w:sz w:val="24"/>
          <w:szCs w:val="24"/>
        </w:rPr>
        <w:t xml:space="preserve">How enterprise plans actually prevent training on your data</w:t>
      </w:r>
    </w:p>
    <w:p>
      <w:pPr>
        <w:pStyle w:val="ListParagraph"/>
        <w:numPr>
          <w:ilvl w:val="0"/>
          <w:numId w:val="2"/>
        </w:numPr>
        <w:spacing w:after="60"/>
      </w:pPr>
      <w:r>
        <w:rPr>
          <w:rFonts w:ascii="Calibri" w:cs="Calibri" w:eastAsia="Calibri" w:hAnsi="Calibri"/>
          <w:color w:val="000000"/>
          <w:sz w:val="21"/>
          <w:szCs w:val="21"/>
        </w:rPr>
        <w:t xml:space="preserve">Opt-out by default: Enterprise agreements contractually exclude submitted prompts and files from being used to train or improve the public model — this is the default state, not an optional setting a user has to remember to enable.</w:t>
      </w:r>
    </w:p>
    <w:p>
      <w:pPr>
        <w:pStyle w:val="ListParagraph"/>
        <w:numPr>
          <w:ilvl w:val="0"/>
          <w:numId w:val="2"/>
        </w:numPr>
        <w:spacing w:after="60"/>
      </w:pPr>
      <w:r>
        <w:rPr>
          <w:rFonts w:ascii="Calibri" w:cs="Calibri" w:eastAsia="Calibri" w:hAnsi="Calibri"/>
          <w:color w:val="000000"/>
          <w:sz w:val="21"/>
          <w:szCs w:val="21"/>
        </w:rPr>
        <w:t xml:space="preserve">Zero Data Retention (ZDR): For sensitive workloads, enterprise API agreements can be configured so inputs and outputs are not stored at all beyond the time needed to generate the response.</w:t>
      </w:r>
    </w:p>
    <w:p>
      <w:pPr>
        <w:pStyle w:val="ListParagraph"/>
        <w:numPr>
          <w:ilvl w:val="0"/>
          <w:numId w:val="2"/>
        </w:numPr>
        <w:spacing w:after="60"/>
      </w:pPr>
      <w:r>
        <w:rPr>
          <w:rFonts w:ascii="Calibri" w:cs="Calibri" w:eastAsia="Calibri" w:hAnsi="Calibri"/>
          <w:color w:val="000000"/>
          <w:sz w:val="21"/>
          <w:szCs w:val="21"/>
        </w:rPr>
        <w:t xml:space="preserve">Data Processing Agreement (DPA): A signed legal contract between NCS (or the client) and the AI vendor, defining exactly how data may and may not be used, stored, or shared.</w:t>
      </w:r>
    </w:p>
    <w:p>
      <w:pPr>
        <w:pStyle w:val="ListParagraph"/>
        <w:numPr>
          <w:ilvl w:val="0"/>
          <w:numId w:val="2"/>
        </w:numPr>
        <w:spacing w:after="60"/>
      </w:pPr>
      <w:r>
        <w:rPr>
          <w:rFonts w:ascii="Calibri" w:cs="Calibri" w:eastAsia="Calibri" w:hAnsi="Calibri"/>
          <w:color w:val="000000"/>
          <w:sz w:val="21"/>
          <w:szCs w:val="21"/>
        </w:rPr>
        <w:t xml:space="preserve">Independent certifications: Look for SOC 2 Type II and ISO 27001 — these mean an independent auditor has verified the vendor's security controls.</w:t>
      </w:r>
    </w:p>
    <w:p>
      <w:pPr>
        <w:pStyle w:val="ListParagraph"/>
        <w:numPr>
          <w:ilvl w:val="0"/>
          <w:numId w:val="2"/>
        </w:numPr>
        <w:spacing w:after="60"/>
      </w:pPr>
      <w:r>
        <w:rPr>
          <w:rFonts w:ascii="Calibri" w:cs="Calibri" w:eastAsia="Calibri" w:hAnsi="Calibri"/>
          <w:color w:val="000000"/>
          <w:sz w:val="21"/>
          <w:szCs w:val="21"/>
        </w:rPr>
        <w:t xml:space="preserve">Data residency controls: Enterprise plans can guarantee data stays within a specific geographic region — relevant for TRAI (India) and other regulatory frameworks covered in Module 7.</w:t>
      </w:r>
    </w:p>
    <w:p>
      <w:pPr>
        <w:pStyle w:val="ListParagraph"/>
        <w:numPr>
          <w:ilvl w:val="0"/>
          <w:numId w:val="2"/>
        </w:numPr>
        <w:spacing w:after="60"/>
      </w:pPr>
      <w:r>
        <w:rPr>
          <w:rFonts w:ascii="Calibri" w:cs="Calibri" w:eastAsia="Calibri" w:hAnsi="Calibri"/>
          <w:color w:val="000000"/>
          <w:sz w:val="21"/>
          <w:szCs w:val="21"/>
        </w:rPr>
        <w:t xml:space="preserve">Admin-level audit logs: Every prompt and response can be logged and reviewed by an NCS admin — this is what makes Use Case 7 (Regulatory Compliance Monitoring) possible in the first place.</w:t>
      </w:r>
    </w:p>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Red flag checklist — before you paste anything into a GenAI tool, ask:</w:t>
            </w:r>
          </w:p>
          <w:p>
            <w:r>
              <w:rPr>
                <w:rFonts w:ascii="Calibri" w:cs="Calibri" w:eastAsia="Calibri" w:hAnsi="Calibri"/>
                <w:color w:val="000000"/>
                <w:sz w:val="20"/>
                <w:szCs w:val="20"/>
              </w:rPr>
              <w:t xml:space="preserve">1) Am I signed in with my NCS domain ID, not a personal email?  2) Does this content include client names, customer PII, network topology, or unreleased financials?  3) If yes to (2), is this tool's enterprise / ZDR agreement confirmed for this client's engagement?  4) When in doubt, ask your engagement lead before pasting — not after.</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G. Hands-On Activity (15 minutes)</w:t>
      </w:r>
    </w:p>
    <w:p>
      <w:pPr>
        <w:spacing w:after="120" w:line="276"/>
      </w:pPr>
      <w:r>
        <w:rPr>
          <w:rFonts w:ascii="Calibri" w:cs="Calibri" w:eastAsia="Calibri" w:hAnsi="Calibri"/>
          <w:b w:val="false"/>
          <w:bCs w:val="false"/>
          <w:i w:val="false"/>
          <w:iCs w:val="false"/>
          <w:color w:val="000000"/>
          <w:sz w:val="21"/>
          <w:szCs w:val="21"/>
        </w:rPr>
        <w:t xml:space="preserve">Individually, open the GenAI tool you use most often on your own device. Without entering any confidential information, explore the account settings / privacy page and fill in what you find below. If you do not have access to an enterprise account, complete the Free / Pro columns only and discuss the Enterprise column as a class.</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3500"/>
        <w:gridCol w:w="4200"/>
        <w:gridCol w:w="1650"/>
      </w:tblGrid>
      <w:tr>
        <w:trPr>
          <w:tblHeader/>
        </w:trPr>
        <w:tc>
          <w:tcPr>
            <w:tcW w:type="dxa" w:w="35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Setting I checked</w:t>
            </w:r>
          </w:p>
        </w:tc>
        <w:tc>
          <w:tcPr>
            <w:tcW w:type="dxa" w:w="4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 found</w:t>
            </w:r>
          </w:p>
        </w:tc>
        <w:tc>
          <w:tcPr>
            <w:tcW w:type="dxa" w:w="16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Free / Pro / Enterprise?</w:t>
            </w:r>
          </w:p>
        </w:tc>
      </w:tr>
      <w:tr>
        <w:tc>
          <w:tcPr>
            <w:tcW w:type="dxa" w:w="3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1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1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1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1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1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3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1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H. Reflection Questions (5 minutes)</w:t>
      </w:r>
    </w:p>
    <w:p>
      <w:pPr>
        <w:pStyle w:val="ListParagraph"/>
        <w:numPr>
          <w:ilvl w:val="0"/>
          <w:numId w:val="2"/>
        </w:numPr>
        <w:spacing w:after="60"/>
      </w:pPr>
      <w:r>
        <w:rPr>
          <w:rFonts w:ascii="Calibri" w:cs="Calibri" w:eastAsia="Calibri" w:hAnsi="Calibri"/>
          <w:color w:val="000000"/>
          <w:sz w:val="21"/>
          <w:szCs w:val="21"/>
        </w:rPr>
        <w:t xml:space="preserve">1. In your own words, explain the difference between an LLM and Generative AI to a colleague who has never heard either term.</w:t>
      </w:r>
    </w:p>
    <w:p>
      <w:pPr>
        <w:pStyle w:val="ListParagraph"/>
        <w:numPr>
          <w:ilvl w:val="0"/>
          <w:numId w:val="2"/>
        </w:numPr>
        <w:spacing w:after="60"/>
      </w:pPr>
      <w:r>
        <w:rPr>
          <w:rFonts w:ascii="Calibri" w:cs="Calibri" w:eastAsia="Calibri" w:hAnsi="Calibri"/>
          <w:color w:val="000000"/>
          <w:sz w:val="21"/>
          <w:szCs w:val="21"/>
        </w:rPr>
        <w:t xml:space="preserve">2. Give one NCS Telco+ use case (from the ones you've heard of, or guess one) where using a free personal GenAI account would be a genuine risk.</w:t>
      </w:r>
    </w:p>
    <w:p>
      <w:pPr>
        <w:pStyle w:val="ListParagraph"/>
        <w:numPr>
          <w:ilvl w:val="0"/>
          <w:numId w:val="2"/>
        </w:numPr>
        <w:spacing w:after="60"/>
      </w:pPr>
      <w:r>
        <w:rPr>
          <w:rFonts w:ascii="Calibri" w:cs="Calibri" w:eastAsia="Calibri" w:hAnsi="Calibri"/>
          <w:color w:val="000000"/>
          <w:sz w:val="21"/>
          <w:szCs w:val="21"/>
        </w:rPr>
        <w:t xml:space="preserve">3. Name two things an Enterprise agreement guarantees that a Pro subscription does not.</w:t>
      </w:r>
    </w:p>
    <w:p>
      <w:pPr>
        <w:pStyle w:val="ListParagraph"/>
        <w:numPr>
          <w:ilvl w:val="0"/>
          <w:numId w:val="2"/>
        </w:numPr>
        <w:spacing w:after="60"/>
      </w:pPr>
      <w:r>
        <w:rPr>
          <w:rFonts w:ascii="Calibri" w:cs="Calibri" w:eastAsia="Calibri" w:hAnsi="Calibri"/>
          <w:color w:val="000000"/>
          <w:sz w:val="21"/>
          <w:szCs w:val="21"/>
        </w:rPr>
        <w:t xml:space="preserve">4. Which GenAI tool from Section D would you reach for if you needed to analyse a 150-page SLA document with strict citation requirements, and why?</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I. Quick Recap</w:t>
      </w:r>
    </w:p>
    <w:p>
      <w:pPr>
        <w:pStyle w:val="ListParagraph"/>
        <w:numPr>
          <w:ilvl w:val="0"/>
          <w:numId w:val="2"/>
        </w:numPr>
        <w:spacing w:after="60"/>
      </w:pPr>
      <w:r>
        <w:rPr>
          <w:rFonts w:ascii="Calibri" w:cs="Calibri" w:eastAsia="Calibri" w:hAnsi="Calibri"/>
          <w:color w:val="000000"/>
          <w:sz w:val="21"/>
          <w:szCs w:val="21"/>
        </w:rPr>
        <w:t xml:space="preserve">GenAI generates new content by predicting patterns; an LLM is the engine that does this for text.</w:t>
      </w:r>
    </w:p>
    <w:p>
      <w:pPr>
        <w:pStyle w:val="ListParagraph"/>
        <w:numPr>
          <w:ilvl w:val="0"/>
          <w:numId w:val="2"/>
        </w:numPr>
        <w:spacing w:after="60"/>
      </w:pPr>
      <w:r>
        <w:rPr>
          <w:rFonts w:ascii="Calibri" w:cs="Calibri" w:eastAsia="Calibri" w:hAnsi="Calibri"/>
          <w:color w:val="000000"/>
          <w:sz w:val="21"/>
          <w:szCs w:val="21"/>
        </w:rPr>
        <w:t xml:space="preserve">ChatGPT, Gemini, Claude, and Perplexity are all built on different LLMs with different strengths — tool choice is a deliberate engineering decision.</w:t>
      </w:r>
    </w:p>
    <w:p>
      <w:pPr>
        <w:pStyle w:val="ListParagraph"/>
        <w:numPr>
          <w:ilvl w:val="0"/>
          <w:numId w:val="2"/>
        </w:numPr>
        <w:spacing w:after="60"/>
      </w:pPr>
      <w:r>
        <w:rPr>
          <w:rFonts w:ascii="Calibri" w:cs="Calibri" w:eastAsia="Calibri" w:hAnsi="Calibri"/>
          <w:color w:val="000000"/>
          <w:sz w:val="21"/>
          <w:szCs w:val="21"/>
        </w:rPr>
        <w:t xml:space="preserve">Free, Pro, and Enterprise are not just price tiers — they are different data-handling contracts. Only Enterprise is safe for client-confidential work.</w:t>
      </w:r>
    </w:p>
    <w:p>
      <w:pPr>
        <w:pStyle w:val="ListParagraph"/>
        <w:numPr>
          <w:ilvl w:val="0"/>
          <w:numId w:val="2"/>
        </w:numPr>
        <w:spacing w:after="60"/>
      </w:pPr>
      <w:r>
        <w:rPr>
          <w:rFonts w:ascii="Calibri" w:cs="Calibri" w:eastAsia="Calibri" w:hAnsi="Calibri"/>
          <w:color w:val="000000"/>
          <w:sz w:val="21"/>
          <w:szCs w:val="21"/>
        </w:rPr>
        <w:t xml:space="preserve">Every use case in this 50-hour programme assumes enterprise-grade data handling — this is the foundation everything else is built 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For NCS Telco+ Cohort Use Only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95959"/>
        <w:sz w:val="16"/>
        <w:szCs w:val="16"/>
      </w:rPr>
      <w:t xml:space="preserve">NCS Telco+  |  Working with LLMs &amp; Agentic AI  |  NIIT StackRoute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2026-08-05T16:43:01.073Z</dcterms:created>
  <dcterms:modified xsi:type="dcterms:W3CDTF">2026-08-05T16:43:01.123Z</dcterms:modified>
</cp:coreProperties>
</file>

<file path=docProps/custom.xml><?xml version="1.0" encoding="utf-8"?>
<Properties xmlns="http://schemas.openxmlformats.org/officeDocument/2006/custom-properties" xmlns:vt="http://schemas.openxmlformats.org/officeDocument/2006/docPropsVTypes"/>
</file>