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PRACTICE SHEET 2 OF 4  —  DAY 1</w:t>
      </w:r>
    </w:p>
    <w:p>
      <w:pPr>
        <w:spacing w:after="40"/>
        <w:jc w:val="center"/>
      </w:pPr>
      <w:r>
        <w:rPr>
          <w:rFonts w:ascii="Calibri" w:cs="Calibri" w:eastAsia="Calibri" w:hAnsi="Calibri"/>
          <w:b/>
          <w:bCs/>
          <w:color w:val="000000"/>
          <w:sz w:val="38"/>
          <w:szCs w:val="38"/>
        </w:rPr>
        <w:t xml:space="preserve">How Models Get Built, Stay Current &amp; Stay Safe</w:t>
      </w:r>
    </w:p>
    <w:p>
      <w:pPr>
        <w:spacing w:after="200"/>
        <w:jc w:val="center"/>
      </w:pPr>
      <w:r>
        <w:rPr>
          <w:rFonts w:ascii="Calibri" w:cs="Calibri" w:eastAsia="Calibri" w:hAnsi="Calibri"/>
          <w:i/>
          <w:iCs/>
          <w:color w:val="595959"/>
          <w:sz w:val="20"/>
          <w:szCs w:val="20"/>
        </w:rPr>
        <w:t xml:space="preserve">Module 1: GenAI &amp; LLM Foundations  |  Hour 2 of the Day  |  Duration: ~50 minutes</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Where this fits</w:t>
            </w:r>
          </w:p>
          <w:p>
            <w:r>
              <w:rPr>
                <w:rFonts w:ascii="Calibri" w:cs="Calibri" w:eastAsia="Calibri" w:hAnsi="Calibri"/>
                <w:color w:val="000000"/>
                <w:sz w:val="20"/>
                <w:szCs w:val="20"/>
              </w:rPr>
              <w:t xml:space="preserve">Sheet 1 gave you the vocabulary and the tool landscape. This sheet answers a harder question: once a model exists, how does it learn, how does it stay up to date, and how do we know when to trust — or not trust — what it says. Everything here is conceptual; the hands-on labs for RAG and retrieval come in Modules 4–5.</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Before You Start</w:t>
      </w:r>
    </w:p>
    <w:p>
      <w:pPr>
        <w:spacing w:after="120" w:line="276"/>
      </w:pPr>
      <w:r>
        <w:rPr>
          <w:rFonts w:ascii="Calibri" w:cs="Calibri" w:eastAsia="Calibri" w:hAnsi="Calibri"/>
          <w:b w:val="false"/>
          <w:bCs w:val="false"/>
          <w:i w:val="false"/>
          <w:iCs w:val="false"/>
          <w:color w:val="000000"/>
          <w:sz w:val="21"/>
          <w:szCs w:val="21"/>
        </w:rPr>
        <w:t xml:space="preserve">This sheet covers three ways a model “learns,” why enterprises overwhelmingly choose one of them for production systems, and the vocabulary you need to judge whether any GenAI output is trustworthy.</w:t>
      </w:r>
    </w:p>
    <w:p>
      <w:pPr>
        <w:spacing w:after="80"/>
      </w:pPr>
      <w:r>
        <w:rPr>
          <w:rFonts w:ascii="Calibri" w:cs="Calibri" w:eastAsia="Calibri" w:hAnsi="Calibri"/>
          <w:b/>
          <w:bCs/>
          <w:color w:val="595959"/>
          <w:sz w:val="20"/>
          <w:szCs w:val="20"/>
        </w:rPr>
        <w:t xml:space="preserve">How to use this sheet:</w:t>
      </w:r>
    </w:p>
    <w:p>
      <w:pPr>
        <w:pStyle w:val="ListParagraph"/>
        <w:numPr>
          <w:ilvl w:val="0"/>
          <w:numId w:val="2"/>
        </w:numPr>
        <w:spacing w:after="60"/>
      </w:pPr>
      <w:r>
        <w:rPr>
          <w:rFonts w:ascii="Calibri" w:cs="Calibri" w:eastAsia="Calibri" w:hAnsi="Calibri"/>
          <w:color w:val="000000"/>
          <w:sz w:val="21"/>
          <w:szCs w:val="21"/>
        </w:rPr>
        <w:t xml:space="preserve">Section B walks through Pretraining → Fine-tuning → RAG as one connected story — read it in order.</w:t>
      </w:r>
    </w:p>
    <w:p>
      <w:pPr>
        <w:pStyle w:val="ListParagraph"/>
        <w:numPr>
          <w:ilvl w:val="0"/>
          <w:numId w:val="2"/>
        </w:numPr>
        <w:spacing w:after="60"/>
      </w:pPr>
      <w:r>
        <w:rPr>
          <w:rFonts w:ascii="Calibri" w:cs="Calibri" w:eastAsia="Calibri" w:hAnsi="Calibri"/>
          <w:color w:val="000000"/>
          <w:sz w:val="21"/>
          <w:szCs w:val="21"/>
        </w:rPr>
        <w:t xml:space="preserve">Section C and D are quick-reference technical facts you'll return to throughout the programme.</w:t>
      </w:r>
    </w:p>
    <w:p>
      <w:pPr>
        <w:pStyle w:val="ListParagraph"/>
        <w:numPr>
          <w:ilvl w:val="0"/>
          <w:numId w:val="2"/>
        </w:numPr>
        <w:spacing w:after="60"/>
      </w:pPr>
      <w:r>
        <w:rPr>
          <w:rFonts w:ascii="Calibri" w:cs="Calibri" w:eastAsia="Calibri" w:hAnsi="Calibri"/>
          <w:color w:val="000000"/>
          <w:sz w:val="21"/>
          <w:szCs w:val="21"/>
        </w:rPr>
        <w:t xml:space="preserve">Section E and F cover how we measure trust and control risk — the foundation for Module 7 (Trust, Explainability &amp; Compliance).</w:t>
      </w:r>
    </w:p>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B. Three Ways a Model “Learns”</w:t>
      </w:r>
    </w:p>
    <w:p>
      <w:pPr>
        <w:pStyle w:val="Heading2"/>
        <w:spacing w:after="120" w:before="260"/>
      </w:pPr>
      <w:r>
        <w:rPr>
          <w:rFonts w:ascii="Calibri" w:cs="Calibri" w:eastAsia="Calibri" w:hAnsi="Calibri"/>
          <w:b/>
          <w:bCs/>
          <w:color w:val="3F3F3F"/>
          <w:sz w:val="24"/>
          <w:szCs w:val="24"/>
        </w:rPr>
        <w:t xml:space="preserve">B1. Pretraining — building the brain from scratch</w:t>
      </w:r>
    </w:p>
    <w:p>
      <w:pPr>
        <w:spacing w:after="120" w:line="276"/>
      </w:pPr>
      <w:r>
        <w:rPr>
          <w:rFonts w:ascii="Calibri" w:cs="Calibri" w:eastAsia="Calibri" w:hAnsi="Calibri"/>
          <w:b w:val="false"/>
          <w:bCs w:val="false"/>
          <w:i w:val="false"/>
          <w:iCs w:val="false"/>
          <w:color w:val="000000"/>
          <w:sz w:val="21"/>
          <w:szCs w:val="21"/>
        </w:rPr>
        <w:t xml:space="preserve">Explain it like I'm 10: Imagine teaching a child to understand language by handing them every book, website, and magazine ever written and letting them read for years. By the end, they haven't memorised the books — they've absorbed the patterns of how language and ideas connect. That absorbing process, done by a computer on a massive scale, is pretraining.</w:t>
      </w:r>
    </w:p>
    <w:p>
      <w:pPr>
        <w:spacing w:after="120" w:line="276"/>
      </w:pPr>
      <w:r>
        <w:rPr>
          <w:rFonts w:ascii="Calibri" w:cs="Calibri" w:eastAsia="Calibri" w:hAnsi="Calibri"/>
          <w:b w:val="false"/>
          <w:bCs w:val="false"/>
          <w:i w:val="false"/>
          <w:iCs w:val="false"/>
          <w:color w:val="000000"/>
          <w:sz w:val="21"/>
          <w:szCs w:val="21"/>
        </w:rPr>
        <w:t xml:space="preserve">In engineering terms: Pretraining is the process of training a model from scratch on billions to trillions of data points so it learns general language, reasoning, and world-knowledge patterns before it ever answers a real user question.</w:t>
      </w:r>
    </w:p>
    <w:p>
      <w:pPr>
        <w:spacing w:after="80"/>
      </w:pPr>
      <w:r>
        <w:rPr>
          <w:rFonts w:ascii="Calibri" w:cs="Calibri" w:eastAsia="Calibri" w:hAnsi="Calibri"/>
          <w:b/>
          <w:bCs/>
          <w:color w:val="595959"/>
          <w:sz w:val="20"/>
          <w:szCs w:val="20"/>
        </w:rPr>
        <w:t xml:space="preserve">Where does all that data come from?</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600"/>
        <w:gridCol w:w="3550"/>
      </w:tblGrid>
      <w:tr>
        <w:trPr>
          <w:tblHeader/>
        </w:trPr>
        <w:tc>
          <w:tcPr>
            <w:tcW w:type="dxa" w:w="2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Data type</w:t>
            </w:r>
          </w:p>
        </w:tc>
        <w:tc>
          <w:tcPr>
            <w:tcW w:type="dxa" w:w="36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looks like</w:t>
            </w:r>
          </w:p>
        </w:tc>
        <w:tc>
          <w:tcPr>
            <w:tcW w:type="dxa" w:w="35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Examples</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Structured data</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Organised into rows, columns, and defined fields — easy for a computer to query directly.</w:t>
            </w:r>
          </w:p>
        </w:tc>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Databases, CRM records, service-desk ticket systems, billing systems</w:t>
            </w:r>
          </w:p>
        </w:tc>
      </w:tr>
      <w:tr>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Unstructured data</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Free-form content with no fixed fields — the model has to learn to make sense of it.</w:t>
            </w:r>
          </w:p>
        </w:tc>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PDFs, Word documents, scanned manuals, Excel sheets, emails, CSV exports, web pages</w:t>
            </w:r>
          </w:p>
        </w:tc>
      </w:tr>
    </w:tbl>
    <w:p>
      <w:pPr>
        <w:spacing w:after="120"/>
      </w:pPr>
    </w:p>
    <w:p>
      <w:pPr>
        <w:spacing w:after="120" w:line="276"/>
      </w:pPr>
      <w:r>
        <w:rPr>
          <w:rFonts w:ascii="Calibri" w:cs="Calibri" w:eastAsia="Calibri" w:hAnsi="Calibri"/>
          <w:b w:val="false"/>
          <w:bCs w:val="false"/>
          <w:i w:val="false"/>
          <w:iCs w:val="false"/>
          <w:color w:val="000000"/>
          <w:sz w:val="21"/>
          <w:szCs w:val="21"/>
        </w:rPr>
        <w:t xml:space="preserve">Both types feed into the pretraining of every major publicly available model:</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350"/>
      </w:tblGrid>
      <w:tr>
        <w:trPr>
          <w:tblHeader/>
        </w:trPr>
        <w:tc>
          <w:tcPr>
            <w:tcW w:type="dxa" w:w="30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Provider</w:t>
            </w:r>
          </w:p>
        </w:tc>
        <w:tc>
          <w:tcPr>
            <w:tcW w:type="dxa" w:w="63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Model family</w:t>
            </w:r>
          </w:p>
        </w:tc>
      </w:tr>
      <w:tr>
        <w:tc>
          <w:tcPr>
            <w:tcW w:type="dxa" w:w="3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OpenAI</w:t>
            </w:r>
          </w:p>
        </w:tc>
        <w:tc>
          <w:tcPr>
            <w:tcW w:type="dxa" w:w="6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GPT (e.g., GPT-4o, GPT-4.1)</w:t>
            </w:r>
          </w:p>
        </w:tc>
      </w:tr>
      <w:tr>
        <w:tc>
          <w:tcPr>
            <w:tcW w:type="dxa" w:w="30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Anthropic</w:t>
            </w:r>
          </w:p>
        </w:tc>
        <w:tc>
          <w:tcPr>
            <w:tcW w:type="dxa" w:w="6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Claude (Opus, Sonnet, Haiku tiers)</w:t>
            </w:r>
          </w:p>
        </w:tc>
      </w:tr>
      <w:tr>
        <w:tc>
          <w:tcPr>
            <w:tcW w:type="dxa" w:w="3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Google</w:t>
            </w:r>
          </w:p>
        </w:tc>
        <w:tc>
          <w:tcPr>
            <w:tcW w:type="dxa" w:w="6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Gemini</w:t>
            </w:r>
          </w:p>
        </w:tc>
      </w:tr>
    </w:tbl>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Could NCS or a client pretrain their own model from scratch?</w:t>
            </w:r>
          </w:p>
          <w:p>
            <w:r>
              <w:rPr>
                <w:rFonts w:ascii="Calibri" w:cs="Calibri" w:eastAsia="Calibri" w:hAnsi="Calibri"/>
                <w:color w:val="000000"/>
                <w:sz w:val="20"/>
                <w:szCs w:val="20"/>
              </w:rPr>
              <w:t xml:space="preserve">Technically yes — but almost no enterprise does. See the pros/cons below before Section B2 explains why fine-tuning and RAG exist as far more practical alternatives.</w:t>
            </w:r>
          </w:p>
        </w:tc>
      </w:tr>
    </w:tbl>
    <w:p>
      <w:pPr>
        <w:spacing w:after="10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4675"/>
        <w:gridCol w:w="4675"/>
      </w:tblGrid>
      <w:tr>
        <w:trPr>
          <w:tblHeader/>
        </w:trPr>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Building a custom model from scratch — Pros</w:t>
            </w:r>
          </w:p>
        </w:tc>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 Cons</w:t>
            </w:r>
          </w:p>
        </w:tc>
      </w:tr>
      <w:tr>
        <w:tc>
          <w:tcPr>
            <w:tcW w:type="dxa" w:w="4675"/>
            <w:shd w:fill="FFFFFF"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Full control over what the model does and doesn't know</w:t>
            </w:r>
          </w:p>
        </w:tc>
        <w:tc>
          <w:tcPr>
            <w:tcW w:type="dxa" w:w="4675"/>
            <w:shd w:fill="FFFFFF"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Requires hundreds of millions of dollars in compute, months to years of training time, and a specialist ML research team most enterprises don't have</w:t>
            </w:r>
          </w:p>
        </w:tc>
      </w:tr>
      <w:tr>
        <w:tc>
          <w:tcPr>
            <w:tcW w:type="dxa" w:w="4675"/>
            <w:shd w:fill="F3F3F3"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No dependency on an external vendor's model roadmap</w:t>
            </w:r>
          </w:p>
        </w:tc>
        <w:tc>
          <w:tcPr>
            <w:tcW w:type="dxa" w:w="4675"/>
            <w:shd w:fill="F3F3F3"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Enormous ongoing cost to keep the model updated as the world changes</w:t>
            </w:r>
          </w:p>
        </w:tc>
      </w:tr>
      <w:tr>
        <w:tc>
          <w:tcPr>
            <w:tcW w:type="dxa" w:w="4675"/>
            <w:shd w:fill="FFFFFF"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Can be shaped entirely around one industry's language and data from day one</w:t>
            </w:r>
          </w:p>
        </w:tc>
        <w:tc>
          <w:tcPr>
            <w:tcW w:type="dxa" w:w="4675"/>
            <w:shd w:fill="FFFFFF"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Public models (GPT, Claude, Gemini) already outperform what most enterprises could build alone, at a fraction of the cost</w:t>
            </w:r>
          </w:p>
        </w:tc>
      </w:tr>
    </w:tbl>
    <w:p>
      <w:pPr>
        <w:spacing w:after="160"/>
      </w:pPr>
    </w:p>
    <w:p>
      <w:pPr>
        <w:pStyle w:val="Heading2"/>
        <w:spacing w:after="120" w:before="260"/>
      </w:pPr>
      <w:r>
        <w:rPr>
          <w:rFonts w:ascii="Calibri" w:cs="Calibri" w:eastAsia="Calibri" w:hAnsi="Calibri"/>
          <w:b/>
          <w:bCs/>
          <w:color w:val="3F3F3F"/>
          <w:sz w:val="24"/>
          <w:szCs w:val="24"/>
        </w:rPr>
        <w:t xml:space="preserve">B2. Fine-tuning — specialising an existing model</w:t>
      </w:r>
    </w:p>
    <w:p>
      <w:pPr>
        <w:spacing w:after="120" w:line="276"/>
      </w:pPr>
      <w:r>
        <w:rPr>
          <w:rFonts w:ascii="Calibri" w:cs="Calibri" w:eastAsia="Calibri" w:hAnsi="Calibri"/>
          <w:b w:val="false"/>
          <w:bCs w:val="false"/>
          <w:i w:val="false"/>
          <w:iCs w:val="false"/>
          <w:color w:val="000000"/>
          <w:sz w:val="21"/>
          <w:szCs w:val="21"/>
        </w:rPr>
        <w:t xml:space="preserve">A worked scenario: Say a model finished pretraining with data up to December 2025. In February 2026, your organisation updates its HR leave policy. An employee now asks the company chatbot, built on that same model, about the new policy.</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The question that matters</w:t>
            </w:r>
          </w:p>
          <w:p>
            <w:r>
              <w:rPr>
                <w:rFonts w:ascii="Calibri" w:cs="Calibri" w:eastAsia="Calibri" w:hAnsi="Calibri"/>
                <w:color w:val="000000"/>
                <w:sz w:val="20"/>
                <w:szCs w:val="20"/>
              </w:rPr>
              <w:t xml:space="preserve">Will the chatbot know about a policy that didn't exist when the model was trained? No — the model's internal knowledge is frozen at pretraining. It cannot know anything that happened after that cut-off unless something changes.</w:t>
            </w:r>
          </w:p>
        </w:tc>
      </w:tr>
    </w:tbl>
    <w:p>
      <w:pPr>
        <w:spacing w:after="100"/>
      </w:pPr>
    </w:p>
    <w:p>
      <w:pPr>
        <w:spacing w:after="120" w:line="276"/>
      </w:pPr>
      <w:r>
        <w:rPr>
          <w:rFonts w:ascii="Calibri" w:cs="Calibri" w:eastAsia="Calibri" w:hAnsi="Calibri"/>
          <w:b w:val="false"/>
          <w:bCs w:val="false"/>
          <w:i w:val="false"/>
          <w:iCs w:val="false"/>
          <w:color w:val="000000"/>
          <w:sz w:val="21"/>
          <w:szCs w:val="21"/>
        </w:rPr>
        <w:t xml:space="preserve">Explain it like I'm 10: Fine-tuning is like sending your already-educated friend back to a short, focused night class — not to relearn everything, but to specialise. You could fine-tune a general model specifically on telecom terminology and telecom support tickets so it stops giving generic answers and starts sounding like a telecom expert.</w:t>
      </w:r>
    </w:p>
    <w:p>
      <w:pPr>
        <w:spacing w:after="120" w:line="276"/>
      </w:pPr>
      <w:r>
        <w:rPr>
          <w:rFonts w:ascii="Calibri" w:cs="Calibri" w:eastAsia="Calibri" w:hAnsi="Calibri"/>
          <w:b w:val="false"/>
          <w:bCs w:val="false"/>
          <w:i w:val="false"/>
          <w:iCs w:val="false"/>
          <w:color w:val="000000"/>
          <w:sz w:val="21"/>
          <w:szCs w:val="21"/>
        </w:rPr>
        <w:t xml:space="preserve">But fine-tuning does not solve the HR-policy problem well. To teach the model the new policy, the organisation would need to retrain (fine-tune) it again — and that costs real money and time:</w:t>
      </w:r>
    </w:p>
    <w:p>
      <w:pPr>
        <w:pStyle w:val="ListParagraph"/>
        <w:numPr>
          <w:ilvl w:val="0"/>
          <w:numId w:val="2"/>
        </w:numPr>
        <w:spacing w:after="60"/>
      </w:pPr>
      <w:r>
        <w:rPr>
          <w:rFonts w:ascii="Calibri" w:cs="Calibri" w:eastAsia="Calibri" w:hAnsi="Calibri"/>
          <w:color w:val="000000"/>
          <w:sz w:val="21"/>
          <w:szCs w:val="21"/>
        </w:rPr>
        <w:t xml:space="preserve">Hiring or allocating ML engineers to prepare training data and run the fine-tuning job</w:t>
      </w:r>
    </w:p>
    <w:p>
      <w:pPr>
        <w:pStyle w:val="ListParagraph"/>
        <w:numPr>
          <w:ilvl w:val="0"/>
          <w:numId w:val="2"/>
        </w:numPr>
        <w:spacing w:after="60"/>
      </w:pPr>
      <w:r>
        <w:rPr>
          <w:rFonts w:ascii="Calibri" w:cs="Calibri" w:eastAsia="Calibri" w:hAnsi="Calibri"/>
          <w:color w:val="000000"/>
          <w:sz w:val="21"/>
          <w:szCs w:val="21"/>
        </w:rPr>
        <w:t xml:space="preserve">GPU / cloud infrastructure cost for every fine-tuning run</w:t>
      </w:r>
    </w:p>
    <w:p>
      <w:pPr>
        <w:pStyle w:val="ListParagraph"/>
        <w:numPr>
          <w:ilvl w:val="0"/>
          <w:numId w:val="2"/>
        </w:numPr>
        <w:spacing w:after="60"/>
      </w:pPr>
      <w:r>
        <w:rPr>
          <w:rFonts w:ascii="Calibri" w:cs="Calibri" w:eastAsia="Calibri" w:hAnsi="Calibri"/>
          <w:color w:val="000000"/>
          <w:sz w:val="21"/>
          <w:szCs w:val="21"/>
        </w:rPr>
        <w:t xml:space="preserve">A full testing and validation cycle before the updated model can be trusted in production</w:t>
      </w:r>
    </w:p>
    <w:p>
      <w:pPr>
        <w:pStyle w:val="ListParagraph"/>
        <w:numPr>
          <w:ilvl w:val="0"/>
          <w:numId w:val="2"/>
        </w:numPr>
        <w:spacing w:after="60"/>
      </w:pPr>
      <w:r>
        <w:rPr>
          <w:rFonts w:ascii="Calibri" w:cs="Calibri" w:eastAsia="Calibri" w:hAnsi="Calibri"/>
          <w:color w:val="000000"/>
          <w:sz w:val="21"/>
          <w:szCs w:val="21"/>
        </w:rPr>
        <w:t xml:space="preserve">Repeating all of the above every single time a policy, price list, or SOP changes</w:t>
      </w:r>
    </w:p>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Why most enterprises don't fine-tune for fast-changing facts</w:t>
            </w:r>
          </w:p>
          <w:p>
            <w:r>
              <w:rPr>
                <w:rFonts w:ascii="Calibri" w:cs="Calibri" w:eastAsia="Calibri" w:hAnsi="Calibri"/>
                <w:color w:val="000000"/>
                <w:sz w:val="20"/>
                <w:szCs w:val="20"/>
              </w:rPr>
              <w:t xml:space="preserve">If your HR policy, pricing, or SLA terms change monthly, fine-tuning every time is prohibitively expensive and slow. Enterprises need a way to keep answers current without retraining the model itself — that's exactly the gap RAG fills.</w:t>
            </w:r>
          </w:p>
        </w:tc>
      </w:tr>
    </w:tbl>
    <w:p>
      <w:pPr>
        <w:spacing w:after="160"/>
      </w:pPr>
    </w:p>
    <w:p>
      <w:pPr>
        <w:pStyle w:val="Heading2"/>
        <w:spacing w:after="120" w:before="260"/>
      </w:pPr>
      <w:r>
        <w:rPr>
          <w:rFonts w:ascii="Calibri" w:cs="Calibri" w:eastAsia="Calibri" w:hAnsi="Calibri"/>
          <w:b/>
          <w:bCs/>
          <w:color w:val="3F3F3F"/>
          <w:sz w:val="24"/>
          <w:szCs w:val="24"/>
        </w:rPr>
        <w:t xml:space="preserve">B3. RAG (Retrieval-Augmented Generation) — an open-book layer, not a rebuilt brain</w:t>
      </w:r>
    </w:p>
    <w:p>
      <w:pPr>
        <w:spacing w:after="120" w:line="276"/>
      </w:pPr>
      <w:r>
        <w:rPr>
          <w:rFonts w:ascii="Calibri" w:cs="Calibri" w:eastAsia="Calibri" w:hAnsi="Calibri"/>
          <w:b w:val="false"/>
          <w:bCs w:val="false"/>
          <w:i w:val="false"/>
          <w:iCs w:val="false"/>
          <w:color w:val="000000"/>
          <w:sz w:val="21"/>
          <w:szCs w:val="21"/>
        </w:rPr>
        <w:t xml:space="preserve">Explain it like I'm 10: If fine-tuning is sending your friend back to night class, RAG is simply handing your friend today's newspaper right before they answer your question. Your friend doesn't need to relearn anything — they just read the most current, relevant page first, then answer using both what they already know and what they just read.</w:t>
      </w:r>
    </w:p>
    <w:p>
      <w:pPr>
        <w:spacing w:after="120" w:line="276"/>
      </w:pPr>
      <w:r>
        <w:rPr>
          <w:rFonts w:ascii="Calibri" w:cs="Calibri" w:eastAsia="Calibri" w:hAnsi="Calibri"/>
          <w:b w:val="false"/>
          <w:bCs w:val="false"/>
          <w:i w:val="false"/>
          <w:iCs w:val="false"/>
          <w:color w:val="000000"/>
          <w:sz w:val="21"/>
          <w:szCs w:val="21"/>
        </w:rPr>
        <w:t xml:space="preserve">In engineering terms: RAG adds a retrieval step in front of the model. When a user asks a question, the system first searches a trusted, current document store for the most relevant passages, then hands those passages to the model along with the question, so the model's answer is grounded in up-to-date, verifiable source material — with a citation back to that source.</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750"/>
        <w:gridCol w:w="3950"/>
        <w:gridCol w:w="3650"/>
      </w:tblGrid>
      <w:tr>
        <w:trPr>
          <w:tblHeader/>
        </w:trPr>
        <w:tc>
          <w:tcPr>
            <w:tcW w:type="dxa" w:w="17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
            </w:r>
          </w:p>
        </w:tc>
        <w:tc>
          <w:tcPr>
            <w:tcW w:type="dxa" w:w="39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Fine-tuning</w:t>
            </w:r>
          </w:p>
        </w:tc>
        <w:tc>
          <w:tcPr>
            <w:tcW w:type="dxa" w:w="3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RAG</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What changes</w:t>
            </w:r>
          </w:p>
        </w:tc>
        <w:tc>
          <w:tcPr>
            <w:tcW w:type="dxa" w:w="3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model's internal weights are retrained</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Nothing about the model changes — only the documents it's given at question-time</w:t>
            </w:r>
          </w:p>
        </w:tc>
      </w:tr>
      <w:tr>
        <w:tc>
          <w:tcPr>
            <w:tcW w:type="dxa" w:w="1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Cost to update</w:t>
            </w:r>
          </w:p>
        </w:tc>
        <w:tc>
          <w:tcPr>
            <w:tcW w:type="dxa" w:w="39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High — compute, ML talent, retraining cycle</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Low — add, edit, or remove a document in the store</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Speed to update</w:t>
            </w:r>
          </w:p>
        </w:tc>
        <w:tc>
          <w:tcPr>
            <w:tcW w:type="dxa" w:w="3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Days to weeks per cycle</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Immediate — as soon as the document is indexed</w:t>
            </w:r>
          </w:p>
        </w:tc>
      </w:tr>
      <w:tr>
        <w:tc>
          <w:tcPr>
            <w:tcW w:type="dxa" w:w="1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Handles a policy change tomorrow?</w:t>
            </w:r>
          </w:p>
        </w:tc>
        <w:tc>
          <w:tcPr>
            <w:tcW w:type="dxa" w:w="39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Not until the next fine-tuning run</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Yes — update the source document and the very next query reflects it</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Best used for</w:t>
            </w:r>
          </w:p>
        </w:tc>
        <w:tc>
          <w:tcPr>
            <w:tcW w:type="dxa" w:w="3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Teaching a model a style, tone, or narrow specialist skill</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Keeping answers grounded in current, auditable, client-specific facts</w:t>
            </w:r>
          </w:p>
        </w:tc>
      </w:tr>
    </w:tbl>
    <w:p>
      <w:pPr>
        <w:spacing w:after="140"/>
      </w:pPr>
    </w:p>
    <w:p>
      <w:pPr>
        <w:spacing w:after="120" w:line="276"/>
      </w:pPr>
      <w:r>
        <w:rPr>
          <w:rFonts w:ascii="Calibri" w:cs="Calibri" w:eastAsia="Calibri" w:hAnsi="Calibri"/>
          <w:b w:val="false"/>
          <w:bCs w:val="false"/>
          <w:i w:val="false"/>
          <w:iCs w:val="false"/>
          <w:color w:val="000000"/>
          <w:sz w:val="21"/>
          <w:szCs w:val="21"/>
        </w:rPr>
        <w:t xml:space="preserve">This is exactly why the 10 NCS Telco+ use cases in this programme are built on RAG rather than constant fine-tuning — it's the practical, cost-controlled way to keep an enterprise assistant both current and safe.</w:t>
      </w:r>
    </w:p>
    <w:p>
      <w:pPr>
        <w:pStyle w:val="Heading2"/>
        <w:spacing w:after="120" w:before="260"/>
      </w:pPr>
      <w:r>
        <w:rPr>
          <w:rFonts w:ascii="Calibri" w:cs="Calibri" w:eastAsia="Calibri" w:hAnsi="Calibri"/>
          <w:b/>
          <w:bCs/>
          <w:color w:val="3F3F3F"/>
          <w:sz w:val="24"/>
          <w:szCs w:val="24"/>
        </w:rPr>
        <w:t xml:space="preserve">What does a RAG storage layer actually look like?</w:t>
      </w:r>
    </w:p>
    <w:p>
      <w:pPr>
        <w:spacing w:after="120" w:line="276"/>
      </w:pPr>
      <w:r>
        <w:rPr>
          <w:rFonts w:ascii="Calibri" w:cs="Calibri" w:eastAsia="Calibri" w:hAnsi="Calibri"/>
          <w:b w:val="false"/>
          <w:bCs w:val="false"/>
          <w:i w:val="false"/>
          <w:iCs w:val="false"/>
          <w:color w:val="000000"/>
          <w:sz w:val="21"/>
          <w:szCs w:val="21"/>
        </w:rPr>
        <w:t xml:space="preserve">RAG is often described as if it needs exotic infrastructure. In reality, it is simply an additional, trusted storage layer sitting over any base model — public or custom-built — and it can be as simple as:</w:t>
      </w:r>
    </w:p>
    <w:p>
      <w:pPr>
        <w:pStyle w:val="ListParagraph"/>
        <w:numPr>
          <w:ilvl w:val="0"/>
          <w:numId w:val="2"/>
        </w:numPr>
        <w:spacing w:after="60"/>
      </w:pPr>
      <w:r>
        <w:rPr>
          <w:rFonts w:ascii="Calibri" w:cs="Calibri" w:eastAsia="Calibri" w:hAnsi="Calibri"/>
          <w:color w:val="000000"/>
          <w:sz w:val="21"/>
          <w:szCs w:val="21"/>
        </w:rPr>
        <w:t xml:space="preserve">A SharePoint folder of current SOPs and policy documents</w:t>
      </w:r>
    </w:p>
    <w:p>
      <w:pPr>
        <w:pStyle w:val="ListParagraph"/>
        <w:numPr>
          <w:ilvl w:val="0"/>
          <w:numId w:val="2"/>
        </w:numPr>
        <w:spacing w:after="60"/>
      </w:pPr>
      <w:r>
        <w:rPr>
          <w:rFonts w:ascii="Calibri" w:cs="Calibri" w:eastAsia="Calibri" w:hAnsi="Calibri"/>
          <w:color w:val="000000"/>
          <w:sz w:val="21"/>
          <w:szCs w:val="21"/>
        </w:rPr>
        <w:t xml:space="preserve">A shared contracts folder</w:t>
      </w:r>
    </w:p>
    <w:p>
      <w:pPr>
        <w:pStyle w:val="ListParagraph"/>
        <w:numPr>
          <w:ilvl w:val="0"/>
          <w:numId w:val="2"/>
        </w:numPr>
        <w:spacing w:after="60"/>
      </w:pPr>
      <w:r>
        <w:rPr>
          <w:rFonts w:ascii="Calibri" w:cs="Calibri" w:eastAsia="Calibri" w:hAnsi="Calibri"/>
          <w:color w:val="000000"/>
          <w:sz w:val="21"/>
          <w:szCs w:val="21"/>
        </w:rPr>
        <w:t xml:space="preserve">A structured database of billing or ticketing records</w:t>
      </w:r>
    </w:p>
    <w:p>
      <w:pPr>
        <w:pStyle w:val="ListParagraph"/>
        <w:numPr>
          <w:ilvl w:val="0"/>
          <w:numId w:val="2"/>
        </w:numPr>
        <w:spacing w:after="60"/>
      </w:pPr>
      <w:r>
        <w:rPr>
          <w:rFonts w:ascii="Calibri" w:cs="Calibri" w:eastAsia="Calibri" w:hAnsi="Calibri"/>
          <w:color w:val="000000"/>
          <w:sz w:val="21"/>
          <w:szCs w:val="21"/>
        </w:rPr>
        <w:t xml:space="preserve">A purpose-built vector database (covered next) for large-scale semantic search</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C. SQL Database vs Vector Database</w:t>
      </w:r>
    </w:p>
    <w:p>
      <w:pPr>
        <w:spacing w:after="120" w:line="276"/>
      </w:pPr>
      <w:r>
        <w:rPr>
          <w:rFonts w:ascii="Calibri" w:cs="Calibri" w:eastAsia="Calibri" w:hAnsi="Calibri"/>
          <w:b w:val="false"/>
          <w:bCs w:val="false"/>
          <w:i w:val="false"/>
          <w:iCs w:val="false"/>
          <w:color w:val="000000"/>
          <w:sz w:val="21"/>
          <w:szCs w:val="21"/>
        </w:rPr>
        <w:t xml:space="preserve">Both are places to store data that a RAG system can retrieve from — but they answer very different kinds of questions.</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650"/>
        <w:gridCol w:w="3900"/>
        <w:gridCol w:w="3800"/>
      </w:tblGrid>
      <w:tr>
        <w:trPr>
          <w:tblHeader/>
        </w:trPr>
        <w:tc>
          <w:tcPr>
            <w:tcW w:type="dxa" w:w="1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
            </w:r>
          </w:p>
        </w:tc>
        <w:tc>
          <w:tcPr>
            <w:tcW w:type="dxa" w:w="3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SQL (relational) database</w:t>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Vector database</w:t>
            </w:r>
          </w:p>
        </w:tc>
      </w:tr>
      <w:tr>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What it stores</w:t>
            </w:r>
          </w:p>
        </w:tc>
        <w:tc>
          <w:tcPr>
            <w:tcW w:type="dxa" w:w="3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Structured rows and columns with defined fields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“Embeddings” — numeric representations of meaning, generated from text, images, or other content</w:t>
            </w:r>
          </w:p>
        </w:tc>
      </w:tr>
      <w:tr>
        <w:tc>
          <w:tcPr>
            <w:tcW w:type="dxa" w:w="1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What it's good at</w:t>
            </w:r>
          </w:p>
        </w:tc>
        <w:tc>
          <w:tcPr>
            <w:tcW w:type="dxa" w:w="3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Exact-match and rule-based queries: “show all invoices over ₹50,000 from March”</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Meaning-based / semantic search: “find the SOP section closest in meaning to this engineer's question,” even if the exact words differ</w:t>
            </w:r>
          </w:p>
        </w:tc>
      </w:tr>
      <w:tr>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Query language</w:t>
            </w:r>
          </w:p>
        </w:tc>
        <w:tc>
          <w:tcPr>
            <w:tcW w:type="dxa" w:w="3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SQL — precise, structured</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Similarity search — nearest-neighbour matching on meaning</w:t>
            </w:r>
          </w:p>
        </w:tc>
      </w:tr>
      <w:tr>
        <w:tc>
          <w:tcPr>
            <w:tcW w:type="dxa" w:w="1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Typical NCS use</w:t>
            </w:r>
          </w:p>
        </w:tc>
        <w:tc>
          <w:tcPr>
            <w:tcW w:type="dxa" w:w="3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Billing systems, CRM records, ticketing systems</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RAG document retrieval over SOPs, manuals, contracts, policy text (Module 4–5)</w:t>
            </w:r>
          </w:p>
        </w:tc>
      </w:tr>
      <w:tr>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Weakness</w:t>
            </w:r>
          </w:p>
        </w:tc>
        <w:tc>
          <w:tcPr>
            <w:tcW w:type="dxa" w:w="3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Cannot understand meaning or handle unstructured text well</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Not designed for exact transactional lookups or strict row-level accuracy</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D. Token Economics — What a “Token” Really Costs</w:t>
      </w:r>
    </w:p>
    <w:p>
      <w:pPr>
        <w:spacing w:after="120" w:line="276"/>
      </w:pPr>
      <w:r>
        <w:rPr>
          <w:rFonts w:ascii="Calibri" w:cs="Calibri" w:eastAsia="Calibri" w:hAnsi="Calibri"/>
          <w:b w:val="false"/>
          <w:bCs w:val="false"/>
          <w:i w:val="false"/>
          <w:iCs w:val="false"/>
          <w:color w:val="000000"/>
          <w:sz w:val="21"/>
          <w:szCs w:val="21"/>
        </w:rPr>
        <w:t xml:space="preserve">A token is roughly ¾ of a word in English — as a working rule of thumb, 100 tokens ≈ 75 words, or 1 word ≈ 1.3 tokens. Punctuation, spaces, and unusual words can each consume their own tokens too, so the exact count varies by model and language.</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Why this matters for cost</w:t>
            </w:r>
          </w:p>
          <w:p>
            <w:r>
              <w:rPr>
                <w:rFonts w:ascii="Calibri" w:cs="Calibri" w:eastAsia="Calibri" w:hAnsi="Calibri"/>
                <w:color w:val="000000"/>
                <w:sz w:val="20"/>
                <w:szCs w:val="20"/>
              </w:rPr>
              <w:t xml:space="preserve">Every model charges per token — for both what you send in (the prompt and any retrieved documents) and what it generates back. A 20-page SOP retrieved into a RAG answer can consume thousands of tokens per query — this is why chunking (Module 5) and controlling how much context you retrieve directly controls cost, not just accuracy.</w:t>
            </w:r>
          </w:p>
        </w:tc>
      </w:tr>
    </w:tbl>
    <w:p>
      <w:pPr>
        <w:spacing w:after="100"/>
      </w:pPr>
    </w:p>
    <w:p>
      <w:pPr>
        <w:pStyle w:val="ListParagraph"/>
        <w:numPr>
          <w:ilvl w:val="0"/>
          <w:numId w:val="2"/>
        </w:numPr>
        <w:spacing w:after="60"/>
      </w:pPr>
      <w:r>
        <w:rPr>
          <w:rFonts w:ascii="Calibri" w:cs="Calibri" w:eastAsia="Calibri" w:hAnsi="Calibri"/>
          <w:color w:val="000000"/>
          <w:sz w:val="21"/>
          <w:szCs w:val="21"/>
        </w:rPr>
        <w:t xml:space="preserve">Input tokens: your prompt + any system instructions + any retrieved documents</w:t>
      </w:r>
    </w:p>
    <w:p>
      <w:pPr>
        <w:pStyle w:val="ListParagraph"/>
        <w:numPr>
          <w:ilvl w:val="0"/>
          <w:numId w:val="2"/>
        </w:numPr>
        <w:spacing w:after="60"/>
      </w:pPr>
      <w:r>
        <w:rPr>
          <w:rFonts w:ascii="Calibri" w:cs="Calibri" w:eastAsia="Calibri" w:hAnsi="Calibri"/>
          <w:color w:val="000000"/>
          <w:sz w:val="21"/>
          <w:szCs w:val="21"/>
        </w:rPr>
        <w:t xml:space="preserve">Output tokens: the model's generated response — usually priced higher per token than input</w:t>
      </w:r>
    </w:p>
    <w:p>
      <w:pPr>
        <w:pStyle w:val="ListParagraph"/>
        <w:numPr>
          <w:ilvl w:val="0"/>
          <w:numId w:val="2"/>
        </w:numPr>
        <w:spacing w:after="60"/>
      </w:pPr>
      <w:r>
        <w:rPr>
          <w:rFonts w:ascii="Calibri" w:cs="Calibri" w:eastAsia="Calibri" w:hAnsi="Calibri"/>
          <w:color w:val="000000"/>
          <w:sz w:val="21"/>
          <w:szCs w:val="21"/>
        </w:rPr>
        <w:t xml:space="preserve">Context window: the maximum combined input + output tokens a model can handle in one exchange — exceeding it means older content gets dropped or the request fails</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E. How We Judge a Model — Accuracy, Precision, Recall, F1</w:t>
      </w:r>
    </w:p>
    <w:p>
      <w:pPr>
        <w:spacing w:after="120" w:line="276"/>
      </w:pPr>
      <w:r>
        <w:rPr>
          <w:rFonts w:ascii="Calibri" w:cs="Calibri" w:eastAsia="Calibri" w:hAnsi="Calibri"/>
          <w:b w:val="false"/>
          <w:bCs w:val="false"/>
          <w:i w:val="false"/>
          <w:iCs w:val="false"/>
          <w:color w:val="000000"/>
          <w:sz w:val="21"/>
          <w:szCs w:val="21"/>
        </w:rPr>
        <w:t xml:space="preserve">These four terms get used loosely in everyday conversation but mean very specific things when evaluating a model's outputs — for example, when a model classifies billing disputes (Use Case 4) or flags churn risk (Use Case 6).</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Imagine a metal detector at airport security. Accuracy asks: out of everyone who walked through, how many did it correctly wave through or correctly stop? Precision asks: of everyone it stopped, how many actually had something on them? Recall asks: of everyone who actually had something, how many did it actually catch? F1 is a single score that balances precision and recall together, so a detector can't cheat by only optimising one.</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4300"/>
        <w:gridCol w:w="3550"/>
      </w:tblGrid>
      <w:tr>
        <w:trPr>
          <w:tblHeader/>
        </w:trPr>
        <w:tc>
          <w:tcPr>
            <w:tcW w:type="dxa" w:w="1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Term</w:t>
            </w:r>
          </w:p>
        </w:tc>
        <w:tc>
          <w:tcPr>
            <w:tcW w:type="dxa" w:w="43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Plain-language meaning</w:t>
            </w:r>
          </w:p>
        </w:tc>
        <w:tc>
          <w:tcPr>
            <w:tcW w:type="dxa" w:w="35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Gets it wrong when…</w:t>
            </w:r>
          </w:p>
        </w:tc>
      </w:tr>
      <w:tr>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Accuracy</w:t>
            </w:r>
          </w:p>
        </w:tc>
        <w:tc>
          <w:tcPr>
            <w:tcW w:type="dxa" w:w="4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Overall, what fraction of all predictions were correct?</w:t>
            </w:r>
          </w:p>
        </w:tc>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Misleading if one outcome (e.g., “not a dispute”) is far more common than the other — a model can look accurate just by always guessing the common case</w:t>
            </w:r>
          </w:p>
        </w:tc>
      </w:tr>
      <w:tr>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Precision</w:t>
            </w:r>
          </w:p>
        </w:tc>
        <w:tc>
          <w:tcPr>
            <w:tcW w:type="dxa" w:w="4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Of everything the model flagged as positive, how much was actually correct?</w:t>
            </w:r>
          </w:p>
        </w:tc>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Low precision means too many false alarms — e.g., flagging normal tickets as billing disputes</w:t>
            </w:r>
          </w:p>
        </w:tc>
      </w:tr>
      <w:tr>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Recall</w:t>
            </w:r>
          </w:p>
        </w:tc>
        <w:tc>
          <w:tcPr>
            <w:tcW w:type="dxa" w:w="4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Of everything that was actually positive, how much did the model catch?</w:t>
            </w:r>
          </w:p>
        </w:tc>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Low recall means real issues slip through undetected — e.g., missing genuine overcharge disputes</w:t>
            </w:r>
          </w:p>
        </w:tc>
      </w:tr>
      <w:tr>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F1 Score</w:t>
            </w:r>
          </w:p>
        </w:tc>
        <w:tc>
          <w:tcPr>
            <w:tcW w:type="dxa" w:w="4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single balanced score combining precision and recall</w:t>
            </w:r>
          </w:p>
        </w:tc>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Useful whenever you can't afford to optimise only one side — most enterprise classification tasks</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Hallucination, Confidence &amp; Risk — Knowing When to Trust the Answer</w:t>
      </w:r>
    </w:p>
    <w:p>
      <w:pPr>
        <w:pStyle w:val="Heading2"/>
        <w:spacing w:after="120" w:before="260"/>
      </w:pPr>
      <w:r>
        <w:rPr>
          <w:rFonts w:ascii="Calibri" w:cs="Calibri" w:eastAsia="Calibri" w:hAnsi="Calibri"/>
          <w:b/>
          <w:bCs/>
          <w:color w:val="3F3F3F"/>
          <w:sz w:val="24"/>
          <w:szCs w:val="24"/>
        </w:rPr>
        <w:t xml:space="preserve">Recap: hallucination</w:t>
      </w:r>
    </w:p>
    <w:p>
      <w:pPr>
        <w:spacing w:after="120" w:line="276"/>
      </w:pPr>
      <w:r>
        <w:rPr>
          <w:rFonts w:ascii="Calibri" w:cs="Calibri" w:eastAsia="Calibri" w:hAnsi="Calibri"/>
          <w:b w:val="false"/>
          <w:bCs w:val="false"/>
          <w:i w:val="false"/>
          <w:iCs w:val="false"/>
          <w:color w:val="000000"/>
          <w:sz w:val="21"/>
          <w:szCs w:val="21"/>
        </w:rPr>
        <w:t xml:space="preserve">As covered in Sheet 1, a hallucination is a confident-sounding but factually wrong output — the model is predicting plausible text, not looking up truth. RAG reduces this risk by grounding answers in retrieved documents, but doesn't eliminate it entirely.</w:t>
      </w:r>
    </w:p>
    <w:p>
      <w:pPr>
        <w:pStyle w:val="Heading2"/>
        <w:spacing w:after="120" w:before="260"/>
      </w:pPr>
      <w:r>
        <w:rPr>
          <w:rFonts w:ascii="Calibri" w:cs="Calibri" w:eastAsia="Calibri" w:hAnsi="Calibri"/>
          <w:b/>
          <w:bCs/>
          <w:color w:val="3F3F3F"/>
          <w:sz w:val="24"/>
          <w:szCs w:val="24"/>
        </w:rPr>
        <w:t xml:space="preserve">Confidence score</w:t>
      </w:r>
    </w:p>
    <w:p>
      <w:pPr>
        <w:spacing w:after="120" w:line="276"/>
      </w:pPr>
      <w:r>
        <w:rPr>
          <w:rFonts w:ascii="Calibri" w:cs="Calibri" w:eastAsia="Calibri" w:hAnsi="Calibri"/>
          <w:b w:val="false"/>
          <w:bCs w:val="false"/>
          <w:i w:val="false"/>
          <w:iCs w:val="false"/>
          <w:color w:val="000000"/>
          <w:sz w:val="21"/>
          <w:szCs w:val="21"/>
        </w:rPr>
        <w:t xml:space="preserve">A confidence score is an estimate — produced by the model or the surrounding system — of how likely a given answer is to be correct or well-supported. In a RAG system, this is often tied to how closely the retrieved documents actually matched the question.</w:t>
      </w:r>
    </w:p>
    <w:p>
      <w:pPr>
        <w:pStyle w:val="Heading2"/>
        <w:spacing w:after="120" w:before="260"/>
      </w:pPr>
      <w:r>
        <w:rPr>
          <w:rFonts w:ascii="Calibri" w:cs="Calibri" w:eastAsia="Calibri" w:hAnsi="Calibri"/>
          <w:b/>
          <w:bCs/>
          <w:color w:val="3F3F3F"/>
          <w:sz w:val="24"/>
          <w:szCs w:val="24"/>
        </w:rPr>
        <w:t xml:space="preserve">Risk score of an AI output</w:t>
      </w:r>
    </w:p>
    <w:p>
      <w:pPr>
        <w:spacing w:after="120" w:line="276"/>
      </w:pPr>
      <w:r>
        <w:rPr>
          <w:rFonts w:ascii="Calibri" w:cs="Calibri" w:eastAsia="Calibri" w:hAnsi="Calibri"/>
          <w:b w:val="false"/>
          <w:bCs w:val="false"/>
          <w:i w:val="false"/>
          <w:iCs w:val="false"/>
          <w:color w:val="000000"/>
          <w:sz w:val="21"/>
          <w:szCs w:val="21"/>
        </w:rPr>
        <w:t xml:space="preserve">A risk score combines two things: how likely the answer is to be wrong (confidence), and how costly it would be if it were wrong (the sensitivity of the domain). A low-confidence answer about a lunch-menu FAQ is low risk. A low-confidence answer about a regulatory filing or a customer's bill is high risk — which is exactly why Use Case 7 (Regulatory Compliance Monitoring) and Use Case 4 (Billing Disputes) both keep a human in the loop before anything is sent.</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G. Guardrails — The Seatbelts of GenAI Systems</w:t>
      </w:r>
    </w:p>
    <w:p>
      <w:pPr>
        <w:spacing w:after="120" w:line="276"/>
      </w:pPr>
      <w:r>
        <w:rPr>
          <w:rFonts w:ascii="Calibri" w:cs="Calibri" w:eastAsia="Calibri" w:hAnsi="Calibri"/>
          <w:b w:val="false"/>
          <w:bCs w:val="false"/>
          <w:i w:val="false"/>
          <w:iCs w:val="false"/>
          <w:color w:val="000000"/>
          <w:sz w:val="21"/>
          <w:szCs w:val="21"/>
        </w:rPr>
        <w:t xml:space="preserve">A guardrail is any control that keeps a GenAI system's behaviour within safe, intended limits — the way a seatbelt doesn't prevent every accident, but limits the damage when something goes wrong. Enterprise systems layer several kinds together.</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750"/>
        <w:gridCol w:w="3800"/>
        <w:gridCol w:w="3800"/>
      </w:tblGrid>
      <w:tr>
        <w:trPr>
          <w:tblHeader/>
        </w:trPr>
        <w:tc>
          <w:tcPr>
            <w:tcW w:type="dxa" w:w="17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Guardrail type</w:t>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does</w:t>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Example from this program's use cases</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Input guardrails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Screen what goes into the model — detect and redact PII, block prompt-injection attempts hidden in retrieved documents.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Use Case 3: no engineer credentials stored in the pipeline</w:t>
            </w:r>
          </w:p>
        </w:tc>
      </w:tr>
      <w:tr>
        <w:tc>
          <w:tcPr>
            <w:tcW w:type="dxa" w:w="1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Output guardrails</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Screen what comes out — enforce citation requirements, run schema/format validation, filter disallowed content before delivery.</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Use Case 4: every resolution draft is cited to a specific policy clause</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Topical / refusal guardrails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Make the system say “I don't know” or refuse to speculate rather than guessing on out-of-scope questions.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Use Case 2: the customer care agent refuses to speculate on billing disputes it can't verify</w:t>
            </w:r>
          </w:p>
        </w:tc>
      </w:tr>
      <w:tr>
        <w:tc>
          <w:tcPr>
            <w:tcW w:type="dxa" w:w="1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Operational guardrails</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Audit logging, rate limits, human-in-the-loop checkpoints before a risky action is taken.</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Use Case 7: an audit log captures every query, document, and response for regulatory review</w:t>
            </w:r>
          </w:p>
        </w:tc>
      </w:tr>
      <w:tr>
        <w:tc>
          <w:tcPr>
            <w:tcW w:type="dxa" w:w="1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Secure coding guardrails</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Engineering-discipline rules applied to the code that wraps the model, not the model itself.</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See list below</w:t>
            </w:r>
          </w:p>
        </w:tc>
      </w:tr>
    </w:tbl>
    <w:p>
      <w:pPr>
        <w:spacing w:after="120"/>
      </w:pPr>
    </w:p>
    <w:p>
      <w:pPr>
        <w:spacing w:after="80"/>
      </w:pPr>
      <w:r>
        <w:rPr>
          <w:rFonts w:ascii="Calibri" w:cs="Calibri" w:eastAsia="Calibri" w:hAnsi="Calibri"/>
          <w:b/>
          <w:bCs/>
          <w:color w:val="595959"/>
          <w:sz w:val="20"/>
          <w:szCs w:val="20"/>
        </w:rPr>
        <w:t xml:space="preserve">Secure coding guardrails — non-negotiable habits for this programme's labs:</w:t>
      </w:r>
    </w:p>
    <w:p>
      <w:pPr>
        <w:pStyle w:val="ListParagraph"/>
        <w:numPr>
          <w:ilvl w:val="0"/>
          <w:numId w:val="2"/>
        </w:numPr>
        <w:spacing w:after="60"/>
      </w:pPr>
      <w:r>
        <w:rPr>
          <w:rFonts w:ascii="Calibri" w:cs="Calibri" w:eastAsia="Calibri" w:hAnsi="Calibri"/>
          <w:color w:val="000000"/>
          <w:sz w:val="21"/>
          <w:szCs w:val="21"/>
        </w:rPr>
        <w:t xml:space="preserve">Never hard-code credentials, API keys, or secrets in source files — use environment variables or a secrets manager</w:t>
      </w:r>
    </w:p>
    <w:p>
      <w:pPr>
        <w:pStyle w:val="ListParagraph"/>
        <w:numPr>
          <w:ilvl w:val="0"/>
          <w:numId w:val="2"/>
        </w:numPr>
        <w:spacing w:after="60"/>
      </w:pPr>
      <w:r>
        <w:rPr>
          <w:rFonts w:ascii="Calibri" w:cs="Calibri" w:eastAsia="Calibri" w:hAnsi="Calibri"/>
          <w:color w:val="000000"/>
          <w:sz w:val="21"/>
          <w:szCs w:val="21"/>
        </w:rPr>
        <w:t xml:space="preserve">Use clear, descriptive names for variables, functions, and reports — e.g., extract_sla_clauses(), not do_stuff()</w:t>
      </w:r>
    </w:p>
    <w:p>
      <w:pPr>
        <w:pStyle w:val="ListParagraph"/>
        <w:numPr>
          <w:ilvl w:val="0"/>
          <w:numId w:val="2"/>
        </w:numPr>
        <w:spacing w:after="60"/>
      </w:pPr>
      <w:r>
        <w:rPr>
          <w:rFonts w:ascii="Calibri" w:cs="Calibri" w:eastAsia="Calibri" w:hAnsi="Calibri"/>
          <w:color w:val="000000"/>
          <w:sz w:val="21"/>
          <w:szCs w:val="21"/>
        </w:rPr>
        <w:t xml:space="preserve">Validate and sanitise any content retrieved from external documents before passing it back into a prompt — treat retrieved content as untrusted input</w:t>
      </w:r>
    </w:p>
    <w:p>
      <w:pPr>
        <w:pStyle w:val="ListParagraph"/>
        <w:numPr>
          <w:ilvl w:val="0"/>
          <w:numId w:val="2"/>
        </w:numPr>
        <w:spacing w:after="60"/>
      </w:pPr>
      <w:r>
        <w:rPr>
          <w:rFonts w:ascii="Calibri" w:cs="Calibri" w:eastAsia="Calibri" w:hAnsi="Calibri"/>
          <w:color w:val="000000"/>
          <w:sz w:val="21"/>
          <w:szCs w:val="21"/>
        </w:rPr>
        <w:t xml:space="preserve">Log enough to debug an issue later, but never log PII or secrets in plain text</w:t>
      </w:r>
    </w:p>
    <w:p>
      <w:pPr>
        <w:pStyle w:val="ListParagraph"/>
        <w:numPr>
          <w:ilvl w:val="0"/>
          <w:numId w:val="2"/>
        </w:numPr>
        <w:spacing w:after="60"/>
      </w:pPr>
      <w:r>
        <w:rPr>
          <w:rFonts w:ascii="Calibri" w:cs="Calibri" w:eastAsia="Calibri" w:hAnsi="Calibri"/>
          <w:color w:val="000000"/>
          <w:sz w:val="21"/>
          <w:szCs w:val="21"/>
        </w:rPr>
        <w:t xml:space="preserve">Keep functions single-purpose and small enough that a reviewer can understand intent at a glance</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Hands-On Activity (15 minutes)</w:t>
      </w:r>
    </w:p>
    <w:p>
      <w:pPr>
        <w:spacing w:after="120" w:line="276"/>
      </w:pPr>
      <w:r>
        <w:rPr>
          <w:rFonts w:ascii="Calibri" w:cs="Calibri" w:eastAsia="Calibri" w:hAnsi="Calibri"/>
          <w:b w:val="false"/>
          <w:bCs w:val="false"/>
          <w:i w:val="false"/>
          <w:iCs w:val="false"/>
          <w:color w:val="000000"/>
          <w:sz w:val="21"/>
          <w:szCs w:val="21"/>
        </w:rPr>
        <w:t xml:space="preserve">In pairs, pick one of the 10 NCS Telco+ use cases (from the reference document shared with this cohort) and fill in the table below.</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4675"/>
        <w:gridCol w:w="4675"/>
      </w:tblGrid>
      <w:tr>
        <w:trPr>
          <w:tblHeader/>
        </w:trPr>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Question</w:t>
            </w:r>
          </w:p>
        </w:tc>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Your answer</w:t>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bl>
    <w:p>
      <w:pPr>
        <w:spacing w:after="140"/>
      </w:pPr>
    </w:p>
    <w:p>
      <w:pPr>
        <w:spacing w:after="120" w:line="276"/>
      </w:pPr>
      <w:r>
        <w:rPr>
          <w:rFonts w:ascii="Calibri" w:cs="Calibri" w:eastAsia="Calibri" w:hAnsi="Calibri"/>
          <w:b w:val="false"/>
          <w:bCs w:val="false"/>
          <w:i/>
          <w:iCs/>
          <w:color w:val="000000"/>
          <w:sz w:val="21"/>
          <w:szCs w:val="21"/>
        </w:rPr>
        <w:t xml:space="preserve">Suggested prompts for the rows above: Which of pretraining, fine-tuning, or RAG does this use case rely on? What data source(s) — structured or unstructured — feed its retrieval layer? What's one guardrail this use case absolutely needs, and why?</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Reflection Questions (5 minutes)</w:t>
      </w:r>
    </w:p>
    <w:p>
      <w:pPr>
        <w:pStyle w:val="ListParagraph"/>
        <w:numPr>
          <w:ilvl w:val="0"/>
          <w:numId w:val="2"/>
        </w:numPr>
        <w:spacing w:after="60"/>
      </w:pPr>
      <w:r>
        <w:rPr>
          <w:rFonts w:ascii="Calibri" w:cs="Calibri" w:eastAsia="Calibri" w:hAnsi="Calibri"/>
          <w:color w:val="000000"/>
          <w:sz w:val="21"/>
          <w:szCs w:val="21"/>
        </w:rPr>
        <w:t xml:space="preserve">1. In the HR-policy scenario, explain in your own words why RAG solves the problem faster and cheaper than fine-tuning.</w:t>
      </w:r>
    </w:p>
    <w:p>
      <w:pPr>
        <w:pStyle w:val="ListParagraph"/>
        <w:numPr>
          <w:ilvl w:val="0"/>
          <w:numId w:val="2"/>
        </w:numPr>
        <w:spacing w:after="60"/>
      </w:pPr>
      <w:r>
        <w:rPr>
          <w:rFonts w:ascii="Calibri" w:cs="Calibri" w:eastAsia="Calibri" w:hAnsi="Calibri"/>
          <w:color w:val="000000"/>
          <w:sz w:val="21"/>
          <w:szCs w:val="21"/>
        </w:rPr>
        <w:t xml:space="preserve">2. Give an example of a question where high recall matters more than high precision, and one where the reverse is true.</w:t>
      </w:r>
    </w:p>
    <w:p>
      <w:pPr>
        <w:pStyle w:val="ListParagraph"/>
        <w:numPr>
          <w:ilvl w:val="0"/>
          <w:numId w:val="2"/>
        </w:numPr>
        <w:spacing w:after="60"/>
      </w:pPr>
      <w:r>
        <w:rPr>
          <w:rFonts w:ascii="Calibri" w:cs="Calibri" w:eastAsia="Calibri" w:hAnsi="Calibri"/>
          <w:color w:val="000000"/>
          <w:sz w:val="21"/>
          <w:szCs w:val="21"/>
        </w:rPr>
        <w:t xml:space="preserve">3. Name two guardrail types and match each to a real risk it prevents in a telco customer-care setting.</w:t>
      </w:r>
    </w:p>
    <w:p>
      <w:pPr>
        <w:pStyle w:val="ListParagraph"/>
        <w:numPr>
          <w:ilvl w:val="0"/>
          <w:numId w:val="2"/>
        </w:numPr>
        <w:spacing w:after="60"/>
      </w:pPr>
      <w:r>
        <w:rPr>
          <w:rFonts w:ascii="Calibri" w:cs="Calibri" w:eastAsia="Calibri" w:hAnsi="Calibri"/>
          <w:color w:val="000000"/>
          <w:sz w:val="21"/>
          <w:szCs w:val="21"/>
        </w:rPr>
        <w:t xml:space="preserve">4. Why might an NCS client insist their contract data stay in a SQL database rather than a vector database, or vice versa?</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J. Quick Recap</w:t>
      </w:r>
    </w:p>
    <w:p>
      <w:pPr>
        <w:pStyle w:val="ListParagraph"/>
        <w:numPr>
          <w:ilvl w:val="0"/>
          <w:numId w:val="2"/>
        </w:numPr>
        <w:spacing w:after="60"/>
      </w:pPr>
      <w:r>
        <w:rPr>
          <w:rFonts w:ascii="Calibri" w:cs="Calibri" w:eastAsia="Calibri" w:hAnsi="Calibri"/>
          <w:color w:val="000000"/>
          <w:sz w:val="21"/>
          <w:szCs w:val="21"/>
        </w:rPr>
        <w:t xml:space="preserve">Pretraining builds a model's general knowledge from massive structured and unstructured datasets — and is frozen at a cut-off date.</w:t>
      </w:r>
    </w:p>
    <w:p>
      <w:pPr>
        <w:pStyle w:val="ListParagraph"/>
        <w:numPr>
          <w:ilvl w:val="0"/>
          <w:numId w:val="2"/>
        </w:numPr>
        <w:spacing w:after="60"/>
      </w:pPr>
      <w:r>
        <w:rPr>
          <w:rFonts w:ascii="Calibri" w:cs="Calibri" w:eastAsia="Calibri" w:hAnsi="Calibri"/>
          <w:color w:val="000000"/>
          <w:sz w:val="21"/>
          <w:szCs w:val="21"/>
        </w:rPr>
        <w:t xml:space="preserve">Fine-tuning specialises a model but is costly and slow to repeat every time facts change.</w:t>
      </w:r>
    </w:p>
    <w:p>
      <w:pPr>
        <w:pStyle w:val="ListParagraph"/>
        <w:numPr>
          <w:ilvl w:val="0"/>
          <w:numId w:val="2"/>
        </w:numPr>
        <w:spacing w:after="60"/>
      </w:pPr>
      <w:r>
        <w:rPr>
          <w:rFonts w:ascii="Calibri" w:cs="Calibri" w:eastAsia="Calibri" w:hAnsi="Calibri"/>
          <w:color w:val="000000"/>
          <w:sz w:val="21"/>
          <w:szCs w:val="21"/>
        </w:rPr>
        <w:t xml:space="preserve">RAG keeps answers current and auditable by retrieving trusted documents at question-time — the pattern behind every use case in this programme.</w:t>
      </w:r>
    </w:p>
    <w:p>
      <w:pPr>
        <w:pStyle w:val="ListParagraph"/>
        <w:numPr>
          <w:ilvl w:val="0"/>
          <w:numId w:val="2"/>
        </w:numPr>
        <w:spacing w:after="60"/>
      </w:pPr>
      <w:r>
        <w:rPr>
          <w:rFonts w:ascii="Calibri" w:cs="Calibri" w:eastAsia="Calibri" w:hAnsi="Calibri"/>
          <w:color w:val="000000"/>
          <w:sz w:val="21"/>
          <w:szCs w:val="21"/>
        </w:rPr>
        <w:t xml:space="preserve">SQL and vector databases solve different problems — exact structured lookups versus meaning-based search.</w:t>
      </w:r>
    </w:p>
    <w:p>
      <w:pPr>
        <w:pStyle w:val="ListParagraph"/>
        <w:numPr>
          <w:ilvl w:val="0"/>
          <w:numId w:val="2"/>
        </w:numPr>
        <w:spacing w:after="60"/>
      </w:pPr>
      <w:r>
        <w:rPr>
          <w:rFonts w:ascii="Calibri" w:cs="Calibri" w:eastAsia="Calibri" w:hAnsi="Calibri"/>
          <w:color w:val="000000"/>
          <w:sz w:val="21"/>
          <w:szCs w:val="21"/>
        </w:rPr>
        <w:t xml:space="preserve">Accuracy, precision, recall, and F1 each tell a different part of the story about a model's real-world performance.</w:t>
      </w:r>
    </w:p>
    <w:p>
      <w:pPr>
        <w:pStyle w:val="ListParagraph"/>
        <w:numPr>
          <w:ilvl w:val="0"/>
          <w:numId w:val="2"/>
        </w:numPr>
        <w:spacing w:after="60"/>
      </w:pPr>
      <w:r>
        <w:rPr>
          <w:rFonts w:ascii="Calibri" w:cs="Calibri" w:eastAsia="Calibri" w:hAnsi="Calibri"/>
          <w:color w:val="000000"/>
          <w:sz w:val="21"/>
          <w:szCs w:val="21"/>
        </w:rPr>
        <w:t xml:space="preserve">Guardrails — input, output, topical, operational, and secure coding — work together to keep GenAI systems safe in production.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2026-08-05T16:47:58.063Z</dcterms:created>
  <dcterms:modified xsi:type="dcterms:W3CDTF">2026-08-05T16:47:58.079Z</dcterms:modified>
</cp:coreProperties>
</file>

<file path=docProps/custom.xml><?xml version="1.0" encoding="utf-8"?>
<Properties xmlns="http://schemas.openxmlformats.org/officeDocument/2006/custom-properties" xmlns:vt="http://schemas.openxmlformats.org/officeDocument/2006/docPropsVTypes"/>
</file>