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PRACTICE SHEET 4 OF 5  —  DAY 1</w:t>
      </w:r>
    </w:p>
    <w:p>
      <w:pPr>
        <w:spacing w:after="40"/>
        <w:jc w:val="center"/>
      </w:pPr>
      <w:r>
        <w:rPr>
          <w:rFonts w:ascii="Calibri" w:cs="Calibri" w:eastAsia="Calibri" w:hAnsi="Calibri"/>
          <w:b/>
          <w:bCs/>
          <w:color w:val="000000"/>
          <w:sz w:val="36"/>
          <w:szCs w:val="36"/>
        </w:rPr>
        <w:t xml:space="preserve">Prompt Basics &amp; Choosing the Right Model</w:t>
      </w:r>
    </w:p>
    <w:p>
      <w:pPr>
        <w:spacing w:after="200"/>
        <w:jc w:val="center"/>
      </w:pPr>
      <w:r>
        <w:rPr>
          <w:rFonts w:ascii="Calibri" w:cs="Calibri" w:eastAsia="Calibri" w:hAnsi="Calibri"/>
          <w:i/>
          <w:iCs/>
          <w:color w:val="595959"/>
          <w:sz w:val="20"/>
          <w:szCs w:val="20"/>
        </w:rPr>
        <w:t xml:space="preserve">Module 1–2 Bridge  |  Closing Session of Day 1  |  Duration: ~55 minutes</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Where this fits, and a note on currency</w:t>
            </w:r>
          </w:p>
          <w:p>
            <w:r>
              <w:rPr>
                <w:rFonts w:ascii="Calibri" w:cs="Calibri" w:eastAsia="Calibri" w:hAnsi="Calibri"/>
                <w:color w:val="000000"/>
                <w:sz w:val="20"/>
                <w:szCs w:val="20"/>
              </w:rPr>
              <w:t xml:space="preserve">This sheet does two things: gives you a light first pass at prompt engineering (the full treatment is Module 2), and gives you an accurate, current snapshot of what models actually exist under each tool as of August 2026. Model lineups change fast — some models referenced in older course material (like GPT-4o) have already been retired. Treat the naming logic in Section C as the durable lesson; treat the specific model names in Section D as “correct as of today, verify before you teach this next time.”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Before You Start</w:t>
      </w:r>
    </w:p>
    <w:p>
      <w:pPr>
        <w:spacing w:after="120" w:line="276"/>
      </w:pPr>
      <w:r>
        <w:rPr>
          <w:rFonts w:ascii="Calibri" w:cs="Calibri" w:eastAsia="Calibri" w:hAnsi="Calibri"/>
          <w:b w:val="false"/>
          <w:bCs w:val="false"/>
          <w:i w:val="false"/>
          <w:iCs w:val="false"/>
          <w:color w:val="000000"/>
          <w:sz w:val="21"/>
          <w:szCs w:val="21"/>
        </w:rPr>
        <w:t xml:space="preserve">Sections B is a light-touch introduction to prompt engineering — enough to make tomorrow's hands-on work easier, without stepping on Module 2's full treatment. Sections C–F return to where Sheet 1 left off: choosing the right model, and understanding exactly how enterprise agreements keep your data out of training.</w:t>
      </w:r>
    </w:p>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B. Prompt Engineering — A First Pass</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Asking a GenAI tool a question is a bit like giving directions to a very literal, very fast new colleague who has never met you before. “Write something about our network” gets you something generic. “Write a 3-sentence update for a NOC shift-handover report, in a calm factual tone, listing only unresolved incidents from the last 8 hours” gets you something useful. The difference is entirely in how the instruction is built — not in the tool being smarter or dumber.</w:t>
      </w:r>
    </w:p>
    <w:p>
      <w:pPr>
        <w:pStyle w:val="Heading2"/>
        <w:spacing w:after="120" w:before="260"/>
      </w:pPr>
      <w:r>
        <w:rPr>
          <w:rFonts w:ascii="Calibri" w:cs="Calibri" w:eastAsia="Calibri" w:hAnsi="Calibri"/>
          <w:b/>
          <w:bCs/>
          <w:color w:val="3F3F3F"/>
          <w:sz w:val="24"/>
          <w:szCs w:val="24"/>
        </w:rPr>
        <w:t xml:space="preserve">Anatomy of a good prompt</w:t>
      </w: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3550"/>
        <w:gridCol w:w="3225"/>
      </w:tblGrid>
      <w:tr>
        <w:trPr>
          <w:tblHeader/>
        </w:trPr>
        <w:tc>
          <w:tcPr>
            <w:tcW w:type="dxa" w:w="19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Part</w:t>
            </w:r>
          </w:p>
        </w:tc>
        <w:tc>
          <w:tcPr>
            <w:tcW w:type="dxa" w:w="35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does</w:t>
            </w:r>
          </w:p>
        </w:tc>
        <w:tc>
          <w:tcPr>
            <w:tcW w:type="dxa" w:w="322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Example</w:t>
            </w:r>
          </w:p>
        </w:tc>
      </w:tr>
      <w:tr>
        <w:tc>
          <w:tcPr>
            <w:tcW w:type="dxa" w:w="1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Instruction</w:t>
            </w:r>
          </w:p>
        </w:tc>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actual task you want done</w:t>
            </w:r>
          </w:p>
        </w:tc>
        <w:tc>
          <w:tcPr>
            <w:tcW w:type="dxa" w:w="322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“Summarise the incidents below”</w:t>
            </w:r>
          </w:p>
        </w:tc>
      </w:tr>
      <w:tr>
        <w:tc>
          <w:tcPr>
            <w:tcW w:type="dxa" w:w="1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Context</w:t>
            </w:r>
          </w:p>
        </w:tc>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Background the model needs to do the task well</w:t>
            </w:r>
          </w:p>
        </w:tc>
        <w:tc>
          <w:tcPr>
            <w:tcW w:type="dxa" w:w="322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“This is for a NOC shift-handover report read by the next engineer”</w:t>
            </w:r>
          </w:p>
        </w:tc>
      </w:tr>
      <w:tr>
        <w:tc>
          <w:tcPr>
            <w:tcW w:type="dxa" w:w="1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Input</w:t>
            </w:r>
          </w:p>
        </w:tc>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actual content to work on</w:t>
            </w:r>
          </w:p>
        </w:tc>
        <w:tc>
          <w:tcPr>
            <w:tcW w:type="dxa" w:w="322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raw incident log text</w:t>
            </w:r>
          </w:p>
        </w:tc>
      </w:tr>
      <w:tr>
        <w:tc>
          <w:tcPr>
            <w:tcW w:type="dxa" w:w="1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Output format</w:t>
            </w:r>
          </w:p>
        </w:tc>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How you want the answer shaped</w:t>
            </w:r>
          </w:p>
        </w:tc>
        <w:tc>
          <w:tcPr>
            <w:tcW w:type="dxa" w:w="322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“Return as 3 bullet points, under 20 words each”</w:t>
            </w:r>
          </w:p>
        </w:tc>
      </w:tr>
    </w:tbl>
    <w:p>
      <w:pPr>
        <w:spacing w:after="140"/>
      </w:pPr>
    </w:p>
    <w:p>
      <w:pPr>
        <w:pStyle w:val="Heading2"/>
        <w:spacing w:after="120" w:before="260"/>
      </w:pPr>
      <w:r>
        <w:rPr>
          <w:rFonts w:ascii="Calibri" w:cs="Calibri" w:eastAsia="Calibri" w:hAnsi="Calibri"/>
          <w:b/>
          <w:bCs/>
          <w:color w:val="3F3F3F"/>
          <w:sz w:val="24"/>
          <w:szCs w:val="24"/>
        </w:rPr>
        <w:t xml:space="preserve">A few core techniques you'll use constantly</w:t>
      </w:r>
    </w:p>
    <w:p>
      <w:pPr>
        <w:pStyle w:val="ListParagraph"/>
        <w:numPr>
          <w:ilvl w:val="0"/>
          <w:numId w:val="2"/>
        </w:numPr>
        <w:spacing w:after="60"/>
      </w:pPr>
      <w:r>
        <w:rPr>
          <w:rFonts w:ascii="Calibri" w:cs="Calibri" w:eastAsia="Calibri" w:hAnsi="Calibri"/>
          <w:color w:val="000000"/>
          <w:sz w:val="21"/>
          <w:szCs w:val="21"/>
        </w:rPr>
        <w:t xml:space="preserve">Zero-shot: just ask directly, with no examples — fine for simple, well-defined tasks</w:t>
      </w:r>
    </w:p>
    <w:p>
      <w:pPr>
        <w:pStyle w:val="ListParagraph"/>
        <w:numPr>
          <w:ilvl w:val="0"/>
          <w:numId w:val="2"/>
        </w:numPr>
        <w:spacing w:after="60"/>
      </w:pPr>
      <w:r>
        <w:rPr>
          <w:rFonts w:ascii="Calibri" w:cs="Calibri" w:eastAsia="Calibri" w:hAnsi="Calibri"/>
          <w:color w:val="000000"/>
          <w:sz w:val="21"/>
          <w:szCs w:val="21"/>
        </w:rPr>
        <w:t xml:space="preserve">Few-shot: show the model 2–3 examples of the input/output pattern you want before giving it the real task — dramatically improves consistency on structured tasks</w:t>
      </w:r>
    </w:p>
    <w:p>
      <w:pPr>
        <w:pStyle w:val="ListParagraph"/>
        <w:numPr>
          <w:ilvl w:val="0"/>
          <w:numId w:val="2"/>
        </w:numPr>
        <w:spacing w:after="60"/>
      </w:pPr>
      <w:r>
        <w:rPr>
          <w:rFonts w:ascii="Calibri" w:cs="Calibri" w:eastAsia="Calibri" w:hAnsi="Calibri"/>
          <w:color w:val="000000"/>
          <w:sz w:val="21"/>
          <w:szCs w:val="21"/>
        </w:rPr>
        <w:t xml:space="preserve">Role-based / system prompting: tell the model who it is and how it should behave — “You are a telecom compliance assistant. Only answer from the provided policy text; say ‘I don't know’ otherwise.”</w:t>
      </w:r>
    </w:p>
    <w:p>
      <w:pPr>
        <w:pStyle w:val="ListParagraph"/>
        <w:numPr>
          <w:ilvl w:val="0"/>
          <w:numId w:val="2"/>
        </w:numPr>
        <w:spacing w:after="60"/>
      </w:pPr>
      <w:r>
        <w:rPr>
          <w:rFonts w:ascii="Calibri" w:cs="Calibri" w:eastAsia="Calibri" w:hAnsi="Calibri"/>
          <w:color w:val="000000"/>
          <w:sz w:val="21"/>
          <w:szCs w:val="21"/>
        </w:rPr>
        <w:t xml:space="preserve">Chain-of-thought: ask the model to reason step by step before giving a final answer — improves accuracy on multi-step problems</w:t>
      </w:r>
    </w:p>
    <w:p>
      <w:pPr>
        <w:pStyle w:val="ListParagraph"/>
        <w:numPr>
          <w:ilvl w:val="0"/>
          <w:numId w:val="2"/>
        </w:numPr>
        <w:spacing w:after="60"/>
      </w:pPr>
      <w:r>
        <w:rPr>
          <w:rFonts w:ascii="Calibri" w:cs="Calibri" w:eastAsia="Calibri" w:hAnsi="Calibri"/>
          <w:color w:val="000000"/>
          <w:sz w:val="21"/>
          <w:szCs w:val="21"/>
        </w:rPr>
        <w:t xml:space="preserve">Structured output prompting: explicitly ask for JSON or a markdown table when the output needs to plug into another system</w:t>
      </w:r>
    </w:p>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Try it right now</w:t>
            </w:r>
          </w:p>
          <w:p>
            <w:r>
              <w:rPr>
                <w:rFonts w:ascii="Calibri" w:cs="Calibri" w:eastAsia="Calibri" w:hAnsi="Calibri"/>
                <w:color w:val="000000"/>
                <w:sz w:val="20"/>
                <w:szCs w:val="20"/>
              </w:rPr>
              <w:t xml:space="preserve">Take the vague instruction “Tell me about billing disputes” and rewrite it using all four anatomy parts above, aimed at Use Case 4 (Billing Dispute Classifier). Then run both the vague and the engineered version in your tool from Sheet 1 and compare.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C. How Model Naming Actually Works</w:t>
      </w:r>
    </w:p>
    <w:p>
      <w:pPr>
        <w:spacing w:after="120" w:line="276"/>
      </w:pPr>
      <w:r>
        <w:rPr>
          <w:rFonts w:ascii="Calibri" w:cs="Calibri" w:eastAsia="Calibri" w:hAnsi="Calibri"/>
          <w:b w:val="false"/>
          <w:bCs w:val="false"/>
          <w:i w:val="false"/>
          <w:iCs w:val="false"/>
          <w:color w:val="000000"/>
          <w:sz w:val="21"/>
          <w:szCs w:val="21"/>
        </w:rPr>
        <w:t xml:space="preserve">Every provider uses its own naming logic, but the underlying pattern repeats everywhere: a generation number for the underlying architecture, a tier word for how capable (and expensive) the variant is, and sometimes a further suffix for a specialised purpose.</w:t>
      </w:r>
    </w:p>
    <w:p>
      <w:pPr>
        <w:spacing w:after="80"/>
      </w:pP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3550"/>
        <w:gridCol w:w="5125"/>
      </w:tblGrid>
      <w:tr>
        <w:trPr>
          <w:tblHeader/>
        </w:trPr>
        <w:tc>
          <w:tcPr>
            <w:tcW w:type="dxa" w:w="35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Naming signal</w:t>
            </w:r>
          </w:p>
        </w:tc>
        <w:tc>
          <w:tcPr>
            <w:tcW w:type="dxa" w:w="512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usually means</w:t>
            </w:r>
          </w:p>
        </w:tc>
      </w:tr>
      <w:tr>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larger generation number (e.g., 4 → 5, 3 → 3.1)</w:t>
            </w:r>
          </w:p>
        </w:tc>
        <w:tc>
          <w:tcPr>
            <w:tcW w:type="dxa" w:w="512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newer base architecture — generally more capable across the board</w:t>
            </w:r>
          </w:p>
        </w:tc>
      </w:tr>
      <w:tr>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“Pro” / “Opus” / no suffix (flagship)</w:t>
            </w:r>
          </w:p>
        </w:tc>
        <w:tc>
          <w:tcPr>
            <w:tcW w:type="dxa" w:w="512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most capable, most expensive tier in that generation — best for complex reasoning</w:t>
            </w:r>
          </w:p>
        </w:tc>
      </w:tr>
      <w:tr>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“Mini” / “Flash” / “Sonnet” (balanced tier)</w:t>
            </w:r>
          </w:p>
        </w:tc>
        <w:tc>
          <w:tcPr>
            <w:tcW w:type="dxa" w:w="512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Faster and cheaper than the flagship, with most of the capability — the everyday workhorse</w:t>
            </w:r>
          </w:p>
        </w:tc>
      </w:tr>
      <w:tr>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“Nano” / “Flash-Lite” / “Haiku” (smallest tier)</w:t>
            </w:r>
          </w:p>
        </w:tc>
        <w:tc>
          <w:tcPr>
            <w:tcW w:type="dxa" w:w="512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fastest, cheapest variant — built for high-volume, simple tasks</w:t>
            </w:r>
          </w:p>
        </w:tc>
      </w:tr>
      <w:tr>
        <w:tc>
          <w:tcPr>
            <w:tcW w:type="dxa" w:w="35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decimal point-release (e.g., 5.4 → 5.5)</w:t>
            </w:r>
          </w:p>
        </w:tc>
        <w:tc>
          <w:tcPr>
            <w:tcW w:type="dxa" w:w="512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 incremental refinement of the same generation — usually better quality or lower cost, not a new architecture</w:t>
            </w:r>
          </w:p>
        </w:tc>
      </w:tr>
      <w:tr>
        <w:tc>
          <w:tcPr>
            <w:tcW w:type="dxa" w:w="35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“Thinking” / “Reasoning” / “Deep Think” modes</w:t>
            </w:r>
          </w:p>
        </w:tc>
        <w:tc>
          <w:tcPr>
            <w:tcW w:type="dxa" w:w="512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same underlying model given more time and steps to reason before answering — slower and pricier, but more accurate on hard problems</w:t>
            </w:r>
          </w:p>
        </w:tc>
      </w:tr>
    </w:tbl>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A real example of how fast this moves</w:t>
            </w:r>
          </w:p>
          <w:p>
            <w:r>
              <w:rPr>
                <w:rFonts w:ascii="Calibri" w:cs="Calibri" w:eastAsia="Calibri" w:hAnsi="Calibri"/>
                <w:color w:val="000000"/>
                <w:sz w:val="20"/>
                <w:szCs w:val="20"/>
              </w:rPr>
              <w:t xml:space="preserve">Earlier NCS course materials reference GPT-4o and GPT-4.1 (OpenAI's flagship models through 2025). Both were retired from ChatGPT on 13 February 2026, replaced by the GPT-5 family. This isn't a mistake in older material — it's exactly why Section D below is dated, and why picking a model is a decision engineers must keep revisiting, not something to memorise once.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D. Meet the Models — Current Lineup (as of August 2026)</w:t>
      </w:r>
    </w:p>
    <w:p>
      <w:pPr>
        <w:spacing w:after="120" w:line="276"/>
      </w:pPr>
      <w:r>
        <w:rPr>
          <w:rFonts w:ascii="Calibri" w:cs="Calibri" w:eastAsia="Calibri" w:hAnsi="Calibri"/>
          <w:b w:val="false"/>
          <w:bCs w:val="false"/>
          <w:i w:val="false"/>
          <w:iCs w:val="false"/>
          <w:color w:val="000000"/>
          <w:sz w:val="21"/>
          <w:szCs w:val="21"/>
        </w:rPr>
        <w:t xml:space="preserve">At least five models under each major provider, from smallest/cheapest to largest/most capable:</w:t>
      </w:r>
    </w:p>
    <w:p>
      <w:pPr>
        <w:pStyle w:val="Heading2"/>
        <w:spacing w:after="120" w:before="260"/>
      </w:pPr>
      <w:r>
        <w:rPr>
          <w:rFonts w:ascii="Calibri" w:cs="Calibri" w:eastAsia="Calibri" w:hAnsi="Calibri"/>
          <w:b/>
          <w:bCs/>
          <w:color w:val="3F3F3F"/>
          <w:sz w:val="24"/>
          <w:szCs w:val="24"/>
        </w:rPr>
        <w:t xml:space="preserve">OpenAI (ChatGPT)</w:t>
      </w: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2200"/>
        <w:gridCol w:w="3275"/>
      </w:tblGrid>
      <w:tr>
        <w:trPr>
          <w:tblHeader/>
        </w:trPr>
        <w:tc>
          <w:tcPr>
            <w:tcW w:type="dxa" w:w="3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Model</w:t>
            </w:r>
          </w:p>
        </w:tc>
        <w:tc>
          <w:tcPr>
            <w:tcW w:type="dxa" w:w="2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Tier</w:t>
            </w:r>
          </w:p>
        </w:tc>
        <w:tc>
          <w:tcPr>
            <w:tcW w:type="dxa" w:w="32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Best for</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GPT-5.4 nano</w:t>
            </w:r>
          </w:p>
        </w:tc>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Smallest / cheapest</w:t>
            </w:r>
          </w:p>
        </w:tc>
        <w:tc>
          <w:tcPr>
            <w:tcW w:type="dxa" w:w="32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High-volume, simple classification or extraction tasks</w:t>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GPT-5.4 mini</w:t>
            </w:r>
          </w:p>
        </w:tc>
        <w:tc>
          <w:tcPr>
            <w:tcW w:type="dxa" w:w="2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Balanced / free-tier default</w:t>
            </w:r>
          </w:p>
        </w:tc>
        <w:tc>
          <w:tcPr>
            <w:tcW w:type="dxa" w:w="32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Everyday drafting and Q&amp;A at low cost</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GPT-5.4</w:t>
            </w:r>
          </w:p>
        </w:tc>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Workhorse</w:t>
            </w:r>
          </w:p>
        </w:tc>
        <w:tc>
          <w:tcPr>
            <w:tcW w:type="dxa" w:w="32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General enterprise work — the everyday starting point</w:t>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o4-mini / o3 (reasoning / “Thinking” series)</w:t>
            </w:r>
          </w:p>
        </w:tc>
        <w:tc>
          <w:tcPr>
            <w:tcW w:type="dxa" w:w="2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Deep reasoning</w:t>
            </w:r>
          </w:p>
        </w:tc>
        <w:tc>
          <w:tcPr>
            <w:tcW w:type="dxa" w:w="32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Multi-step analytical problems where accuracy matters more than speed</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GPT-5.5 / GPT-5.6 (Sol, Terra, Luna)</w:t>
            </w:r>
          </w:p>
        </w:tc>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Flagship / frontier</w:t>
            </w:r>
          </w:p>
        </w:tc>
        <w:tc>
          <w:tcPr>
            <w:tcW w:type="dxa" w:w="32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hardest reasoning, coding, and research-grade tasks</w:t>
            </w:r>
          </w:p>
        </w:tc>
      </w:tr>
    </w:tbl>
    <w:p>
      <w:pPr>
        <w:spacing w:after="120"/>
      </w:pPr>
    </w:p>
    <w:p>
      <w:pPr>
        <w:pStyle w:val="Heading2"/>
        <w:spacing w:after="120" w:before="260"/>
      </w:pPr>
      <w:r>
        <w:rPr>
          <w:rFonts w:ascii="Calibri" w:cs="Calibri" w:eastAsia="Calibri" w:hAnsi="Calibri"/>
          <w:b/>
          <w:bCs/>
          <w:color w:val="3F3F3F"/>
          <w:sz w:val="24"/>
          <w:szCs w:val="24"/>
        </w:rPr>
        <w:t xml:space="preserve">Anthropic (Claude)</w:t>
      </w: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2900"/>
        <w:gridCol w:w="2575"/>
      </w:tblGrid>
      <w:tr>
        <w:trPr>
          <w:tblHeader/>
        </w:trPr>
        <w:tc>
          <w:tcPr>
            <w:tcW w:type="dxa" w:w="3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Model</w:t>
            </w:r>
          </w:p>
        </w:tc>
        <w:tc>
          <w:tcPr>
            <w:tcW w:type="dxa" w:w="29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Tier</w:t>
            </w:r>
          </w:p>
        </w:tc>
        <w:tc>
          <w:tcPr>
            <w:tcW w:type="dxa" w:w="25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Best for</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Claude Haiku 4.5</w:t>
            </w:r>
          </w:p>
        </w:tc>
        <w:tc>
          <w:tcPr>
            <w:tcW w:type="dxa" w:w="2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Smallest / fastest</w:t>
            </w:r>
          </w:p>
        </w:tc>
        <w:tc>
          <w:tcPr>
            <w:tcW w:type="dxa" w:w="25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High-volume, low-latency tasks like quick classification</w:t>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Claude Sonnet 5</w:t>
            </w:r>
          </w:p>
        </w:tc>
        <w:tc>
          <w:tcPr>
            <w:tcW w:type="dxa" w:w="2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Balanced workhorse</w:t>
            </w:r>
          </w:p>
        </w:tc>
        <w:tc>
          <w:tcPr>
            <w:tcW w:type="dxa" w:w="25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Most day-to-day enterprise work — long documents, careful writing, coding</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Claude Opus 4.8</w:t>
            </w:r>
          </w:p>
        </w:tc>
        <w:tc>
          <w:tcPr>
            <w:tcW w:type="dxa" w:w="2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Flagship</w:t>
            </w:r>
          </w:p>
        </w:tc>
        <w:tc>
          <w:tcPr>
            <w:tcW w:type="dxa" w:w="25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hardest reasoning and highest-stakes writing tasks</w:t>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Claude Fable 5</w:t>
            </w:r>
          </w:p>
        </w:tc>
        <w:tc>
          <w:tcPr>
            <w:tcW w:type="dxa" w:w="2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Mythos-tier (safety-hardened)</w:t>
            </w:r>
          </w:p>
        </w:tc>
        <w:tc>
          <w:tcPr>
            <w:tcW w:type="dxa" w:w="25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Same frontier capability as Mythos, with added safeguards for sensitive domains</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Claude Mythos 5</w:t>
            </w:r>
          </w:p>
        </w:tc>
        <w:tc>
          <w:tcPr>
            <w:tcW w:type="dxa" w:w="2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Top-of-line (Mythos tier, limited access)</w:t>
            </w:r>
          </w:p>
        </w:tc>
        <w:tc>
          <w:tcPr>
            <w:tcW w:type="dxa" w:w="25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Anthropic's newest tier above Opus — not yet broadly available</w:t>
            </w:r>
          </w:p>
        </w:tc>
      </w:tr>
    </w:tbl>
    <w:p>
      <w:pPr>
        <w:spacing w:after="120"/>
      </w:pPr>
    </w:p>
    <w:p>
      <w:pPr>
        <w:pStyle w:val="Heading2"/>
        <w:spacing w:after="120" w:before="260"/>
      </w:pPr>
      <w:r>
        <w:rPr>
          <w:rFonts w:ascii="Calibri" w:cs="Calibri" w:eastAsia="Calibri" w:hAnsi="Calibri"/>
          <w:b/>
          <w:bCs/>
          <w:color w:val="3F3F3F"/>
          <w:sz w:val="24"/>
          <w:szCs w:val="24"/>
        </w:rPr>
        <w:t xml:space="preserve">Google (Gemini)</w:t>
      </w: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2500"/>
        <w:gridCol w:w="2975"/>
      </w:tblGrid>
      <w:tr>
        <w:trPr>
          <w:tblHeader/>
        </w:trPr>
        <w:tc>
          <w:tcPr>
            <w:tcW w:type="dxa" w:w="3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Model</w:t>
            </w:r>
          </w:p>
        </w:tc>
        <w:tc>
          <w:tcPr>
            <w:tcW w:type="dxa" w:w="25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Tier</w:t>
            </w:r>
          </w:p>
        </w:tc>
        <w:tc>
          <w:tcPr>
            <w:tcW w:type="dxa" w:w="29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Best for</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Gemini 3.5 Flash-Lite</w:t>
            </w:r>
          </w:p>
        </w:tc>
        <w:tc>
          <w:tcPr>
            <w:tcW w:type="dxa" w:w="2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Smallest / cheapest</w:t>
            </w:r>
          </w:p>
        </w:tc>
        <w:tc>
          <w:tcPr>
            <w:tcW w:type="dxa" w:w="29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Very high-volume, latency-sensitive agentic tasks</w:t>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Gemini 3.6 Flash</w:t>
            </w:r>
          </w:p>
        </w:tc>
        <w:tc>
          <w:tcPr>
            <w:tcW w:type="dxa" w:w="2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Balanced workhorse</w:t>
            </w:r>
          </w:p>
        </w:tc>
        <w:tc>
          <w:tcPr>
            <w:tcW w:type="dxa" w:w="29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Coding and knowledge work at low cost and high speed</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Gemini 3 Flash</w:t>
            </w:r>
          </w:p>
        </w:tc>
        <w:tc>
          <w:tcPr>
            <w:tcW w:type="dxa" w:w="2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Near-flagship speed tier</w:t>
            </w:r>
          </w:p>
        </w:tc>
        <w:tc>
          <w:tcPr>
            <w:tcW w:type="dxa" w:w="29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Complex multimodal and agentic tasks needing strong reasoning fast</w:t>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Gemini 3 Pro</w:t>
            </w:r>
          </w:p>
        </w:tc>
        <w:tc>
          <w:tcPr>
            <w:tcW w:type="dxa" w:w="2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High-capability</w:t>
            </w:r>
          </w:p>
        </w:tc>
        <w:tc>
          <w:tcPr>
            <w:tcW w:type="dxa" w:w="29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Enterprise reasoning and coding work</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Gemini 3.1 Pro</w:t>
            </w:r>
          </w:p>
        </w:tc>
        <w:tc>
          <w:tcPr>
            <w:tcW w:type="dxa" w:w="2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Flagship</w:t>
            </w:r>
          </w:p>
        </w:tc>
        <w:tc>
          <w:tcPr>
            <w:tcW w:type="dxa" w:w="29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largest context window in the lineup — complex, long-document, multi-step work</w:t>
            </w:r>
          </w:p>
        </w:tc>
      </w:tr>
    </w:tbl>
    <w:p>
      <w:pPr>
        <w:spacing w:after="120"/>
      </w:pPr>
    </w:p>
    <w:p>
      <w:pPr>
        <w:pStyle w:val="Heading2"/>
        <w:spacing w:after="120" w:before="260"/>
      </w:pPr>
      <w:r>
        <w:rPr>
          <w:rFonts w:ascii="Calibri" w:cs="Calibri" w:eastAsia="Calibri" w:hAnsi="Calibri"/>
          <w:b/>
          <w:bCs/>
          <w:color w:val="3F3F3F"/>
          <w:sz w:val="24"/>
          <w:szCs w:val="24"/>
        </w:rPr>
        <w:t xml:space="preserve">Perplexity</w:t>
      </w:r>
    </w:p>
    <w:p>
      <w:pPr>
        <w:spacing w:after="120" w:line="276"/>
      </w:pPr>
      <w:r>
        <w:rPr>
          <w:rFonts w:ascii="Calibri" w:cs="Calibri" w:eastAsia="Calibri" w:hAnsi="Calibri"/>
          <w:b w:val="false"/>
          <w:bCs w:val="false"/>
          <w:i w:val="false"/>
          <w:iCs w:val="false"/>
          <w:color w:val="000000"/>
          <w:sz w:val="21"/>
          <w:szCs w:val="21"/>
        </w:rPr>
        <w:t xml:space="preserve">Perplexity is slightly different: alongside its own Sonar family (tuned specifically for search-grounded, cited answers), its Pro Search mode also lets you pick underlying models from OpenAI, Anthropic, and Google directly.</w:t>
      </w: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2900"/>
        <w:gridCol w:w="2400"/>
        <w:gridCol w:w="3375"/>
      </w:tblGrid>
      <w:tr>
        <w:trPr>
          <w:tblHeader/>
        </w:trPr>
        <w:tc>
          <w:tcPr>
            <w:tcW w:type="dxa" w:w="29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Model</w:t>
            </w:r>
          </w:p>
        </w:tc>
        <w:tc>
          <w:tcPr>
            <w:tcW w:type="dxa" w:w="24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Tier</w:t>
            </w:r>
          </w:p>
        </w:tc>
        <w:tc>
          <w:tcPr>
            <w:tcW w:type="dxa" w:w="33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Best for</w:t>
            </w:r>
          </w:p>
        </w:tc>
      </w:tr>
      <w:tr>
        <w:tc>
          <w:tcPr>
            <w:tcW w:type="dxa" w:w="2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Sonar</w:t>
            </w:r>
          </w:p>
        </w:tc>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Lightweight / fast</w:t>
            </w:r>
          </w:p>
        </w:tc>
        <w:tc>
          <w:tcPr>
            <w:tcW w:type="dxa" w:w="33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Quick, cited factual answers and everyday search</w:t>
            </w:r>
          </w:p>
        </w:tc>
      </w:tr>
      <w:tr>
        <w:tc>
          <w:tcPr>
            <w:tcW w:type="dxa" w:w="2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Sonar Pro</w:t>
            </w:r>
          </w:p>
        </w:tc>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Balanced</w:t>
            </w:r>
          </w:p>
        </w:tc>
        <w:tc>
          <w:tcPr>
            <w:tcW w:type="dxa" w:w="33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Deeper multi-step search with a larger context window</w:t>
            </w:r>
          </w:p>
        </w:tc>
      </w:tr>
      <w:tr>
        <w:tc>
          <w:tcPr>
            <w:tcW w:type="dxa" w:w="2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Sonar Reasoning Pro</w:t>
            </w:r>
          </w:p>
        </w:tc>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Deep reasoning</w:t>
            </w:r>
          </w:p>
        </w:tc>
        <w:tc>
          <w:tcPr>
            <w:tcW w:type="dxa" w:w="33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Complex analytical questions needing chain-of-thought</w:t>
            </w:r>
          </w:p>
        </w:tc>
      </w:tr>
      <w:tr>
        <w:tc>
          <w:tcPr>
            <w:tcW w:type="dxa" w:w="2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Sonar Deep Research</w:t>
            </w:r>
          </w:p>
        </w:tc>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Research-grade</w:t>
            </w:r>
          </w:p>
        </w:tc>
        <w:tc>
          <w:tcPr>
            <w:tcW w:type="dxa" w:w="33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Long-form synthesis across hundreds of sources</w:t>
            </w:r>
          </w:p>
        </w:tc>
      </w:tr>
      <w:tr>
        <w:tc>
          <w:tcPr>
            <w:tcW w:type="dxa" w:w="2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R1 1776</w:t>
            </w:r>
          </w:p>
        </w:tc>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Specialised (open-weight based)</w:t>
            </w:r>
          </w:p>
        </w:tc>
        <w:tc>
          <w:tcPr>
            <w:tcW w:type="dxa" w:w="33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Uncensored, open-weight-based reasoning tasks</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E. Pros and Cons — How to Actually Choose</w:t>
      </w:r>
    </w:p>
    <w:p>
      <w:pPr>
        <w:spacing w:after="120" w:line="276"/>
      </w:pPr>
      <w:r>
        <w:rPr>
          <w:rFonts w:ascii="Calibri" w:cs="Calibri" w:eastAsia="Calibri" w:hAnsi="Calibri"/>
          <w:b w:val="false"/>
          <w:bCs w:val="false"/>
          <w:i w:val="false"/>
          <w:iCs w:val="false"/>
          <w:color w:val="000000"/>
          <w:sz w:val="21"/>
          <w:szCs w:val="21"/>
        </w:rPr>
        <w:t xml:space="preserve">Rather than memorising every model name, judge any model along the same three axes every time:</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800"/>
        <w:gridCol w:w="3350"/>
      </w:tblGrid>
      <w:tr>
        <w:trPr>
          <w:tblHeader/>
        </w:trPr>
        <w:tc>
          <w:tcPr>
            <w:tcW w:type="dxa" w:w="2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Axis</w:t>
            </w:r>
          </w:p>
        </w:tc>
        <w:tc>
          <w:tcPr>
            <w:tcW w:type="dxa" w:w="3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to check</w:t>
            </w:r>
          </w:p>
        </w:tc>
        <w:tc>
          <w:tcPr>
            <w:tcW w:type="dxa" w:w="33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Rule of thumb</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Tokens / context window</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How much text (question + retrieved documents) can it handle in one request?</w:t>
            </w:r>
          </w:p>
        </w:tc>
        <w:tc>
          <w:tcPr>
            <w:tcW w:type="dxa" w:w="3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Long SLA or SOP documents need a large context window — check before assuming any model will fit your use case</w:t>
            </w:r>
          </w:p>
        </w:tc>
      </w:tr>
      <w:tr>
        <w:tc>
          <w:tcPr>
            <w:tcW w:type="dxa" w:w="2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Cost (credits / price per token)</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Input and output price per million tokens — output is usually priced higher than input</w:t>
            </w:r>
          </w:p>
        </w:tc>
        <w:tc>
          <w:tcPr>
            <w:tcW w:type="dxa" w:w="33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Use the smallest / cheapest tier that still meets your accuracy bar for high-volume tasks; reserve flagship or reasoning tiers for genuinely hard problems</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Accuracy / reasoning depth</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Benchmark scores, and whether a “Thinking” / “Reasoning” mode is available</w:t>
            </w:r>
          </w:p>
        </w:tc>
        <w:tc>
          <w:tcPr>
            <w:tcW w:type="dxa" w:w="3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If the cost of a wrong answer is high (compliance, billing, safety), pay for the deeper-reasoning tier and keep a human in the loop regardless</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F. Data Restriction — How the Legal Agreement Actually Works</w:t>
      </w:r>
    </w:p>
    <w:p>
      <w:pPr>
        <w:spacing w:after="120" w:line="276"/>
      </w:pPr>
      <w:r>
        <w:rPr>
          <w:rFonts w:ascii="Calibri" w:cs="Calibri" w:eastAsia="Calibri" w:hAnsi="Calibri"/>
          <w:b w:val="false"/>
          <w:bCs w:val="false"/>
          <w:i w:val="false"/>
          <w:iCs w:val="false"/>
          <w:color w:val="000000"/>
          <w:sz w:val="21"/>
          <w:szCs w:val="21"/>
        </w:rPr>
        <w:t xml:space="preserve">Sheet 1 introduced the idea that Enterprise accounts don't train on your data. Here's the mechanism in a bit more depth — useful when a client's IT or legal team asks NCS to explain exactly what protects them.</w:t>
      </w:r>
    </w:p>
    <w:p>
      <w:pPr>
        <w:spacing w:after="80"/>
      </w:pPr>
    </w:p>
    <w:p>
      <w:pPr>
        <w:pStyle w:val="ListParagraph"/>
        <w:numPr>
          <w:ilvl w:val="0"/>
          <w:numId w:val="2"/>
        </w:numPr>
        <w:spacing w:after="60"/>
      </w:pPr>
      <w:r>
        <w:rPr>
          <w:rFonts w:ascii="Calibri" w:cs="Calibri" w:eastAsia="Calibri" w:hAnsi="Calibri"/>
          <w:color w:val="000000"/>
          <w:sz w:val="21"/>
          <w:szCs w:val="21"/>
        </w:rPr>
        <w:t xml:space="preserve">The Data Processing Agreement (DPA) is the binding contract: it names NCS (or the client) as the data controller and the AI vendor as the data processor, and legally restricts the vendor to using submitted data only to provide the service — not to improve or train any model.</w:t>
      </w:r>
    </w:p>
    <w:p>
      <w:pPr>
        <w:pStyle w:val="ListParagraph"/>
        <w:numPr>
          <w:ilvl w:val="0"/>
          <w:numId w:val="2"/>
        </w:numPr>
        <w:spacing w:after="60"/>
      </w:pPr>
      <w:r>
        <w:rPr>
          <w:rFonts w:ascii="Calibri" w:cs="Calibri" w:eastAsia="Calibri" w:hAnsi="Calibri"/>
          <w:color w:val="000000"/>
          <w:sz w:val="21"/>
          <w:szCs w:val="21"/>
        </w:rPr>
        <w:t xml:space="preserve">This restriction sits above and outside the product's default settings — it's a contractual guarantee, not a toggle a user could accidentally switch off.</w:t>
      </w:r>
    </w:p>
    <w:p>
      <w:pPr>
        <w:pStyle w:val="ListParagraph"/>
        <w:numPr>
          <w:ilvl w:val="0"/>
          <w:numId w:val="2"/>
        </w:numPr>
        <w:spacing w:after="60"/>
      </w:pPr>
      <w:r>
        <w:rPr>
          <w:rFonts w:ascii="Calibri" w:cs="Calibri" w:eastAsia="Calibri" w:hAnsi="Calibri"/>
          <w:color w:val="000000"/>
          <w:sz w:val="21"/>
          <w:szCs w:val="21"/>
        </w:rPr>
        <w:t xml:space="preserve">Zero Data Retention (ZDR) addendums go further: they require the vendor to discard inputs and outputs immediately after generating the response, rather than retaining them at all.</w:t>
      </w:r>
    </w:p>
    <w:p>
      <w:pPr>
        <w:pStyle w:val="ListParagraph"/>
        <w:numPr>
          <w:ilvl w:val="0"/>
          <w:numId w:val="2"/>
        </w:numPr>
        <w:spacing w:after="60"/>
      </w:pPr>
      <w:r>
        <w:rPr>
          <w:rFonts w:ascii="Calibri" w:cs="Calibri" w:eastAsia="Calibri" w:hAnsi="Calibri"/>
          <w:color w:val="000000"/>
          <w:sz w:val="21"/>
          <w:szCs w:val="21"/>
        </w:rPr>
        <w:t xml:space="preserve">Sub-processor clauses require the vendor to disclose (and get approval for) any third party that might touch the data — closing the loophole of data leaking via an unnamed subcontractor.</w:t>
      </w:r>
    </w:p>
    <w:p>
      <w:pPr>
        <w:pStyle w:val="ListParagraph"/>
        <w:numPr>
          <w:ilvl w:val="0"/>
          <w:numId w:val="2"/>
        </w:numPr>
        <w:spacing w:after="60"/>
      </w:pPr>
      <w:r>
        <w:rPr>
          <w:rFonts w:ascii="Calibri" w:cs="Calibri" w:eastAsia="Calibri" w:hAnsi="Calibri"/>
          <w:color w:val="000000"/>
          <w:sz w:val="21"/>
          <w:szCs w:val="21"/>
        </w:rPr>
        <w:t xml:space="preserve">Audit rights let NCS or the client request evidence — logs, certifications, or a third-party audit — that the agreement is actually being followed, not just promised on paper.</w:t>
      </w:r>
    </w:p>
    <w:p>
      <w:pPr>
        <w:pStyle w:val="ListParagraph"/>
        <w:numPr>
          <w:ilvl w:val="0"/>
          <w:numId w:val="2"/>
        </w:numPr>
        <w:spacing w:after="60"/>
      </w:pPr>
      <w:r>
        <w:rPr>
          <w:rFonts w:ascii="Calibri" w:cs="Calibri" w:eastAsia="Calibri" w:hAnsi="Calibri"/>
          <w:color w:val="000000"/>
          <w:sz w:val="21"/>
          <w:szCs w:val="21"/>
        </w:rPr>
        <w:t xml:space="preserve">Independent certifications (SOC 2 Type II, ISO 27001) are the evidence base auditors use to verify these promises are backed by real technical controls, not just legal language.</w:t>
      </w:r>
    </w:p>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G. Hands-On Activity (15 minutes)</w:t>
      </w:r>
    </w:p>
    <w:p>
      <w:pPr>
        <w:spacing w:after="120" w:line="276"/>
      </w:pPr>
      <w:r>
        <w:rPr>
          <w:rFonts w:ascii="Calibri" w:cs="Calibri" w:eastAsia="Calibri" w:hAnsi="Calibri"/>
          <w:b w:val="false"/>
          <w:bCs w:val="false"/>
          <w:i w:val="false"/>
          <w:iCs w:val="false"/>
          <w:color w:val="000000"/>
          <w:sz w:val="21"/>
          <w:szCs w:val="21"/>
        </w:rPr>
        <w:t xml:space="preserve">In your tool of choice, find the exact model name you're currently talking to — most tools show this in a model picker or account/settings page. Then look up that model's official pricing or model-card page.</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4675"/>
        <w:gridCol w:w="4675"/>
      </w:tblGrid>
      <w:tr>
        <w:trPr>
          <w:tblHeader/>
        </w:trPr>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 checked</w:t>
            </w:r>
          </w:p>
        </w:tc>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 found</w:t>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bl>
    <w:p>
      <w:pPr>
        <w:spacing w:after="140"/>
      </w:pPr>
    </w:p>
    <w:p>
      <w:pPr>
        <w:spacing w:after="120" w:line="276"/>
      </w:pPr>
      <w:r>
        <w:rPr>
          <w:rFonts w:ascii="Calibri" w:cs="Calibri" w:eastAsia="Calibri" w:hAnsi="Calibri"/>
          <w:b w:val="false"/>
          <w:bCs w:val="false"/>
          <w:i/>
          <w:iCs/>
          <w:color w:val="000000"/>
          <w:sz w:val="21"/>
          <w:szCs w:val="21"/>
        </w:rPr>
        <w:t xml:space="preserve">Suggested rows: exact model name and tier you're using right now; what generation/tier signal you recognise from Section C; one thing that surprised you about its pricing or context window.</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Reflection Questions (5 minutes)</w:t>
      </w:r>
    </w:p>
    <w:p>
      <w:pPr>
        <w:pStyle w:val="ListParagraph"/>
        <w:numPr>
          <w:ilvl w:val="0"/>
          <w:numId w:val="2"/>
        </w:numPr>
        <w:spacing w:after="60"/>
      </w:pPr>
      <w:r>
        <w:rPr>
          <w:rFonts w:ascii="Calibri" w:cs="Calibri" w:eastAsia="Calibri" w:hAnsi="Calibri"/>
          <w:color w:val="000000"/>
          <w:sz w:val="21"/>
          <w:szCs w:val="21"/>
        </w:rPr>
        <w:t xml:space="preserve">1. Rewrite one vague prompt you've used before, applying all four parts of the prompt anatomy from Section B.</w:t>
      </w:r>
    </w:p>
    <w:p>
      <w:pPr>
        <w:pStyle w:val="ListParagraph"/>
        <w:numPr>
          <w:ilvl w:val="0"/>
          <w:numId w:val="2"/>
        </w:numPr>
        <w:spacing w:after="60"/>
      </w:pPr>
      <w:r>
        <w:rPr>
          <w:rFonts w:ascii="Calibri" w:cs="Calibri" w:eastAsia="Calibri" w:hAnsi="Calibri"/>
          <w:color w:val="000000"/>
          <w:sz w:val="21"/>
          <w:szCs w:val="21"/>
        </w:rPr>
        <w:t xml:space="preserve">2. Using the naming logic in Section C (not memorised names), guess what a model called “Gemini 4 Flash-Lite” would likely be optimised for.</w:t>
      </w:r>
    </w:p>
    <w:p>
      <w:pPr>
        <w:pStyle w:val="ListParagraph"/>
        <w:numPr>
          <w:ilvl w:val="0"/>
          <w:numId w:val="2"/>
        </w:numPr>
        <w:spacing w:after="60"/>
      </w:pPr>
      <w:r>
        <w:rPr>
          <w:rFonts w:ascii="Calibri" w:cs="Calibri" w:eastAsia="Calibri" w:hAnsi="Calibri"/>
          <w:color w:val="000000"/>
          <w:sz w:val="21"/>
          <w:szCs w:val="21"/>
        </w:rPr>
        <w:t xml:space="preserve">3. Why does a DPA protect a client even if an individual engineer forgets to double-check a setting?</w:t>
      </w:r>
    </w:p>
    <w:p>
      <w:pPr>
        <w:pStyle w:val="ListParagraph"/>
        <w:numPr>
          <w:ilvl w:val="0"/>
          <w:numId w:val="2"/>
        </w:numPr>
        <w:spacing w:after="60"/>
      </w:pPr>
      <w:r>
        <w:rPr>
          <w:rFonts w:ascii="Calibri" w:cs="Calibri" w:eastAsia="Calibri" w:hAnsi="Calibri"/>
          <w:color w:val="000000"/>
          <w:sz w:val="21"/>
          <w:szCs w:val="21"/>
        </w:rPr>
        <w:t xml:space="preserve">4. For Use Case 7 (Regulatory Compliance Monitoring), would you reach for a flagship/reasoning-tier model or a fast/cheap tier, and why?</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I. Quick Recap</w:t>
      </w:r>
    </w:p>
    <w:p>
      <w:pPr>
        <w:pStyle w:val="ListParagraph"/>
        <w:numPr>
          <w:ilvl w:val="0"/>
          <w:numId w:val="2"/>
        </w:numPr>
        <w:spacing w:after="60"/>
      </w:pPr>
      <w:r>
        <w:rPr>
          <w:rFonts w:ascii="Calibri" w:cs="Calibri" w:eastAsia="Calibri" w:hAnsi="Calibri"/>
          <w:color w:val="000000"/>
          <w:sz w:val="21"/>
          <w:szCs w:val="21"/>
        </w:rPr>
        <w:t xml:space="preserve">A good prompt has four parts: instruction, context, input, and output format — vague prompts produce vague answers regardless of which model you use.</w:t>
      </w:r>
    </w:p>
    <w:p>
      <w:pPr>
        <w:pStyle w:val="ListParagraph"/>
        <w:numPr>
          <w:ilvl w:val="0"/>
          <w:numId w:val="2"/>
        </w:numPr>
        <w:spacing w:after="60"/>
      </w:pPr>
      <w:r>
        <w:rPr>
          <w:rFonts w:ascii="Calibri" w:cs="Calibri" w:eastAsia="Calibri" w:hAnsi="Calibri"/>
          <w:color w:val="000000"/>
          <w:sz w:val="21"/>
          <w:szCs w:val="21"/>
        </w:rPr>
        <w:t xml:space="preserve">Model names follow a repeating logic: generation number, capability tier (flagship / balanced / smallest), and sometimes a reasoning-mode suffix.</w:t>
      </w:r>
    </w:p>
    <w:p>
      <w:pPr>
        <w:pStyle w:val="ListParagraph"/>
        <w:numPr>
          <w:ilvl w:val="0"/>
          <w:numId w:val="2"/>
        </w:numPr>
        <w:spacing w:after="60"/>
      </w:pPr>
      <w:r>
        <w:rPr>
          <w:rFonts w:ascii="Calibri" w:cs="Calibri" w:eastAsia="Calibri" w:hAnsi="Calibri"/>
          <w:color w:val="000000"/>
          <w:sz w:val="21"/>
          <w:szCs w:val="21"/>
        </w:rPr>
        <w:t xml:space="preserve">Specific model names go stale fast — GPT-4o and GPT-4.1 were retired within this programme's own lifetime. Judge by tier and axis, not by memorised names.</w:t>
      </w:r>
    </w:p>
    <w:p>
      <w:pPr>
        <w:pStyle w:val="ListParagraph"/>
        <w:numPr>
          <w:ilvl w:val="0"/>
          <w:numId w:val="2"/>
        </w:numPr>
        <w:spacing w:after="60"/>
      </w:pPr>
      <w:r>
        <w:rPr>
          <w:rFonts w:ascii="Calibri" w:cs="Calibri" w:eastAsia="Calibri" w:hAnsi="Calibri"/>
          <w:color w:val="000000"/>
          <w:sz w:val="21"/>
          <w:szCs w:val="21"/>
        </w:rPr>
        <w:t xml:space="preserve">Choose a model on three axes every time: context window, cost, and accuracy/reasoning depth — matched to how costly a wrong answer would be.</w:t>
      </w:r>
    </w:p>
    <w:p>
      <w:pPr>
        <w:pStyle w:val="ListParagraph"/>
        <w:numPr>
          <w:ilvl w:val="0"/>
          <w:numId w:val="2"/>
        </w:numPr>
        <w:spacing w:after="60"/>
      </w:pPr>
      <w:r>
        <w:rPr>
          <w:rFonts w:ascii="Calibri" w:cs="Calibri" w:eastAsia="Calibri" w:hAnsi="Calibri"/>
          <w:color w:val="000000"/>
          <w:sz w:val="21"/>
          <w:szCs w:val="21"/>
        </w:rPr>
        <w:t xml:space="preserve">A DPA, ZDR addendum, sub-processor clauses, audit rights, and independent certifications together form the real protection behind “Enterprise doesn't train on your data” — not just a marketing claim.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2026-08-05T16:58:45.704Z</dcterms:created>
  <dcterms:modified xsi:type="dcterms:W3CDTF">2026-08-05T16:58:45.704Z</dcterms:modified>
</cp:coreProperties>
</file>

<file path=docProps/custom.xml><?xml version="1.0" encoding="utf-8"?>
<Properties xmlns="http://schemas.openxmlformats.org/officeDocument/2006/custom-properties" xmlns:vt="http://schemas.openxmlformats.org/officeDocument/2006/docPropsVTypes"/>
</file>