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TAKE-HOME ASSIGNMENT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27"/>
          <w:szCs w:val="27"/>
        </w:rPr>
        <w:t xml:space="preserve">Nyaya — Legal &amp; Compliance Document Intelligence Pipeline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 RAG Pipeline Assignment, Built on the Same Pattern as Disha</w:t>
      </w:r>
    </w:p>
    <w:tbl>
      <w:tblPr>
        <w:tblW w:type="dxa" w:w="9350"/>
        <w:tblBorders>
          <w:top w:val="single" w:color="808080" w:sz="6"/>
          <w:left w:val="single" w:color="808080" w:sz="6"/>
          <w:bottom w:val="single" w:color="808080" w:sz="6"/>
          <w:right w:val="single" w:color="808080" w:sz="6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3F3F3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F3F3F"/>
                <w:sz w:val="20"/>
                <w:szCs w:val="20"/>
              </w:rPr>
              <w:t xml:space="preserve">What this assignment is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This is an independent, graded version of the Disha (RAG Pipeline) lab — same architecture, same technical depth, but a new domain (Legal &amp; Compliance) and no in-class walkthrough. Submit a working repository plus a short written reflection. Keep Disha's repo open as your reference pattern throughout — you are adapting a working architecture, not inventing one from scratch.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A. Scenario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NCS Telco+'s Legal &amp; Compliance team fields constant questions from account managers and engineers: What does our standard contract say about liability? When is the next regulatory filing due? Who do I escalate an urgent contract review to? Right now, answering any of these means opening several different systems — a contract repository, a compliance portal, an audit spreadsheet, a filing tracker. Your task is to build Nyaya: a single RAG pipeline that answers all of these from one place, with a citation to the exact source every time.</w:t>
      </w:r>
    </w:p>
    <w:p>
      <w:pPr>
        <w:spacing w:after="16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B. 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Ingest real documents across at least 3 different file formats through a unified loader interface.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Implement and COMPARE at least 2 different chunking strategies on the same document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Implement and COMPARE at least 2 different retrieval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Apply PII-safe ingestion to at least one document containing realistic personal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Produce grounded, cited answers with a working ‘I don't know’ guardrail for out-of-scope questions.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C. The 5 Documents You Will Source or Create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Write these yourself as fictional (but realistic) samples — do not use real NCS Telco+ or any real company's actual legal documents. Follow Disha's document header convention: a Document ID, Version, and Effective Date at the top of each file.</w:t>
      </w:r>
    </w:p>
    <w:p>
      <w:pPr>
        <w:spacing w:after="80"/>
      </w:pP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50"/>
        <w:gridCol w:w="2450"/>
        <w:gridCol w:w="1400"/>
        <w:gridCol w:w="5150"/>
      </w:tblGrid>
      <w:tr>
        <w:trPr>
          <w:tblHeader/>
        </w:trPr>
        <w:tc>
          <w:tcPr>
            <w:tcW w:type="dxa" w:w="3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24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Document</w:t>
            </w:r>
          </w:p>
        </w:tc>
        <w:tc>
          <w:tcPr>
            <w:tcW w:type="dxa" w:w="14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Format</w:t>
            </w:r>
          </w:p>
        </w:tc>
        <w:tc>
          <w:tcPr>
            <w:tcW w:type="dxa" w:w="51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it must cover (be specific!)</w:t>
            </w:r>
          </w:p>
        </w:tc>
      </w:tr>
      <w:tr>
        <w:tc>
          <w:tcPr>
            <w:tcW w:type="dxa" w:w="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Master Service Agreement (MSA) Excerpt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PDF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Limitation of liability cap (as a specific multiple of fees paid, e.g., 12 months' fees); indemnification triggers; governing law and jurisdiction.</w:t>
            </w:r>
          </w:p>
        </w:tc>
      </w:tr>
      <w:tr>
        <w:tc>
          <w:tcPr>
            <w:tcW w:type="dxa" w:w="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Regulatory Compliance Circular</w:t>
            </w:r>
          </w:p>
        </w:tc>
        <w:tc>
          <w:tcPr>
            <w:tcW w:type="dxa" w:w="1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Word (.docx)</w:t>
            </w:r>
          </w:p>
        </w:tc>
        <w:tc>
          <w:tcPr>
            <w:tcW w:type="dxa" w:w="51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fictional regulator's reporting requirement; submission deadline (specific date or recurring schedule); penalty for late filing.</w:t>
            </w:r>
          </w:p>
        </w:tc>
      </w:tr>
      <w:tr>
        <w:tc>
          <w:tcPr>
            <w:tcW w:type="dxa" w:w="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Legal FAQ / Contract Lifecycle Portal Page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HTML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How to request an urgent contract review; standard vs. expedited turnaround time; a named legal contact with an email and phone number (this is your PII redaction test case — see Section D).</w:t>
            </w:r>
          </w:p>
        </w:tc>
      </w:tr>
      <w:tr>
        <w:tc>
          <w:tcPr>
            <w:tcW w:type="dxa" w:w="3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Compliance Audit Log</w:t>
            </w:r>
          </w:p>
        </w:tc>
        <w:tc>
          <w:tcPr>
            <w:tcW w:type="dxa" w:w="1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CSV</w:t>
            </w:r>
          </w:p>
        </w:tc>
        <w:tc>
          <w:tcPr>
            <w:tcW w:type="dxa" w:w="51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Rows with: audit_id, date, area_audited, finding, severity, status (Open/Closed). Include at least 3 Open findings and 3 Closed.</w:t>
            </w:r>
          </w:p>
        </w:tc>
      </w:tr>
      <w:tr>
        <w:tc>
          <w:tcPr>
            <w:tcW w:type="dxa" w:w="3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Regulatory Filing Tracker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JSON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list of filings, each with: filing_id, jurisdiction, description, due_date, status. Include at least one overdue filing and one due within 30 days of a fixed reference date you choose.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D. Required Technical Features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Your submission must implement all of the following — each one maps directly to a module in Disha's codebase, which you should use as your structural reference.</w:t>
      </w:r>
    </w:p>
    <w:p>
      <w:pPr>
        <w:spacing w:after="80"/>
      </w:pP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050"/>
        <w:gridCol w:w="4650"/>
        <w:gridCol w:w="2650"/>
      </w:tblGrid>
      <w:tr>
        <w:trPr>
          <w:tblHeader/>
        </w:trPr>
        <w:tc>
          <w:tcPr>
            <w:tcW w:type="dxa" w:w="20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Feature</w:t>
            </w:r>
          </w:p>
        </w:tc>
        <w:tc>
          <w:tcPr>
            <w:tcW w:type="dxa" w:w="46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6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Reference in Disha</w:t>
            </w:r>
          </w:p>
        </w:tc>
      </w:tr>
      <w:tr>
        <w:tc>
          <w:tcPr>
            <w:tcW w:type="dxa" w:w="2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Multi-format loaders</w:t>
            </w:r>
          </w:p>
        </w:tc>
        <w:tc>
          <w:tcPr>
            <w:tcW w:type="dxa" w:w="4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At least 3 of your 5 documents must use genuinely different loading logic (not just renamed copies of the same function).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loaders.py</w:t>
            </w:r>
          </w:p>
        </w:tc>
      </w:tr>
      <w:tr>
        <w:tc>
          <w:tcPr>
            <w:tcW w:type="dxa" w:w="2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Chunking strategy comparison</w:t>
            </w:r>
          </w:p>
        </w:tc>
        <w:tc>
          <w:tcPr>
            <w:tcW w:type="dxa" w:w="4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Implement at least 2 strategies (e.g., fixed and heading_aware) and build the vector store twice, once per strategy. Report which produced better chunks for your MSA document, with a concrete example.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chunking.py</w:t>
            </w:r>
          </w:p>
        </w:tc>
      </w:tr>
      <w:tr>
        <w:tc>
          <w:tcPr>
            <w:tcW w:type="dxa" w:w="2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PII-safe ingestion</w:t>
            </w:r>
          </w:p>
        </w:tc>
        <w:tc>
          <w:tcPr>
            <w:tcW w:type="dxa" w:w="4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Detect and redact at least the email and phone number in your Legal FAQ document before embedding. Report what was redacted in your build script's console output.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pii.py</w:t>
            </w:r>
          </w:p>
        </w:tc>
      </w:tr>
      <w:tr>
        <w:tc>
          <w:tcPr>
            <w:tcW w:type="dxa" w:w="2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Retrieval pattern comparison</w:t>
            </w:r>
          </w:p>
        </w:tc>
        <w:tc>
          <w:tcPr>
            <w:tcW w:type="dxa" w:w="4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Implement at least 2 patterns (e.g., topk and threshold). Run one question through both and report any difference in results.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retrieval.py</w:t>
            </w:r>
          </w:p>
        </w:tc>
      </w:tr>
      <w:tr>
        <w:tc>
          <w:tcPr>
            <w:tcW w:type="dxa" w:w="2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Context assembly</w:t>
            </w:r>
          </w:p>
        </w:tc>
        <w:tc>
          <w:tcPr>
            <w:tcW w:type="dxa" w:w="4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Deduplicate near-identical chunks and cap total context length before the LLM call.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context.py</w:t>
            </w:r>
          </w:p>
        </w:tc>
      </w:tr>
      <w:tr>
        <w:tc>
          <w:tcPr>
            <w:tcW w:type="dxa" w:w="2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Grounded, cited answers</w:t>
            </w:r>
          </w:p>
        </w:tc>
        <w:tc>
          <w:tcPr>
            <w:tcW w:type="dxa" w:w="4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Every factual claim in an answer must cite a source filename. Build this into your system prompt.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app.py</w:t>
            </w:r>
          </w:p>
        </w:tc>
      </w:tr>
      <w:tr>
        <w:tc>
          <w:tcPr>
            <w:tcW w:type="dxa" w:w="20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‘I don't know’ guardrail</w:t>
            </w:r>
          </w:p>
        </w:tc>
        <w:tc>
          <w:tcPr>
            <w:tcW w:type="dxa" w:w="4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 question with no confident match must return a fixed refusal WITHOUT calling the LLM — not just an LLM-generated ‘I'm not sure.’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app.py</w:t>
            </w:r>
          </w:p>
        </w:tc>
      </w:tr>
      <w:tr>
        <w:tc>
          <w:tcPr>
            <w:tcW w:type="dxa" w:w="20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Three-script pattern</w:t>
            </w:r>
          </w:p>
        </w:tc>
        <w:tc>
          <w:tcPr>
            <w:tcW w:type="dxa" w:w="4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build_vectorstore.py, app.py (FastAPI), and agent.py (client with hardcoded questions) — same two-terminal setup as Disha.</w:t>
            </w:r>
          </w:p>
        </w:tc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 three files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E. Architecture (Same Pattern as Disha)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STEP 1 -- build_vectorstore.py  (run once per chunking strategy you compare)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documents/*.{pdf,docx,html,csv,json}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-&gt; loaders.py -&gt; pii.py (redact) -&gt; chunking.py (chosen strategy)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-&gt; embed -&gt; store in ./chroma_store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STEP 2 -- app.py  (FastAPI backend, Terminal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/ask?q=...&amp;pattern=topk|threshold&amp;k=3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retrieval.py -&gt; confidence check -&gt; context.py (dedupe+pack)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-&gt; LLM call requiring citations -&gt; JSON response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STEP 3 -- agent.py  (Terminal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Sends the 5 hardcoded questions from Section F below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Prints retrieved chunk metadata AND the final grounded answer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STEP 4 (recommended) -- inspect_vectorstore.py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Peek into chroma.sqlite3 to confirm your metadata is actually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stored the way you expect, before debugging app.py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F. The 5 Questions Your agent.py Must Answer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 What is the limitation of liability cap in our standard MSA?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 What is the deadline for submitting the quarterly compliance report?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 Who do I contact to request an urgent contract review?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4. Which compliance audit findings are still open?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5. Which regulatory filings are overdue or due within the next 30 days?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Bonus (optional, not graded but encouraged): add a 6th question that should trigger the ‘I don't know’ guardrail — something no document covers at all, e.g., ‘What is our policy on international arbitration seat selection?’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G. Suggested Milestones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900"/>
        <w:gridCol w:w="1700"/>
        <w:gridCol w:w="4750"/>
      </w:tblGrid>
      <w:tr>
        <w:trPr>
          <w:tblHeader/>
        </w:trPr>
        <w:tc>
          <w:tcPr>
            <w:tcW w:type="dxa" w:w="29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Milestone</w:t>
            </w:r>
          </w:p>
        </w:tc>
        <w:tc>
          <w:tcPr>
            <w:tcW w:type="dxa" w:w="17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Suggested time</w:t>
            </w:r>
          </w:p>
        </w:tc>
        <w:tc>
          <w:tcPr>
            <w:tcW w:type="dxa" w:w="47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‘done’ looks like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1. Write the 5 documents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1–2 hours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 5 files exist with specific, checkable facts — not vague placeholder text.</w:t>
            </w:r>
          </w:p>
        </w:tc>
      </w:tr>
      <w:tr>
        <w:tc>
          <w:tcPr>
            <w:tcW w:type="dxa" w:w="29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2. Build loaders + first working vector store</w:t>
            </w:r>
          </w:p>
        </w:tc>
        <w:tc>
          <w:tcPr>
            <w:tcW w:type="dxa" w:w="1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1–2 hours</w:t>
            </w:r>
          </w:p>
        </w:tc>
        <w:tc>
          <w:tcPr>
            <w:tcW w:type="dxa" w:w="47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build_vectorstore.py runs clean with ONE chunking strategy; chunk counts look reasonable.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3. Get app.py + agent.py answering all 5 questions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1–2 hours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 5 hardcoded questions return correct, cited answers.</w:t>
            </w:r>
          </w:p>
        </w:tc>
      </w:tr>
      <w:tr>
        <w:tc>
          <w:tcPr>
            <w:tcW w:type="dxa" w:w="29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4. Add the second chunking strategy and compare</w:t>
            </w:r>
          </w:p>
        </w:tc>
        <w:tc>
          <w:tcPr>
            <w:tcW w:type="dxa" w:w="1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30–60 min</w:t>
            </w:r>
          </w:p>
        </w:tc>
        <w:tc>
          <w:tcPr>
            <w:tcW w:type="dxa" w:w="47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Rebuilt store with a 2nd strategy; a specific example of how results differed.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5. Add the second retrieval pattern and compare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30–60 min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Same question run through both patterns; documented difference.</w:t>
            </w:r>
          </w:p>
        </w:tc>
      </w:tr>
      <w:tr>
        <w:tc>
          <w:tcPr>
            <w:tcW w:type="dxa" w:w="29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6. Verify PII redaction and the ‘I don't know’ guardrail</w:t>
            </w:r>
          </w:p>
        </w:tc>
        <w:tc>
          <w:tcPr>
            <w:tcW w:type="dxa" w:w="17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30–45 min</w:t>
            </w:r>
          </w:p>
        </w:tc>
        <w:tc>
          <w:tcPr>
            <w:tcW w:type="dxa" w:w="47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Console output shows redaction; an out-of-scope question is refused without an LLM call.</w:t>
            </w:r>
          </w:p>
        </w:tc>
      </w:tr>
      <w:tr>
        <w:tc>
          <w:tcPr>
            <w:tcW w:type="dxa" w:w="2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7. Write the reflection and package for submission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30–45 min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README complete; reflection answers all of Section I's questions.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H. Deliverables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zipped repository (or a Git link) containing: documents/, all Python files, requirements.txt, .env.example, and a README.md.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Your README.md must include: setup steps, which 2 chunking strategies you compared and your finding, which 2 retrieval patterns you compared and your finding, and confirmation of what PII was redacted.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short written reflection (200–300 words, can be inside the README or a separate REFLECTION.md) answering the 3 questions in Section 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Do NOT include your real .env file or your API key anywhere in the submission.</w:t>
      </w:r>
    </w:p>
    <w:p>
      <w:pPr>
        <w:spacing w:after="18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I. Reflection Questions (Include in Your Submission)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1. Which chunking strategy produced better results for your MSA document, and why do you think that is, given its structure?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2. Describe one case where your two retrieval patterns returned meaningfully different chunks for the same question. Which result was better, and why?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3. If Legal &amp; Compliance asked you to add 20 more contract documents next month, what part of your current pipeline would need to change, and what wouldn't?</w:t>
      </w:r>
    </w:p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J. Grading Rubric</w:t>
      </w:r>
    </w:p>
    <w:tbl>
      <w:tblPr>
        <w:tblW w:type="dxa" w:w="93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50"/>
        <w:gridCol w:w="1250"/>
        <w:gridCol w:w="5400"/>
      </w:tblGrid>
      <w:tr>
        <w:trPr>
          <w:tblHeader/>
        </w:trPr>
        <w:tc>
          <w:tcPr>
            <w:tcW w:type="dxa" w:w="26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Criterion</w:t>
            </w:r>
          </w:p>
        </w:tc>
        <w:tc>
          <w:tcPr>
            <w:tcW w:type="dxa" w:w="125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Weight</w:t>
            </w:r>
          </w:p>
        </w:tc>
        <w:tc>
          <w:tcPr>
            <w:tcW w:type="dxa" w:w="5400"/>
            <w:shd w:fill="E7E7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What earns full marks</w:t>
            </w:r>
          </w:p>
        </w:tc>
      </w:tr>
      <w:tr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Multi-format ingestion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3+ formats genuinely load correctly; metadata (source, page/row/section) is accurate.</w:t>
            </w:r>
          </w:p>
        </w:tc>
      </w:tr>
      <w:tr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Chunking strategy comparison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5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 strategies implemented; a specific, correct example given of how results differed.</w:t>
            </w:r>
          </w:p>
        </w:tc>
      </w:tr>
      <w:tr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Retrieval pattern comparison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15%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 patterns implemented; a specific, correct example given of how results differed.</w:t>
            </w:r>
          </w:p>
        </w:tc>
      </w:tr>
      <w:tr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PII-safe ingestion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5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Redaction demonstrably works on the planted example; console output confirms it.</w:t>
            </w:r>
          </w:p>
        </w:tc>
      </w:tr>
      <w:tr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Grounded answers &amp; citation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20%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 5 questions answered correctly with accurate source citations; ‘I don't know’ guardrail verified to skip the LLM call.</w:t>
            </w:r>
          </w:p>
        </w:tc>
      </w:tr>
      <w:tr>
        <w:tc>
          <w:tcPr>
            <w:tcW w:type="dxa" w:w="26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Code quality &amp; README</w:t>
            </w:r>
          </w:p>
        </w:tc>
        <w:tc>
          <w:tcPr>
            <w:tcW w:type="dxa" w:w="125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5400"/>
            <w:shd w:fill="F3F3F3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Code is organised the way Disha's is (separate loaders/chunking/retrieval/context modules); README lets a stranger run it from scratch.</w:t>
            </w:r>
          </w:p>
        </w:tc>
      </w:tr>
      <w:tr>
        <w:tc>
          <w:tcPr>
            <w:tcW w:type="dxa" w:w="26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Written reflection</w:t>
            </w:r>
          </w:p>
        </w:tc>
        <w:tc>
          <w:tcPr>
            <w:tcW w:type="dxa" w:w="12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5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All 3 questions answered thoughtfully, with specific evidence from your own build, not generic statements.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K. Submission Instructions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Submit a single .zip file (or a link to a private Git repository, if preferred) named LastName_FirstName_Nyaya.zip, containing the full repository as described in Section H. Submit through the course portal by the deadline communicated separately by your facilitator.</w:t>
      </w:r>
    </w:p>
    <w:p>
      <w:pPr>
        <w:spacing w:after="120"/>
      </w:pPr>
    </w:p>
    <w:p>
      <w:pPr>
        <w:pStyle w:val="Heading1"/>
        <w:pBdr>
          <w:bottom w:val="single" w:color="808080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3F3F3F"/>
          <w:sz w:val="30"/>
          <w:szCs w:val="30"/>
        </w:rPr>
        <w:t xml:space="preserve">L. Tips &amp; Common Pitfalls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Start from a working copy of Disha's file structure — renaming and adapting is faster and less error-prone than writing every module from scratch.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Write your 5 documents with genuinely distinct, checkable facts per section — vague policy text makes it impossible to verify whether an answer is really grounded.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If a chunking-strategy or retrieval-pattern comparison feels like ‘they gave the same answer,’ try a question that specifically stresses the difference (e.g., a long clause for chunking; an ambiguous multi-topic question for retrieval) rather than concluding there's no difference to find.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Run inspect_vectorstore.py early and often — most ‘wrong answer’ bugs are actually ‘wrong data got stored’ bugs, and it's faster to check that first.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Confidential | For NCS Telco+ Cohort Use Only  —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NCS Telco+  |  Working with LLMs &amp; Agentic AI  |  NIIT StackRoute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2026-09-03T11:28:54.330Z</dcterms:created>
  <dcterms:modified xsi:type="dcterms:W3CDTF">2026-09-03T11:28:54.343Z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