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/>
      </w:pPr>
      <w:r>
        <w:rPr>
          <w:b/>
          <w:bCs/>
          <w:sz w:val="26"/>
          <w:szCs w:val="26"/>
        </w:rPr>
        <w:t xml:space="preserve">Sample Enterprise SLA — Managed Network Services Agreement</w:t>
      </w:r>
    </w:p>
    <w:p>
      <w:pPr>
        <w:spacing w:after="120"/>
      </w:pPr>
      <w:r>
        <w:rPr>
          <w:sz w:val="21"/>
          <w:szCs w:val="21"/>
        </w:rPr>
        <w:t xml:space="preserve">Contract Reference: NCS-ENT-SLA-2026-0447  |  Client: Sample Enterprise Client (Anonymised for Training)  |  Classification: Internal Training Use Only (Sample Data)</w:t>
      </w:r>
    </w:p>
    <w:p>
      <w:pPr>
        <w:pStyle w:val="Heading2"/>
        <w:spacing w:after="100" w:before="160"/>
      </w:pPr>
      <w:r>
        <w:rPr>
          <w:b/>
          <w:bCs/>
          <w:sz w:val="22"/>
          <w:szCs w:val="22"/>
        </w:rPr>
        <w:t xml:space="preserve">Clause 4: Service Availability Guarantee</w:t>
      </w:r>
    </w:p>
    <w:p>
      <w:pPr>
        <w:spacing w:after="120"/>
      </w:pPr>
      <w:r>
        <w:rPr>
          <w:sz w:val="21"/>
          <w:szCs w:val="21"/>
        </w:rPr>
        <w:t xml:space="preserve">The Service Provider guarantees a Network Uptime of 99.5% measured monthly across all in-scope network elements, excluding scheduled maintenance windows communicated at least 5 business days in advance.</w:t>
      </w:r>
    </w:p>
    <w:p>
      <w:pPr>
        <w:pStyle w:val="Heading2"/>
        <w:spacing w:after="100" w:before="160"/>
      </w:pPr>
      <w:r>
        <w:rPr>
          <w:b/>
          <w:bCs/>
          <w:sz w:val="22"/>
          <w:szCs w:val="22"/>
        </w:rPr>
        <w:t xml:space="preserve">Clause 5: Penalty for SLA Breach</w:t>
      </w:r>
    </w:p>
    <w:p>
      <w:pPr>
        <w:spacing w:after="120"/>
      </w:pPr>
      <w:r>
        <w:rPr>
          <w:sz w:val="21"/>
          <w:szCs w:val="21"/>
        </w:rPr>
        <w:t xml:space="preserve">Should monthly Network Uptime fall below 99.5%, the Client shall be entitled to a service credit equal to 2% of the monthly service fee for every 0.1% shortfall below the guaranteed threshold, capped at a maximum of 20% of the monthly service fee in any single month.</w:t>
      </w:r>
    </w:p>
    <w:p>
      <w:pPr>
        <w:pStyle w:val="Heading2"/>
        <w:spacing w:after="100" w:before="160"/>
      </w:pPr>
      <w:r>
        <w:rPr>
          <w:b/>
          <w:bCs/>
          <w:sz w:val="22"/>
          <w:szCs w:val="22"/>
        </w:rPr>
        <w:t xml:space="preserve">Clause 6: Exclusions</w:t>
      </w:r>
    </w:p>
    <w:p>
      <w:pPr>
        <w:spacing w:after="120"/>
      </w:pPr>
      <w:r>
        <w:rPr>
          <w:sz w:val="21"/>
          <w:szCs w:val="21"/>
        </w:rPr>
        <w:t xml:space="preserve">The Service Provider shall not be liable for downtime caused by: (a) Force Majeure events, (b) Client-caused network misconfiguration, (c) third-party ISP or power utility outages outside the Service Provider's direct control, or (d) scheduled maintenance windows properly communicated under Clause 4.</w:t>
      </w:r>
    </w:p>
    <w:p>
      <w:pPr>
        <w:pStyle w:val="Heading2"/>
        <w:spacing w:after="100" w:before="160"/>
      </w:pPr>
      <w:r>
        <w:rPr>
          <w:b/>
          <w:bCs/>
          <w:sz w:val="22"/>
          <w:szCs w:val="22"/>
        </w:rPr>
        <w:t xml:space="preserve">Clause 7: Renewal and Termination</w:t>
      </w:r>
    </w:p>
    <w:p>
      <w:pPr>
        <w:spacing w:after="120"/>
      </w:pPr>
      <w:r>
        <w:rPr>
          <w:sz w:val="21"/>
          <w:szCs w:val="21"/>
        </w:rPr>
        <w:t xml:space="preserve">This Agreement renews automatically for successive 12-month terms unless either party provides written notice of non-renewal at least 60 days prior to the then-current term's expiry. Either party may terminate for uncured material breach following a 30-day cure period after written notice.</w:t>
      </w:r>
    </w:p>
    <w:p>
      <w:pPr>
        <w:pStyle w:val="Heading2"/>
        <w:spacing w:after="100" w:before="160"/>
      </w:pPr>
      <w:r>
        <w:rPr>
          <w:b/>
          <w:bCs/>
          <w:sz w:val="22"/>
          <w:szCs w:val="22"/>
        </w:rPr>
        <w:t xml:space="preserve">Clause 8: Reporting Obligations</w:t>
      </w:r>
    </w:p>
    <w:p>
      <w:pPr>
        <w:spacing w:after="120"/>
      </w:pPr>
      <w:r>
        <w:rPr>
          <w:sz w:val="21"/>
          <w:szCs w:val="21"/>
        </w:rPr>
        <w:t xml:space="preserve">The Service Provider shall furnish the Client with a monthly SLA performance report within 5 business days of month-end, detailing actual uptime, any breach events, and corresponding service credits applied.</w:t>
      </w:r>
    </w:p>
    <w:p>
      <w:pPr>
        <w:pStyle w:val="Heading2"/>
        <w:spacing w:after="100" w:before="160"/>
      </w:pPr>
      <w:r>
        <w:rPr>
          <w:b/>
          <w:bCs/>
          <w:sz w:val="22"/>
          <w:szCs w:val="22"/>
        </w:rPr>
        <w:t xml:space="preserve">Clause 9: Escalation Path</w:t>
      </w:r>
    </w:p>
    <w:p>
      <w:pPr>
        <w:spacing w:after="120"/>
      </w:pPr>
      <w:r>
        <w:rPr>
          <w:sz w:val="21"/>
          <w:szCs w:val="21"/>
        </w:rPr>
        <w:t xml:space="preserve">Disputes regarding SLA measurement shall first be escalated to the respective Account Managers, then to a joint governance committee within 10 business days, before either party may pursue formal dispute resolution under Clause 14 (Governing Law and Jurisdiction).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2026-09-03T08:59:53.075Z</dcterms:created>
  <dcterms:modified xsi:type="dcterms:W3CDTF">2026-09-03T08:59:53.075Z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