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HiLabs PTD Hackathon — C1 &amp; C2 Progress Summary</w:t>
      </w:r>
    </w:p>
    <w:p>
      <w:pPr/>
      <w:r>
        <w:t xml:space="preserve">Oct 17, 2026</w:t>
      </w:r>
      <w:r>
        <w:t xml:space="preserve"> · </w:t>
      </w:r>
      <w:r>
        <w:t xml:space="preserve">@Tanishka</w:t>
      </w:r>
    </w:p>
    <w:p>
      <w:pPr>
        <w:pStyle w:val="Heading2"/>
      </w:pPr>
      <w:r>
        <w:t xml:space="preserve">At a glance</w:t>
      </w:r>
    </w:p>
    <w:p>
      <w:pPr/>
      <w:r>
        <w:t xml:space="preserve">Centene's CA commercial-group PPO network is </w:t>
      </w:r>
      <w:r>
        <w:rPr>
          <w:b/>
        </w:rPr>
        <w:t xml:space="preserve">453 Health Net plans</w:t>
      </w:r>
      <w:r>
        <w:t xml:space="preserve"> sharing </w:t>
      </w:r>
      <w:r>
        <w:rPr>
          <w:b/>
        </w:rPr>
        <w:t xml:space="preserve">one rate file</w:t>
      </w:r>
      <w:r>
        <w:t xml:space="preserve">. That file also serves every other CA network, so it is labelled MIXED and the PPO rates must be filtered inside it in C3.</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Metric</w:t>
            </w:r>
          </w:p>
        </w:tc>
        <w:tc>
          <w:tcPr>
            <w:tcW w:w="4440" w:type="dxa"/>
            <w:shd w:val="clear" w:color="auto" w:fill="F2F2F2"/>
          </w:tcPr>
          <w:p>
            <w:pPr/>
            <w:r>
              <w:t xml:space="preserve">Value</w:t>
            </w:r>
          </w:p>
        </w:tc>
      </w:tr>
      <w:tr>
        <w:tc>
          <w:tcPr>
            <w:tcW w:w="4920" w:type="dxa"/>
          </w:tcPr>
          <w:p>
            <w:pPr/>
            <w:r>
              <w:t xml:space="preserve">Index files parsed</w:t>
            </w:r>
          </w:p>
        </w:tc>
        <w:tc>
          <w:tcPr>
            <w:tcW w:w="4440" w:type="dxa"/>
          </w:tcPr>
          <w:p>
            <w:pPr/>
            <w:r>
              <w:t xml:space="preserve">11 (4 brands)</w:t>
            </w:r>
          </w:p>
        </w:tc>
      </w:tr>
      <w:tr>
        <w:tc>
          <w:tcPr>
            <w:tcW w:w="4920" w:type="dxa"/>
          </w:tcPr>
          <w:p>
            <w:pPr/>
            <w:r>
              <w:t xml:space="preserve">Plan rows (plan × file)</w:t>
            </w:r>
          </w:p>
        </w:tc>
        <w:tc>
          <w:tcPr>
            <w:tcW w:w="4440" w:type="dxa"/>
          </w:tcPr>
          <w:p>
            <w:pPr/>
            <w:r>
              <w:t xml:space="preserve">3,275</w:t>
            </w:r>
          </w:p>
        </w:tc>
      </w:tr>
      <w:tr>
        <w:tc>
          <w:tcPr>
            <w:tcW w:w="4920" w:type="dxa"/>
          </w:tcPr>
          <w:p>
            <w:pPr/>
            <w:r>
              <w:t xml:space="preserve">Unique plans</w:t>
            </w:r>
          </w:p>
        </w:tc>
        <w:tc>
          <w:tcPr>
            <w:tcW w:w="4440" w:type="dxa"/>
          </w:tcPr>
          <w:p>
            <w:pPr/>
            <w:r>
              <w:t xml:space="preserve">3,270</w:t>
            </w:r>
          </w:p>
        </w:tc>
      </w:tr>
      <w:tr>
        <w:tc>
          <w:tcPr>
            <w:tcW w:w="4920" w:type="dxa"/>
          </w:tcPr>
          <w:p>
            <w:pPr/>
            <w:r>
              <w:t xml:space="preserve">In-network file entries → unique files</w:t>
            </w:r>
          </w:p>
        </w:tc>
        <w:tc>
          <w:tcPr>
            <w:tcW w:w="4440" w:type="dxa"/>
          </w:tcPr>
          <w:p>
            <w:pPr/>
            <w:r>
              <w:t xml:space="preserve">40 → 33</w:t>
            </w:r>
          </w:p>
        </w:tc>
      </w:tr>
      <w:tr>
        <w:tc>
          <w:tcPr>
            <w:tcW w:w="4920" w:type="dxa"/>
          </w:tcPr>
          <w:p>
            <w:pPr/>
            <w:r>
              <w:t xml:space="preserve">In-scope plans (CA, commercial group)</w:t>
            </w:r>
          </w:p>
        </w:tc>
        <w:tc>
          <w:tcPr>
            <w:tcW w:w="4440" w:type="dxa"/>
          </w:tcPr>
          <w:p>
            <w:pPr/>
            <w:r>
              <w:t xml:space="preserve">1,312</w:t>
            </w:r>
          </w:p>
        </w:tc>
      </w:tr>
      <w:tr>
        <w:tc>
          <w:tcPr>
            <w:tcW w:w="4920" w:type="dxa"/>
          </w:tcPr>
          <w:p>
            <w:pPr/>
            <w:r>
              <w:t xml:space="preserve">PPO plans</w:t>
            </w:r>
          </w:p>
        </w:tc>
        <w:tc>
          <w:tcPr>
            <w:tcW w:w="4440" w:type="dxa"/>
          </w:tcPr>
          <w:p>
            <w:pPr/>
            <w:r>
              <w:t xml:space="preserve">453 (452 high confidence, 1 medium)</w:t>
            </w:r>
          </w:p>
        </w:tc>
      </w:tr>
      <w:tr>
        <w:tc>
          <w:tcPr>
            <w:tcW w:w="4920" w:type="dxa"/>
          </w:tcPr>
          <w:p>
            <w:pPr/>
            <w:r>
              <w:t xml:space="preserve">HMO / POS / EPO-only plans ruled out</w:t>
            </w:r>
          </w:p>
        </w:tc>
        <w:tc>
          <w:tcPr>
            <w:tcW w:w="4440" w:type="dxa"/>
          </w:tcPr>
          <w:p>
            <w:pPr/>
            <w:r>
              <w:t xml:space="preserve">723 / 6 / 0</w:t>
            </w:r>
          </w:p>
        </w:tc>
      </w:tr>
      <w:tr>
        <w:tc>
          <w:tcPr>
            <w:tcW w:w="4920" w:type="dxa"/>
          </w:tcPr>
          <w:p>
            <w:pPr/>
            <w:r>
              <w:t xml:space="preserve">Unresolved plans (flagged, not counted as PPO)</w:t>
            </w:r>
          </w:p>
        </w:tc>
        <w:tc>
          <w:tcPr>
            <w:tcW w:w="4440" w:type="dxa"/>
          </w:tcPr>
          <w:p>
            <w:pPr/>
            <w:r>
              <w:t xml:space="preserve">130</w:t>
            </w:r>
          </w:p>
        </w:tc>
      </w:tr>
      <w:tr>
        <w:tc>
          <w:tcPr>
            <w:tcW w:w="4920" w:type="dxa"/>
          </w:tcPr>
          <w:p>
            <w:pPr/>
            <w:r>
              <w:t xml:space="preserve">PPO upper bound if every unresolved plan were PPO</w:t>
            </w:r>
          </w:p>
        </w:tc>
        <w:tc>
          <w:tcPr>
            <w:tcW w:w="4440" w:type="dxa"/>
          </w:tcPr>
          <w:p>
            <w:pPr/>
            <w:r>
              <w:t xml:space="preserve">583</w:t>
            </w:r>
          </w:p>
        </w:tc>
      </w:tr>
      <w:tr>
        <w:tc>
          <w:tcPr>
            <w:tcW w:w="4920" w:type="dxa"/>
          </w:tcPr>
          <w:p>
            <w:pPr/>
            <w:r>
              <w:t xml:space="preserve">PPO rate files</w:t>
            </w:r>
          </w:p>
        </w:tc>
        <w:tc>
          <w:tcPr>
            <w:tcW w:w="4440" w:type="dxa"/>
          </w:tcPr>
          <w:p>
            <w:pPr/>
            <w:r>
              <w:t xml:space="preserve">1: </w:t>
            </w:r>
            <w:r>
              <w:rPr>
                <w:rStyle w:val="CodeChar"/>
              </w:rPr>
              <w:t xml:space="preserve">healthnet-ca_in-network.json</w:t>
            </w:r>
            <w:r>
              <w:t xml:space="preserve"> (about 702 MB), labelled MIXED</w:t>
            </w:r>
          </w:p>
        </w:tc>
      </w:tr>
      <w:tr>
        <w:tc>
          <w:tcPr>
            <w:tcW w:w="4920" w:type="dxa"/>
          </w:tcPr>
          <w:p>
            <w:pPr/>
            <w:r>
              <w:t xml:space="preserve">Automated tests passing</w:t>
            </w:r>
          </w:p>
        </w:tc>
        <w:tc>
          <w:tcPr>
            <w:tcW w:w="4440" w:type="dxa"/>
          </w:tcPr>
          <w:p>
            <w:pPr/>
            <w:r>
              <w:t xml:space="preserve">59</w:t>
            </w:r>
          </w:p>
        </w:tc>
      </w:tr>
    </w:tbl>
    <w:p>
      <w:pPr/>
      <w:r>
        <w:t xml:space="preserve">No machine-learning model is used. Every decision is a written rule with a reason code that a reviewer can trace to the plan name or file.</w:t>
      </w:r>
    </w:p>
    <w:p>
      <w:pPr>
        <w:pStyle w:val="Heading2"/>
      </w:pPr>
      <w:r>
        <w:t xml:space="preserve">Data and setup</w:t>
      </w:r>
    </w:p>
    <w:p>
      <w:pPr/>
      <w:r>
        <w:t xml:space="preserve">The input is 11 Centene TiC index files (snapshot 2026-09-28/30). All use schema v2.0.0, and all name the same reporting entity: Centene Management Company LLC, a third-party administrator (TPA).</w:t>
      </w:r>
    </w:p>
    <w:tbl>
      <w:tblPr>
        <w:tblStyle w:val="TableGrid"/>
        <w:tblW w:w="0" w:type="auto"/>
        <w:tblLayout w:type="fixed"/>
        <w:tblLook w:val="04A0" w:firstRow="1" w:lastRow="0" w:firstColumn="0" w:lastColumn="0" w:noHBand="0" w:noVBand="1"/>
      </w:tblPr>
      <w:tblGrid>
        <w:gridCol w:w="1422"/>
        <w:gridCol w:w="1500"/>
        <w:gridCol w:w="1319"/>
        <w:gridCol w:w="1266"/>
        <w:gridCol w:w="3853"/>
      </w:tblGrid>
      <w:tr>
        <w:trPr>
          <w:tblHeader/>
        </w:trPr>
        <w:tc>
          <w:tcPr>
            <w:tcW w:w="1422" w:type="dxa"/>
            <w:shd w:val="clear" w:color="auto" w:fill="F2F2F2"/>
          </w:tcPr>
          <w:p>
            <w:pPr/>
            <w:r>
              <w:t xml:space="preserve">Brand</w:t>
            </w:r>
          </w:p>
        </w:tc>
        <w:tc>
          <w:tcPr>
            <w:tcW w:w="1500" w:type="dxa"/>
            <w:shd w:val="clear" w:color="auto" w:fill="F2F2F2"/>
          </w:tcPr>
          <w:p>
            <w:pPr/>
            <w:r>
              <w:t xml:space="preserve">Index files</w:t>
            </w:r>
          </w:p>
        </w:tc>
        <w:tc>
          <w:tcPr>
            <w:tcW w:w="1319" w:type="dxa"/>
            <w:shd w:val="clear" w:color="auto" w:fill="F2F2F2"/>
          </w:tcPr>
          <w:p>
            <w:pPr/>
            <w:r>
              <w:t xml:space="preserve">Plan entries</w:t>
            </w:r>
          </w:p>
        </w:tc>
        <w:tc>
          <w:tcPr>
            <w:tcW w:w="1266" w:type="dxa"/>
            <w:shd w:val="clear" w:color="auto" w:fill="F2F2F2"/>
          </w:tcPr>
          <w:p>
            <w:pPr/>
            <w:r>
              <w:t xml:space="preserve">Market</w:t>
            </w:r>
          </w:p>
        </w:tc>
        <w:tc>
          <w:tcPr>
            <w:tcW w:w="3853" w:type="dxa"/>
            <w:shd w:val="clear" w:color="auto" w:fill="F2F2F2"/>
          </w:tcPr>
          <w:p>
            <w:pPr/>
            <w:r>
              <w:t xml:space="preserve">In-network files</w:t>
            </w:r>
          </w:p>
        </w:tc>
      </w:tr>
      <w:tr>
        <w:tc>
          <w:tcPr>
            <w:tcW w:w="1422" w:type="dxa"/>
          </w:tcPr>
          <w:p>
            <w:pPr/>
            <w:r>
              <w:t xml:space="preserve">Health Net</w:t>
            </w:r>
          </w:p>
        </w:tc>
        <w:tc>
          <w:tcPr>
            <w:tcW w:w="1500" w:type="dxa"/>
          </w:tcPr>
          <w:p>
            <w:pPr/>
            <w:r>
              <w:t xml:space="preserve">1</w:t>
            </w:r>
          </w:p>
        </w:tc>
        <w:tc>
          <w:tcPr>
            <w:tcW w:w="1319" w:type="dxa"/>
          </w:tcPr>
          <w:p>
            <w:pPr/>
            <w:r>
              <w:t xml:space="preserve">1,693</w:t>
            </w:r>
          </w:p>
        </w:tc>
        <w:tc>
          <w:tcPr>
            <w:tcW w:w="1266" w:type="dxa"/>
          </w:tcPr>
          <w:p>
            <w:pPr/>
            <w:r>
              <w:t xml:space="preserve">group</w:t>
            </w:r>
          </w:p>
        </w:tc>
        <w:tc>
          <w:tcPr>
            <w:tcW w:w="3853" w:type="dxa"/>
          </w:tcPr>
          <w:p>
            <w:pPr/>
            <w:r>
              <w:t xml:space="preserve">2 (</w:t>
            </w:r>
            <w:r>
              <w:rPr>
                <w:rStyle w:val="CodeChar"/>
              </w:rPr>
              <w:t xml:space="preserve">healthnet-ca</w:t>
            </w:r>
            <w:r>
              <w:t xml:space="preserve">, </w:t>
            </w:r>
            <w:r>
              <w:rPr>
                <w:rStyle w:val="CodeChar"/>
              </w:rPr>
              <w:t xml:space="preserve">healthnet-or</w:t>
            </w:r>
            <w:r>
              <w:t xml:space="preserve">)</w:t>
            </w:r>
          </w:p>
        </w:tc>
      </w:tr>
      <w:tr>
        <w:tc>
          <w:tcPr>
            <w:tcW w:w="1422" w:type="dxa"/>
          </w:tcPr>
          <w:p>
            <w:pPr/>
            <w:r>
              <w:t xml:space="preserve">Ambetter</w:t>
            </w:r>
          </w:p>
        </w:tc>
        <w:tc>
          <w:tcPr>
            <w:tcW w:w="1500" w:type="dxa"/>
          </w:tcPr>
          <w:p>
            <w:pPr/>
            <w:r>
              <w:t xml:space="preserve">1</w:t>
            </w:r>
          </w:p>
        </w:tc>
        <w:tc>
          <w:tcPr>
            <w:tcW w:w="1319" w:type="dxa"/>
          </w:tcPr>
          <w:p>
            <w:pPr/>
            <w:r>
              <w:t xml:space="preserve">1,120</w:t>
            </w:r>
          </w:p>
        </w:tc>
        <w:tc>
          <w:tcPr>
            <w:tcW w:w="1266" w:type="dxa"/>
          </w:tcPr>
          <w:p>
            <w:pPr/>
            <w:r>
              <w:t xml:space="preserve">individual</w:t>
            </w:r>
          </w:p>
        </w:tc>
        <w:tc>
          <w:tcPr>
            <w:tcW w:w="3853" w:type="dxa"/>
          </w:tcPr>
          <w:p>
            <w:pPr/>
            <w:r>
              <w:t xml:space="preserve">28 (one per state)</w:t>
            </w:r>
          </w:p>
        </w:tc>
      </w:tr>
      <w:tr>
        <w:tc>
          <w:tcPr>
            <w:tcW w:w="1422" w:type="dxa"/>
          </w:tcPr>
          <w:p>
            <w:pPr/>
            <w:r>
              <w:t xml:space="preserve">QualChoice</w:t>
            </w:r>
          </w:p>
        </w:tc>
        <w:tc>
          <w:tcPr>
            <w:tcW w:w="1500" w:type="dxa"/>
          </w:tcPr>
          <w:p>
            <w:pPr/>
            <w:r>
              <w:t xml:space="preserve">8 (base + 7 employer sub-indexes)</w:t>
            </w:r>
          </w:p>
        </w:tc>
        <w:tc>
          <w:tcPr>
            <w:tcW w:w="1319" w:type="dxa"/>
          </w:tcPr>
          <w:p>
            <w:pPr/>
            <w:r>
              <w:t xml:space="preserve">368 (363 unique)</w:t>
            </w:r>
          </w:p>
        </w:tc>
        <w:tc>
          <w:tcPr>
            <w:tcW w:w="1266" w:type="dxa"/>
          </w:tcPr>
          <w:p>
            <w:pPr/>
            <w:r>
              <w:t xml:space="preserve">group</w:t>
            </w:r>
          </w:p>
        </w:tc>
        <w:tc>
          <w:tcPr>
            <w:tcW w:w="3853" w:type="dxa"/>
          </w:tcPr>
          <w:p>
            <w:pPr/>
            <w:r>
              <w:t xml:space="preserve">1 shared (</w:t>
            </w:r>
            <w:r>
              <w:rPr>
                <w:rStyle w:val="CodeChar"/>
              </w:rPr>
              <w:t xml:space="preserve">qualchoice</w:t>
            </w:r>
            <w:r>
              <w:t xml:space="preserve">, Arkansas)</w:t>
            </w:r>
          </w:p>
        </w:tc>
      </w:tr>
      <w:tr>
        <w:tc>
          <w:tcPr>
            <w:tcW w:w="1422" w:type="dxa"/>
          </w:tcPr>
          <w:p>
            <w:pPr/>
            <w:r>
              <w:t xml:space="preserve">Fidelis</w:t>
            </w:r>
          </w:p>
        </w:tc>
        <w:tc>
          <w:tcPr>
            <w:tcW w:w="1500" w:type="dxa"/>
          </w:tcPr>
          <w:p>
            <w:pPr/>
            <w:r>
              <w:t xml:space="preserve">1</w:t>
            </w:r>
          </w:p>
        </w:tc>
        <w:tc>
          <w:tcPr>
            <w:tcW w:w="1319" w:type="dxa"/>
          </w:tcPr>
          <w:p>
            <w:pPr/>
            <w:r>
              <w:t xml:space="preserve">94</w:t>
            </w:r>
          </w:p>
        </w:tc>
        <w:tc>
          <w:tcPr>
            <w:tcW w:w="1266" w:type="dxa"/>
          </w:tcPr>
          <w:p>
            <w:pPr/>
            <w:r>
              <w:t xml:space="preserve">individual</w:t>
            </w:r>
          </w:p>
        </w:tc>
        <w:tc>
          <w:tcPr>
            <w:tcW w:w="3853" w:type="dxa"/>
          </w:tcPr>
          <w:p>
            <w:pPr/>
            <w:r>
              <w:t xml:space="preserve">2 (</w:t>
            </w:r>
            <w:r>
              <w:rPr>
                <w:rStyle w:val="CodeChar"/>
              </w:rPr>
              <w:t xml:space="preserve">fidelis-ex</w:t>
            </w:r>
            <w:r>
              <w:t xml:space="preserve">, </w:t>
            </w:r>
            <w:r>
              <w:rPr>
                <w:rStyle w:val="CodeChar"/>
              </w:rPr>
              <w:t xml:space="preserve">fidelis-es</w:t>
            </w:r>
            <w:r>
              <w:t xml:space="preserve">, New York)</w:t>
            </w:r>
          </w:p>
        </w:tc>
      </w:tr>
    </w:tbl>
    <w:p>
      <w:pPr/>
      <w:r>
        <w:t xml:space="preserve">Every </w:t>
      </w:r>
      <w:r>
        <w:rPr>
          <w:rStyle w:val="CodeChar"/>
        </w:rPr>
        <w:t xml:space="preserve">reporting_structure</w:t>
      </w:r>
      <w:r>
        <w:t xml:space="preserve"> entry has </w:t>
      </w:r>
      <w:r>
        <w:rPr>
          <w:rStyle w:val="CodeChar"/>
        </w:rPr>
        <w:t xml:space="preserve">reporting_plans</w:t>
      </w:r>
      <w:r>
        <w:t xml:space="preserve">, </w:t>
      </w:r>
      <w:r>
        <w:rPr>
          <w:rStyle w:val="CodeChar"/>
        </w:rPr>
        <w:t xml:space="preserve">in_network_files</w:t>
      </w:r>
      <w:r>
        <w:t xml:space="preserve"> (description + location) and an </w:t>
      </w:r>
      <w:r>
        <w:rPr>
          <w:rStyle w:val="CodeChar"/>
        </w:rPr>
        <w:t xml:space="preserve">allowed_amount_file</w:t>
      </w:r>
      <w:r>
        <w:t xml:space="preserve">. No index points to another index.</w:t>
      </w:r>
    </w:p>
    <w:p>
      <w:pPr/>
      <w:r>
        <w:rPr>
          <w:b/>
        </w:rPr>
        <w:t xml:space="preserve">Pipeline.</w:t>
      </w:r>
      <w:r>
        <w:t xml:space="preserve"> The code is a Python 3.11+ project. Every path comes from </w:t>
      </w:r>
      <w:r>
        <w:rPr>
          <w:rStyle w:val="CodeChar"/>
        </w:rPr>
        <w:t xml:space="preserve">config/config.yaml</w:t>
      </w:r>
      <w:r>
        <w:t xml:space="preserve">, and nothing is hard-coded. Each stage runs through one entry point:</w:t>
      </w:r>
    </w:p>
    <w:p>
      <w:pPr>
        <w:pStyle w:val="Code"/>
      </w:pPr>
      <w:bookmarkStart w:id="1" w:name="bongo_lang_bash_1"/>
      <w:bookmarkEnd w:id="1"/>
      <w:r>
        <w:t xml:space="preserve">.venv/bin/python -m src.run --stage all</w:t>
      </w:r>
    </w:p>
    <w:tbl>
      <w:tblPr>
        <w:tblStyle w:val="TableGrid"/>
        <w:tblW w:w="0" w:type="auto"/>
        <w:tblLayout w:type="fixed"/>
        <w:tblLook w:val="04A0" w:firstRow="1" w:lastRow="0" w:firstColumn="0" w:lastColumn="0" w:noHBand="0" w:noVBand="1"/>
      </w:tblPr>
      <w:tblGrid>
        <w:gridCol w:w="829"/>
        <w:gridCol w:w="3725"/>
        <w:gridCol w:w="4806"/>
      </w:tblGrid>
      <w:tr>
        <w:trPr>
          <w:tblHeader/>
        </w:trPr>
        <w:tc>
          <w:tcPr>
            <w:tcW w:w="829" w:type="dxa"/>
            <w:shd w:val="clear" w:color="auto" w:fill="F2F2F2"/>
          </w:tcPr>
          <w:p>
            <w:pPr/>
            <w:r>
              <w:t xml:space="preserve">Stage</w:t>
            </w:r>
          </w:p>
        </w:tc>
        <w:tc>
          <w:tcPr>
            <w:tcW w:w="3725" w:type="dxa"/>
            <w:shd w:val="clear" w:color="auto" w:fill="F2F2F2"/>
          </w:tcPr>
          <w:p>
            <w:pPr/>
            <w:r>
              <w:t xml:space="preserve">Purpose</w:t>
            </w:r>
          </w:p>
        </w:tc>
        <w:tc>
          <w:tcPr>
            <w:tcW w:w="4806" w:type="dxa"/>
            <w:shd w:val="clear" w:color="auto" w:fill="F2F2F2"/>
          </w:tcPr>
          <w:p>
            <w:pPr/>
            <w:r>
              <w:t xml:space="preserve">Main outputs</w:t>
            </w:r>
          </w:p>
        </w:tc>
      </w:tr>
      <w:tr>
        <w:tc>
          <w:tcPr>
            <w:tcW w:w="829" w:type="dxa"/>
          </w:tcPr>
          <w:p>
            <w:pPr/>
            <w:r>
              <w:t xml:space="preserve">recon</w:t>
            </w:r>
          </w:p>
        </w:tc>
        <w:tc>
          <w:tcPr>
            <w:tcW w:w="3725" w:type="dxa"/>
          </w:tcPr>
          <w:p>
            <w:pPr/>
            <w:r>
              <w:t xml:space="preserve">Streams every index file and profiles its schema, plans and URLs</w:t>
            </w:r>
          </w:p>
        </w:tc>
        <w:tc>
          <w:tcPr>
            <w:tcW w:w="4806" w:type="dxa"/>
          </w:tcPr>
          <w:p>
            <w:pPr/>
            <w:r>
              <w:rPr>
                <w:rStyle w:val="CodeChar"/>
              </w:rPr>
              <w:t xml:space="preserve">outputs/c1/recon_report.md</w:t>
            </w:r>
          </w:p>
        </w:tc>
      </w:tr>
      <w:tr>
        <w:tc>
          <w:tcPr>
            <w:tcW w:w="829" w:type="dxa"/>
          </w:tcPr>
          <w:p>
            <w:pPr/>
            <w:r>
              <w:t xml:space="preserve">c1</w:t>
            </w:r>
          </w:p>
        </w:tc>
        <w:tc>
          <w:tcPr>
            <w:tcW w:w="3725" w:type="dxa"/>
          </w:tcPr>
          <w:p>
            <w:pPr/>
            <w:r>
              <w:t xml:space="preserve">Parses the indexes into plan and file tables</w:t>
            </w:r>
          </w:p>
        </w:tc>
        <w:tc>
          <w:tcPr>
            <w:tcW w:w="4806" w:type="dxa"/>
          </w:tcPr>
          <w:p>
            <w:pPr/>
            <w:r>
              <w:rPr>
                <w:rStyle w:val="CodeChar"/>
              </w:rPr>
              <w:t xml:space="preserve">plan_file_long</w:t>
            </w:r>
            <w:r>
              <w:t xml:space="preserve">, </w:t>
            </w:r>
            <w:r>
              <w:rPr>
                <w:rStyle w:val="CodeChar"/>
              </w:rPr>
              <w:t xml:space="preserve">files_dedup</w:t>
            </w:r>
            <w:r>
              <w:t xml:space="preserve">, </w:t>
            </w:r>
            <w:r>
              <w:rPr>
                <w:rStyle w:val="CodeChar"/>
              </w:rPr>
              <w:t xml:space="preserve">plans</w:t>
            </w:r>
            <w:r>
              <w:t xml:space="preserve">, </w:t>
            </w:r>
            <w:r>
              <w:rPr>
                <w:rStyle w:val="CodeChar"/>
              </w:rPr>
              <w:t xml:space="preserve">c1_stats.json</w:t>
            </w:r>
          </w:p>
        </w:tc>
      </w:tr>
      <w:tr>
        <w:tc>
          <w:tcPr>
            <w:tcW w:w="829" w:type="dxa"/>
          </w:tcPr>
          <w:p>
            <w:pPr/>
            <w:r>
              <w:t xml:space="preserve">c2</w:t>
            </w:r>
          </w:p>
        </w:tc>
        <w:tc>
          <w:tcPr>
            <w:tcW w:w="3725" w:type="dxa"/>
          </w:tcPr>
          <w:p>
            <w:pPr/>
            <w:r>
              <w:t xml:space="preserve">Applies the scope filters and the network rules</w:t>
            </w:r>
          </w:p>
        </w:tc>
        <w:tc>
          <w:tcPr>
            <w:tcW w:w="4806" w:type="dxa"/>
          </w:tcPr>
          <w:p>
            <w:pPr/>
            <w:r>
              <w:rPr>
                <w:rStyle w:val="CodeChar"/>
              </w:rPr>
              <w:t xml:space="preserve">plan_classification</w:t>
            </w:r>
            <w:r>
              <w:t xml:space="preserve">, </w:t>
            </w:r>
            <w:r>
              <w:rPr>
                <w:rStyle w:val="CodeChar"/>
              </w:rPr>
              <w:t xml:space="preserve">file_classification</w:t>
            </w:r>
            <w:r>
              <w:t xml:space="preserve">, </w:t>
            </w:r>
            <w:r>
              <w:rPr>
                <w:rStyle w:val="CodeChar"/>
              </w:rPr>
              <w:t xml:space="preserve">ppo_plans</w:t>
            </w:r>
            <w:r>
              <w:t xml:space="preserve">, </w:t>
            </w:r>
            <w:r>
              <w:rPr>
                <w:rStyle w:val="CodeChar"/>
              </w:rPr>
              <w:t xml:space="preserve">ppo_files</w:t>
            </w:r>
            <w:r>
              <w:t xml:space="preserve">, </w:t>
            </w:r>
            <w:r>
              <w:rPr>
                <w:rStyle w:val="CodeChar"/>
              </w:rPr>
              <w:t xml:space="preserve">exclusions_summary</w:t>
            </w:r>
            <w:r>
              <w:t xml:space="preserve">, </w:t>
            </w:r>
            <w:r>
              <w:rPr>
                <w:rStyle w:val="CodeChar"/>
              </w:rPr>
              <w:t xml:space="preserve">conflicts</w:t>
            </w:r>
            <w:r>
              <w:t xml:space="preserve">, </w:t>
            </w:r>
            <w:r>
              <w:rPr>
                <w:rStyle w:val="CodeChar"/>
              </w:rPr>
              <w:t xml:space="preserve">c2_stats.json</w:t>
            </w:r>
          </w:p>
        </w:tc>
      </w:tr>
    </w:tbl>
    <w:p>
      <w:pPr/>
      <w:r>
        <w:t xml:space="preserve">Files are streamed with </w:t>
      </w:r>
      <w:r>
        <w:rPr>
          <w:rStyle w:val="CodeChar"/>
        </w:rPr>
        <w:t xml:space="preserve">ijson</w:t>
      </w:r>
      <w:r>
        <w:t xml:space="preserve"> and processed in parallel. Re-running gives identical outputs, and the logic is written up in </w:t>
      </w:r>
      <w:r>
        <w:rPr>
          <w:rStyle w:val="CodeChar"/>
        </w:rPr>
        <w:t xml:space="preserve">docs/logic_c1_c2.md</w:t>
      </w:r>
      <w:r>
        <w:t xml:space="preserve">.</w:t>
      </w:r>
    </w:p>
    <w:p>
      <w:pPr>
        <w:pStyle w:val="Heading2"/>
      </w:pPr>
      <w:r>
        <w:t xml:space="preserve">C1: one table of plans and rate files</w:t>
      </w:r>
    </w:p>
    <w:p>
      <w:pPr/>
      <w:r>
        <w:t xml:space="preserve">C1 is complete. All 11 indexes are parsed into one table (brand, plan name, plan ID, market type, rate-file URL), and repeated files and plans are removed.</w:t>
      </w:r>
    </w:p>
    <w:tbl>
      <w:tblPr>
        <w:tblStyle w:val="TableGrid"/>
        <w:tblW w:w="0" w:type="auto"/>
        <w:tblLayout w:type="fixed"/>
        <w:tblLook w:val="04A0" w:firstRow="1" w:lastRow="0" w:firstColumn="0" w:lastColumn="0" w:noHBand="0" w:noVBand="1"/>
      </w:tblPr>
      <w:tblGrid>
        <w:gridCol w:w="4203"/>
        <w:gridCol w:w="5156"/>
      </w:tblGrid>
      <w:tr>
        <w:trPr>
          <w:tblHeader/>
        </w:trPr>
        <w:tc>
          <w:tcPr>
            <w:tcW w:w="4203" w:type="dxa"/>
            <w:shd w:val="clear" w:color="auto" w:fill="F2F2F2"/>
          </w:tcPr>
          <w:p>
            <w:pPr/>
            <w:r>
              <w:t xml:space="preserve">C1 statistic</w:t>
            </w:r>
          </w:p>
        </w:tc>
        <w:tc>
          <w:tcPr>
            <w:tcW w:w="5156" w:type="dxa"/>
            <w:shd w:val="clear" w:color="auto" w:fill="F2F2F2"/>
          </w:tcPr>
          <w:p>
            <w:pPr/>
            <w:r>
              <w:t xml:space="preserve">Value</w:t>
            </w:r>
          </w:p>
        </w:tc>
      </w:tr>
      <w:tr>
        <w:tc>
          <w:tcPr>
            <w:tcW w:w="4203" w:type="dxa"/>
          </w:tcPr>
          <w:p>
            <w:pPr/>
            <w:r>
              <w:rPr>
                <w:rStyle w:val="CodeChar"/>
              </w:rPr>
              <w:t xml:space="preserve">reporting_structure</w:t>
            </w:r>
            <w:r>
              <w:t xml:space="preserve"> entries</w:t>
            </w:r>
          </w:p>
        </w:tc>
        <w:tc>
          <w:tcPr>
            <w:tcW w:w="5156" w:type="dxa"/>
          </w:tcPr>
          <w:p>
            <w:pPr/>
            <w:r>
              <w:t xml:space="preserve">40</w:t>
            </w:r>
          </w:p>
        </w:tc>
      </w:tr>
      <w:tr>
        <w:tc>
          <w:tcPr>
            <w:tcW w:w="4203" w:type="dxa"/>
          </w:tcPr>
          <w:p>
            <w:pPr/>
            <w:r>
              <w:t xml:space="preserve">Plan entries / plan × file rows</w:t>
            </w:r>
          </w:p>
        </w:tc>
        <w:tc>
          <w:tcPr>
            <w:tcW w:w="5156" w:type="dxa"/>
          </w:tcPr>
          <w:p>
            <w:pPr/>
            <w:r>
              <w:t xml:space="preserve">3,275 / 3,275</w:t>
            </w:r>
          </w:p>
        </w:tc>
      </w:tr>
      <w:tr>
        <w:tc>
          <w:tcPr>
            <w:tcW w:w="4203" w:type="dxa"/>
          </w:tcPr>
          <w:p>
            <w:pPr/>
            <w:r>
              <w:t xml:space="preserve">Plan entries with no in-network file</w:t>
            </w:r>
          </w:p>
        </w:tc>
        <w:tc>
          <w:tcPr>
            <w:tcW w:w="5156" w:type="dxa"/>
          </w:tcPr>
          <w:p>
            <w:pPr/>
            <w:r>
              <w:t xml:space="preserve">0</w:t>
            </w:r>
          </w:p>
        </w:tc>
      </w:tr>
      <w:tr>
        <w:tc>
          <w:tcPr>
            <w:tcW w:w="4203" w:type="dxa"/>
          </w:tcPr>
          <w:p>
            <w:pPr/>
            <w:r>
              <w:t xml:space="preserve">Unique plans</w:t>
            </w:r>
          </w:p>
        </w:tc>
        <w:tc>
          <w:tcPr>
            <w:tcW w:w="5156" w:type="dxa"/>
          </w:tcPr>
          <w:p>
            <w:pPr/>
            <w:r>
              <w:t xml:space="preserve">3,270</w:t>
            </w:r>
          </w:p>
        </w:tc>
      </w:tr>
      <w:tr>
        <w:tc>
          <w:tcPr>
            <w:tcW w:w="4203" w:type="dxa"/>
          </w:tcPr>
          <w:p>
            <w:pPr/>
            <w:r>
              <w:t xml:space="preserve">Duplicate plan entries collapsed</w:t>
            </w:r>
          </w:p>
        </w:tc>
        <w:tc>
          <w:tcPr>
            <w:tcW w:w="5156" w:type="dxa"/>
          </w:tcPr>
          <w:p>
            <w:pPr/>
            <w:r>
              <w:t xml:space="preserve">5</w:t>
            </w:r>
          </w:p>
        </w:tc>
      </w:tr>
      <w:tr>
        <w:tc>
          <w:tcPr>
            <w:tcW w:w="4203" w:type="dxa"/>
          </w:tcPr>
          <w:p>
            <w:pPr/>
            <w:r>
              <w:t xml:space="preserve">In-network file entries</w:t>
            </w:r>
          </w:p>
        </w:tc>
        <w:tc>
          <w:tcPr>
            <w:tcW w:w="5156" w:type="dxa"/>
          </w:tcPr>
          <w:p>
            <w:pPr/>
            <w:r>
              <w:t xml:space="preserve">40</w:t>
            </w:r>
          </w:p>
        </w:tc>
      </w:tr>
      <w:tr>
        <w:tc>
          <w:tcPr>
            <w:tcW w:w="4203" w:type="dxa"/>
          </w:tcPr>
          <w:p>
            <w:pPr/>
            <w:r>
              <w:t xml:space="preserve">Unique files after dedup</w:t>
            </w:r>
          </w:p>
        </w:tc>
        <w:tc>
          <w:tcPr>
            <w:tcW w:w="5156" w:type="dxa"/>
          </w:tcPr>
          <w:p>
            <w:pPr/>
            <w:r>
              <w:t xml:space="preserve">33</w:t>
            </w:r>
          </w:p>
        </w:tc>
      </w:tr>
      <w:tr>
        <w:tc>
          <w:tcPr>
            <w:tcW w:w="4203" w:type="dxa"/>
          </w:tcPr>
          <w:p>
            <w:pPr/>
            <w:r>
              <w:t xml:space="preserve">Duplicate file entries removed</w:t>
            </w:r>
          </w:p>
        </w:tc>
        <w:tc>
          <w:tcPr>
            <w:tcW w:w="5156" w:type="dxa"/>
          </w:tcPr>
          <w:p>
            <w:pPr/>
            <w:r>
              <w:t xml:space="preserve">7 (QualChoice sub-indexes re-listing the shared file)</w:t>
            </w:r>
          </w:p>
        </w:tc>
      </w:tr>
      <w:tr>
        <w:tc>
          <w:tcPr>
            <w:tcW w:w="4203" w:type="dxa"/>
          </w:tcPr>
          <w:p>
            <w:pPr/>
            <w:r>
              <w:t xml:space="preserve">URLs merged only by normalization</w:t>
            </w:r>
          </w:p>
        </w:tc>
        <w:tc>
          <w:tcPr>
            <w:tcW w:w="5156" w:type="dxa"/>
          </w:tcPr>
          <w:p>
            <w:pPr/>
            <w:r>
              <w:t xml:space="preserve">0</w:t>
            </w:r>
          </w:p>
        </w:tc>
      </w:tr>
      <w:tr>
        <w:tc>
          <w:tcPr>
            <w:tcW w:w="4203" w:type="dxa"/>
          </w:tcPr>
          <w:p>
            <w:pPr/>
            <w:r>
              <w:t xml:space="preserve">Same file name, different URL</w:t>
            </w:r>
          </w:p>
        </w:tc>
        <w:tc>
          <w:tcPr>
            <w:tcW w:w="5156" w:type="dxa"/>
          </w:tcPr>
          <w:p>
            <w:pPr/>
            <w:r>
              <w:t xml:space="preserve">0</w:t>
            </w:r>
          </w:p>
        </w:tc>
      </w:tr>
    </w:tbl>
    <w:p>
      <w:pPr/>
      <w:r>
        <w:rPr>
          <w:b/>
        </w:rPr>
        <w:t xml:space="preserve">Dedup rule.</w:t>
      </w:r>
      <w:r>
        <w:t xml:space="preserve"> Two entries are the same file only if their normalized URLs match. Normalization:</w:t>
      </w:r>
    </w:p>
    <w:p>
      <w:pPr>
        <w:pStyle w:val="ListParagraph"/>
        <w:numPr>
          <w:ilvl w:val="0"/>
          <w:numId w:val="2"/>
        </w:numPr>
      </w:pPr>
      <w:r>
        <w:t xml:space="preserve">Trims whitespace.</w:t>
      </w:r>
    </w:p>
    <w:p>
      <w:pPr>
        <w:pStyle w:val="ListParagraph"/>
        <w:numPr>
          <w:ilvl w:val="0"/>
          <w:numId w:val="2"/>
        </w:numPr>
      </w:pPr>
      <w:r>
        <w:t xml:space="preserve">Lowercases the scheme and host, and drops default ports.</w:t>
      </w:r>
    </w:p>
    <w:p>
      <w:pPr>
        <w:pStyle w:val="ListParagraph"/>
        <w:numPr>
          <w:ilvl w:val="0"/>
          <w:numId w:val="2"/>
        </w:numPr>
      </w:pPr>
      <w:r>
        <w:t xml:space="preserve">Strips the query string and fragment, which removes signatures and tracking parameters.</w:t>
      </w:r>
    </w:p>
    <w:p>
      <w:pPr>
        <w:pStyle w:val="ListParagraph"/>
        <w:numPr>
          <w:ilvl w:val="0"/>
          <w:numId w:val="2"/>
        </w:numPr>
      </w:pPr>
      <w:r>
        <w:t xml:space="preserve">Canonicalizes percent-encoding in the path.</w:t>
      </w:r>
    </w:p>
    <w:p>
      <w:pPr>
        <w:pStyle w:val="ListParagraph"/>
        <w:numPr>
          <w:ilvl w:val="0"/>
          <w:numId w:val="2"/>
        </w:numPr>
      </w:pPr>
      <w:r>
        <w:t xml:space="preserve">Keeps the path's case, because servers treat case as significant.</w:t>
      </w:r>
    </w:p>
    <w:p>
      <w:pPr/>
      <w:r>
        <w:t xml:space="preserve">Files that share a name but have different URLs are reported, never merged. The 5 collapsed plan entries are 4 City of Fort Smith plans listed in both the </w:t>
      </w:r>
      <w:r>
        <w:rPr>
          <w:rStyle w:val="CodeChar"/>
        </w:rPr>
        <w:t xml:space="preserve">big_four</w:t>
      </w:r>
      <w:r>
        <w:t xml:space="preserve"> and </w:t>
      </w:r>
      <w:r>
        <w:rPr>
          <w:rStyle w:val="CodeChar"/>
        </w:rPr>
        <w:t xml:space="preserve">city_of_fort_smith</w:t>
      </w:r>
      <w:r>
        <w:t xml:space="preserve"> sub-indexes, and 1 plan (</w:t>
      </w:r>
      <w:r>
        <w:rPr>
          <w:rStyle w:val="CodeChar"/>
        </w:rPr>
        <w:t xml:space="preserve">PreferredChoice $500 Deductible</w:t>
      </w:r>
      <w:r>
        <w:t xml:space="preserve">) listed twice in the base QualChoice index.</w:t>
      </w:r>
    </w:p>
    <w:tbl>
      <w:tblPr>
        <w:tblStyle w:val="TableGrid"/>
        <w:tblW w:w="0" w:type="auto"/>
        <w:tblLayout w:type="fixed"/>
        <w:tblLook w:val="04A0" w:firstRow="1" w:lastRow="0" w:firstColumn="0" w:lastColumn="0" w:noHBand="0" w:noVBand="1"/>
      </w:tblPr>
      <w:tblGrid>
        <w:gridCol w:w="4442"/>
        <w:gridCol w:w="4918"/>
      </w:tblGrid>
      <w:tr>
        <w:trPr>
          <w:tblHeader/>
        </w:trPr>
        <w:tc>
          <w:tcPr>
            <w:tcW w:w="4442" w:type="dxa"/>
            <w:shd w:val="clear" w:color="auto" w:fill="F2F2F2"/>
          </w:tcPr>
          <w:p>
            <w:pPr/>
            <w:r>
              <w:t xml:space="preserve">Output (in </w:t>
            </w:r>
            <w:r>
              <w:rPr>
                <w:rStyle w:val="CodeChar"/>
              </w:rPr>
              <w:t xml:space="preserve">outputs/c1/</w:t>
            </w:r>
            <w:r>
              <w:t xml:space="preserve">, CSV + Parquet)</w:t>
            </w:r>
          </w:p>
        </w:tc>
        <w:tc>
          <w:tcPr>
            <w:tcW w:w="4918" w:type="dxa"/>
            <w:shd w:val="clear" w:color="auto" w:fill="F2F2F2"/>
          </w:tcPr>
          <w:p>
            <w:pPr/>
            <w:r>
              <w:t xml:space="preserve">One row per</w:t>
            </w:r>
          </w:p>
        </w:tc>
      </w:tr>
      <w:tr>
        <w:tc>
          <w:tcPr>
            <w:tcW w:w="4442" w:type="dxa"/>
          </w:tcPr>
          <w:p>
            <w:pPr/>
            <w:r>
              <w:rPr>
                <w:rStyle w:val="CodeChar"/>
              </w:rPr>
              <w:t xml:space="preserve">plan_file_long</w:t>
            </w:r>
          </w:p>
        </w:tc>
        <w:tc>
          <w:tcPr>
            <w:tcW w:w="4918" w:type="dxa"/>
          </w:tcPr>
          <w:p>
            <w:pPr/>
            <w:r>
              <w:t xml:space="preserve">plan × rate file (3,275)</w:t>
            </w:r>
          </w:p>
        </w:tc>
      </w:tr>
      <w:tr>
        <w:tc>
          <w:tcPr>
            <w:tcW w:w="4442" w:type="dxa"/>
          </w:tcPr>
          <w:p>
            <w:pPr/>
            <w:r>
              <w:rPr>
                <w:rStyle w:val="CodeChar"/>
              </w:rPr>
              <w:t xml:space="preserve">files_dedup</w:t>
            </w:r>
          </w:p>
        </w:tc>
        <w:tc>
          <w:tcPr>
            <w:tcW w:w="4918" w:type="dxa"/>
          </w:tcPr>
          <w:p>
            <w:pPr/>
            <w:r>
              <w:t xml:space="preserve">unique rate file, with </w:t>
            </w:r>
            <w:r>
              <w:rPr>
                <w:rStyle w:val="CodeChar"/>
              </w:rPr>
              <w:t xml:space="preserve">n_plans</w:t>
            </w:r>
            <w:r>
              <w:t xml:space="preserve">, brands, sample plan names (33)</w:t>
            </w:r>
          </w:p>
        </w:tc>
      </w:tr>
      <w:tr>
        <w:tc>
          <w:tcPr>
            <w:tcW w:w="4442" w:type="dxa"/>
          </w:tcPr>
          <w:p>
            <w:pPr/>
            <w:r>
              <w:rPr>
                <w:rStyle w:val="CodeChar"/>
              </w:rPr>
              <w:t xml:space="preserve">plans</w:t>
            </w:r>
          </w:p>
        </w:tc>
        <w:tc>
          <w:tcPr>
            <w:tcW w:w="4918" w:type="dxa"/>
          </w:tcPr>
          <w:p>
            <w:pPr/>
            <w:r>
              <w:t xml:space="preserve">unique plan (3,270)</w:t>
            </w:r>
          </w:p>
        </w:tc>
      </w:tr>
      <w:tr>
        <w:tc>
          <w:tcPr>
            <w:tcW w:w="4442" w:type="dxa"/>
          </w:tcPr>
          <w:p>
            <w:pPr/>
            <w:r>
              <w:rPr>
                <w:rStyle w:val="CodeChar"/>
              </w:rPr>
              <w:t xml:space="preserve">same_name_diff_url</w:t>
            </w:r>
          </w:p>
        </w:tc>
        <w:tc>
          <w:tcPr>
            <w:tcW w:w="4918" w:type="dxa"/>
          </w:tcPr>
          <w:p>
            <w:pPr/>
            <w:r>
              <w:t xml:space="preserve">file-name collision (0)</w:t>
            </w:r>
          </w:p>
        </w:tc>
      </w:tr>
    </w:tbl>
    <w:p>
      <w:pPr>
        <w:pStyle w:val="Heading2"/>
      </w:pPr>
      <w:r>
        <w:t xml:space="preserve">C2 scope: from 3,270 plans to 1,312 in scope</w:t>
      </w:r>
    </w:p>
    <w:p>
      <w:pPr/>
      <w:r>
        <w:t xml:space="preserve">Only Health Net's California group plans pass the scope filters: 1,312 plans. Every excluded plan keeps its reason code in </w:t>
      </w:r>
      <w:r>
        <w:rPr>
          <w:rStyle w:val="CodeChar"/>
        </w:rPr>
        <w:t xml:space="preserve">plan_classification.csv</w:t>
      </w:r>
      <w:r>
        <w:t xml:space="preserve">.</w:t>
      </w:r>
    </w:p>
    <w:p>
      <w:pPr/>
      <w:r>
        <w:drawing>
          <wp:inline distT="0" distB="0" distL="0" distR="0">
            <wp:extent cx="5486400" cy="2506435"/>
            <wp:docPr id="1" name="image1" descr="outputs/c2/c2_stats.json · snapshot 2026-09-28/30"/>
            <a:graphic xmlns:a="http://schemas.openxmlformats.org/drawingml/2006/main">
              <a:graphicData uri="http://schemas.openxmlformats.org/drawingml/2006/picture">
                <pic:pic xmlns:pic="http://schemas.openxmlformats.org/drawingml/2006/picture">
                  <pic:nvPicPr>
                    <pic:cNvPr id="1" name="image1" descr="outputs/c2/c2_stats.json · snapshot 2026-09-28/30"/>
                    <pic:cNvPicPr/>
                  </pic:nvPicPr>
                  <pic:blipFill>
                    <a:blip r:embed="rId3"/>
                    <a:stretch>
                      <a:fillRect/>
                    </a:stretch>
                  </pic:blipFill>
                  <pic:spPr>
                    <a:xfrm>
                      <a:off x="0" y="0"/>
                      <a:ext cx="5486400" cy="2506435"/>
                    </a:xfrm>
                    <a:prstGeom prst="rect">
                      <a:avLst/>
                    </a:prstGeom>
                  </pic:spPr>
                </pic:pic>
              </a:graphicData>
            </a:graphic>
          </wp:inline>
        </w:drawing>
      </w:r>
    </w:p>
    <w:p>
      <w:pPr/>
      <w:r>
        <w:t xml:space="preserve">outputs/c2/c2_stats.json · snapshot 2026-09-28/30</w:t>
      </w:r>
    </w:p>
    <w:p>
      <w:pPr/>
      <w:r>
        <w:t xml:space="preserve">State comes from, in order:</w:t>
      </w:r>
    </w:p>
    <w:p>
      <w:pPr>
        <w:pStyle w:val="ListParagraph"/>
        <w:numPr>
          <w:ilvl w:val="0"/>
          <w:numId w:val="3"/>
        </w:numPr>
      </w:pPr>
      <w:r>
        <w:t xml:space="preserve">The state token in the file URL (</w:t>
      </w:r>
      <w:r>
        <w:rPr>
          <w:rStyle w:val="CodeChar"/>
        </w:rPr>
        <w:t xml:space="preserve">_healthnet-ca_</w:t>
      </w:r>
      <w:r>
        <w:t xml:space="preserve">).</w:t>
      </w:r>
    </w:p>
    <w:p>
      <w:pPr>
        <w:pStyle w:val="ListParagraph"/>
        <w:numPr>
          <w:ilvl w:val="0"/>
          <w:numId w:val="3"/>
        </w:numPr>
      </w:pPr>
      <w:r>
        <w:t xml:space="preserve">The state inside a HIOS plan ID (</w:t>
      </w:r>
      <w:r>
        <w:rPr>
          <w:rStyle w:val="CodeChar"/>
        </w:rPr>
        <w:t xml:space="preserve">67138CA073</w:t>
      </w:r>
      <w:r>
        <w:t xml:space="preserve">).</w:t>
      </w:r>
    </w:p>
    <w:p>
      <w:pPr>
        <w:pStyle w:val="ListParagraph"/>
        <w:numPr>
          <w:ilvl w:val="0"/>
          <w:numId w:val="3"/>
        </w:numPr>
      </w:pPr>
      <w:r>
        <w:t xml:space="preserve">The brand's home state, used only when at least 90% of the brand's HIOS IDs agree: Fidelis NY 88/88, QualChoice AR 85/85.</w:t>
      </w:r>
    </w:p>
    <w:p>
      <w:pPr/>
      <w:r>
        <w:t xml:space="preserve">The filters for non-commercial products (Medicare, Medi-Cal, Medicaid) and dental/vision-only plans matched 0 plans; they stay in the code as guards.</w:t>
      </w:r>
    </w:p>
    <w:tbl>
      <w:tblPr>
        <w:tblStyle w:val="TableGrid"/>
        <w:tblW w:w="0" w:type="auto"/>
        <w:tblLayout w:type="fixed"/>
        <w:tblLook w:val="04A0" w:firstRow="1" w:lastRow="0" w:firstColumn="0" w:lastColumn="0" w:noHBand="0" w:noVBand="1"/>
      </w:tblPr>
      <w:tblGrid>
        <w:gridCol w:w="3242"/>
        <w:gridCol w:w="882"/>
        <w:gridCol w:w="5235"/>
      </w:tblGrid>
      <w:tr>
        <w:trPr>
          <w:tblHeader/>
        </w:trPr>
        <w:tc>
          <w:tcPr>
            <w:tcW w:w="3242" w:type="dxa"/>
            <w:shd w:val="clear" w:color="auto" w:fill="F2F2F2"/>
          </w:tcPr>
          <w:p>
            <w:pPr/>
            <w:r>
              <w:t xml:space="preserve">Reason code (out of scope)</w:t>
            </w:r>
          </w:p>
        </w:tc>
        <w:tc>
          <w:tcPr>
            <w:tcW w:w="882" w:type="dxa"/>
            <w:shd w:val="clear" w:color="auto" w:fill="F2F2F2"/>
          </w:tcPr>
          <w:p>
            <w:pPr/>
            <w:r>
              <w:t xml:space="preserve">Plans</w:t>
            </w:r>
          </w:p>
        </w:tc>
        <w:tc>
          <w:tcPr>
            <w:tcW w:w="5235" w:type="dxa"/>
            <w:shd w:val="clear" w:color="auto" w:fill="F2F2F2"/>
          </w:tcPr>
          <w:p>
            <w:pPr/>
            <w:r>
              <w:t xml:space="preserve">Who</w:t>
            </w:r>
          </w:p>
        </w:tc>
      </w:tr>
      <w:tr>
        <w:tc>
          <w:tcPr>
            <w:tcW w:w="3242" w:type="dxa"/>
          </w:tcPr>
          <w:p>
            <w:pPr/>
            <w:r>
              <w:rPr>
                <w:rStyle w:val="CodeChar"/>
              </w:rPr>
              <w:t xml:space="preserve">OUT_OF_STATE</w:t>
            </w:r>
          </w:p>
        </w:tc>
        <w:tc>
          <w:tcPr>
            <w:tcW w:w="882" w:type="dxa"/>
          </w:tcPr>
          <w:p>
            <w:pPr/>
            <w:r>
              <w:t xml:space="preserve">1,900</w:t>
            </w:r>
          </w:p>
        </w:tc>
        <w:tc>
          <w:tcPr>
            <w:tcW w:w="5235" w:type="dxa"/>
          </w:tcPr>
          <w:p>
            <w:pPr/>
            <w:r>
              <w:t xml:space="preserve">Ambetter non-CA 1,062 · Health Net OR 381 · QualChoice AR 363 · Fidelis NY 94</w:t>
            </w:r>
          </w:p>
        </w:tc>
      </w:tr>
      <w:tr>
        <w:tc>
          <w:tcPr>
            <w:tcW w:w="3242" w:type="dxa"/>
          </w:tcPr>
          <w:p>
            <w:pPr/>
            <w:r>
              <w:rPr>
                <w:rStyle w:val="CodeChar"/>
              </w:rPr>
              <w:t xml:space="preserve">INDIVIDUAL_MARKET</w:t>
            </w:r>
          </w:p>
        </w:tc>
        <w:tc>
          <w:tcPr>
            <w:tcW w:w="882" w:type="dxa"/>
          </w:tcPr>
          <w:p>
            <w:pPr/>
            <w:r>
              <w:t xml:space="preserve">58</w:t>
            </w:r>
          </w:p>
        </w:tc>
        <w:tc>
          <w:tcPr>
            <w:tcW w:w="5235" w:type="dxa"/>
          </w:tcPr>
          <w:p>
            <w:pPr/>
            <w:r>
              <w:t xml:space="preserve">Ambetter CA</w:t>
            </w:r>
          </w:p>
        </w:tc>
      </w:tr>
    </w:tbl>
    <w:p>
      <w:pPr/>
      <w:r>
        <w:t xml:space="preserve">The check of plan ID type against market found that the rule "EIN means group, HIOS means individual" does not hold in this data. Conflicts are flagged, never used to override the market field:</w:t>
      </w:r>
    </w:p>
    <w:p>
      <w:pPr>
        <w:pStyle w:val="ListParagraph"/>
        <w:numPr>
          <w:ilvl w:val="0"/>
          <w:numId w:val="4"/>
        </w:numPr>
      </w:pPr>
      <w:r>
        <w:t xml:space="preserve">307 QualChoice plans and 1 Oregon plan are group but typed HIOS.</w:t>
      </w:r>
    </w:p>
    <w:p>
      <w:pPr>
        <w:pStyle w:val="ListParagraph"/>
        <w:numPr>
          <w:ilvl w:val="0"/>
          <w:numId w:val="4"/>
        </w:numPr>
      </w:pPr>
      <w:r>
        <w:t xml:space="preserve">154 Health Net CA plans are typed EIN but carry HIOS-shaped IDs.</w:t>
      </w:r>
    </w:p>
    <w:p>
      <w:pPr>
        <w:pStyle w:val="Heading2"/>
      </w:pPr>
      <w:r>
        <w:t xml:space="preserve">C2 network rules: 453 PPO plans, 1 MIXED rate file</w:t>
      </w:r>
    </w:p>
    <w:p>
      <w:pPr/>
      <w:r>
        <w:t xml:space="preserve">All 1,312 in-scope plans point to the same rate file, so the PPO network is identified plan by plan. An ordered rule cascade decides each plan, and the first rule that fires wins.</w:t>
      </w:r>
    </w:p>
    <w:tbl>
      <w:tblPr>
        <w:tblStyle w:val="TableGrid"/>
        <w:tblW w:w="0" w:type="auto"/>
        <w:tblLayout w:type="fixed"/>
        <w:tblLook w:val="04A0" w:firstRow="1" w:lastRow="0" w:firstColumn="0" w:lastColumn="0" w:noHBand="0" w:noVBand="1"/>
      </w:tblPr>
      <w:tblGrid>
        <w:gridCol w:w="750"/>
        <w:gridCol w:w="4920"/>
        <w:gridCol w:w="1384"/>
        <w:gridCol w:w="2306"/>
      </w:tblGrid>
      <w:tr>
        <w:trPr>
          <w:tblHeader/>
        </w:trPr>
        <w:tc>
          <w:tcPr>
            <w:tcW w:w="750" w:type="dxa"/>
            <w:shd w:val="clear" w:color="auto" w:fill="F2F2F2"/>
          </w:tcPr>
          <w:p>
            <w:pPr/>
            <w:r>
              <w:t xml:space="preserve">Rank</w:t>
            </w:r>
          </w:p>
        </w:tc>
        <w:tc>
          <w:tcPr>
            <w:tcW w:w="4920" w:type="dxa"/>
            <w:shd w:val="clear" w:color="auto" w:fill="F2F2F2"/>
          </w:tcPr>
          <w:p>
            <w:pPr/>
            <w:r>
              <w:t xml:space="preserve">Rule</w:t>
            </w:r>
          </w:p>
        </w:tc>
        <w:tc>
          <w:tcPr>
            <w:tcW w:w="1384" w:type="dxa"/>
            <w:shd w:val="clear" w:color="auto" w:fill="F2F2F2"/>
          </w:tcPr>
          <w:p>
            <w:pPr/>
            <w:r>
              <w:t xml:space="preserve">Confidence</w:t>
            </w:r>
          </w:p>
        </w:tc>
        <w:tc>
          <w:tcPr>
            <w:tcW w:w="2306" w:type="dxa"/>
            <w:shd w:val="clear" w:color="auto" w:fill="F2F2F2"/>
          </w:tcPr>
          <w:p>
            <w:pPr/>
            <w:r>
              <w:t xml:space="preserve">Plans decided</w:t>
            </w:r>
          </w:p>
        </w:tc>
      </w:tr>
      <w:tr>
        <w:tc>
          <w:tcPr>
            <w:tcW w:w="750" w:type="dxa"/>
          </w:tcPr>
          <w:p>
            <w:pPr/>
            <w:r>
              <w:t xml:space="preserve">P1</w:t>
            </w:r>
          </w:p>
        </w:tc>
        <w:tc>
          <w:tcPr>
            <w:tcW w:w="4920" w:type="dxa"/>
          </w:tcPr>
          <w:p>
            <w:pPr/>
            <w:r>
              <w:t xml:space="preserve">Exactly one network word (PPO/HMO/EPO/POS) in the plan name; whole-word match, so </w:t>
            </w:r>
            <w:r>
              <w:rPr>
                <w:rStyle w:val="CodeChar"/>
              </w:rPr>
              <w:t xml:space="preserve">POST</w:t>
            </w:r>
            <w:r>
              <w:t xml:space="preserve"> is not POS</w:t>
            </w:r>
          </w:p>
        </w:tc>
        <w:tc>
          <w:tcPr>
            <w:tcW w:w="1384" w:type="dxa"/>
          </w:tcPr>
          <w:p>
            <w:pPr/>
            <w:r>
              <w:t xml:space="preserve">high</w:t>
            </w:r>
          </w:p>
        </w:tc>
        <w:tc>
          <w:tcPr>
            <w:tcW w:w="2306" w:type="dxa"/>
          </w:tcPr>
          <w:p>
            <w:pPr/>
            <w:r>
              <w:t xml:space="preserve">1,177</w:t>
            </w:r>
          </w:p>
        </w:tc>
      </w:tr>
      <w:tr>
        <w:tc>
          <w:tcPr>
            <w:tcW w:w="750" w:type="dxa"/>
          </w:tcPr>
          <w:p>
            <w:pPr/>
            <w:r>
              <w:t xml:space="preserve">P1b</w:t>
            </w:r>
          </w:p>
        </w:tc>
        <w:tc>
          <w:tcPr>
            <w:tcW w:w="4920" w:type="dxa"/>
          </w:tcPr>
          <w:p>
            <w:pPr/>
            <w:r>
              <w:t xml:space="preserve">Network word glued to a known prefix (</w:t>
            </w:r>
            <w:r>
              <w:rPr>
                <w:rStyle w:val="CodeChar"/>
              </w:rPr>
              <w:t xml:space="preserve">CUSPPO</w:t>
            </w:r>
            <w:r>
              <w:t xml:space="preserve">)</w:t>
            </w:r>
          </w:p>
        </w:tc>
        <w:tc>
          <w:tcPr>
            <w:tcW w:w="1384" w:type="dxa"/>
          </w:tcPr>
          <w:p>
            <w:pPr/>
            <w:r>
              <w:t xml:space="preserve">medium</w:t>
            </w:r>
          </w:p>
        </w:tc>
        <w:tc>
          <w:tcPr>
            <w:tcW w:w="2306" w:type="dxa"/>
          </w:tcPr>
          <w:p>
            <w:pPr/>
            <w:r>
              <w:t xml:space="preserve">1</w:t>
            </w:r>
          </w:p>
        </w:tc>
      </w:tr>
      <w:tr>
        <w:tc>
          <w:tcPr>
            <w:tcW w:w="750" w:type="dxa"/>
          </w:tcPr>
          <w:p>
            <w:pPr/>
            <w:r>
              <w:t xml:space="preserve">P1x</w:t>
            </w:r>
          </w:p>
        </w:tc>
        <w:tc>
          <w:tcPr>
            <w:tcW w:w="4920" w:type="dxa"/>
          </w:tcPr>
          <w:p>
            <w:pPr/>
            <w:r>
              <w:t xml:space="preserve">Unresolved word (EOA, PPO+EPO, HSP); mapped only by a config switch, never guessed</w:t>
            </w:r>
          </w:p>
        </w:tc>
        <w:tc>
          <w:tcPr>
            <w:tcW w:w="1384" w:type="dxa"/>
          </w:tcPr>
          <w:p>
            <w:pPr/>
            <w:r>
              <w:t xml:space="preserve">low</w:t>
            </w:r>
          </w:p>
        </w:tc>
        <w:tc>
          <w:tcPr>
            <w:tcW w:w="2306" w:type="dxa"/>
          </w:tcPr>
          <w:p>
            <w:pPr/>
            <w:r>
              <w:t xml:space="preserve">130</w:t>
            </w:r>
          </w:p>
        </w:tc>
      </w:tr>
      <w:tr>
        <w:tc>
          <w:tcPr>
            <w:tcW w:w="750" w:type="dxa"/>
          </w:tcPr>
          <w:p>
            <w:pPr/>
            <w:r>
              <w:t xml:space="preserve">P2</w:t>
            </w:r>
          </w:p>
        </w:tc>
        <w:tc>
          <w:tcPr>
            <w:tcW w:w="4920" w:type="dxa"/>
          </w:tcPr>
          <w:p>
            <w:pPr/>
            <w:r>
              <w:t xml:space="preserve">Network word in the rate-file name</w:t>
            </w:r>
          </w:p>
        </w:tc>
        <w:tc>
          <w:tcPr>
            <w:tcW w:w="1384" w:type="dxa"/>
          </w:tcPr>
          <w:p>
            <w:pPr/>
            <w:r>
              <w:t xml:space="preserve">high</w:t>
            </w:r>
          </w:p>
        </w:tc>
        <w:tc>
          <w:tcPr>
            <w:tcW w:w="2306" w:type="dxa"/>
          </w:tcPr>
          <w:p>
            <w:pPr/>
            <w:r>
              <w:t xml:space="preserve">0 (no file names carry one)</w:t>
            </w:r>
          </w:p>
        </w:tc>
      </w:tr>
      <w:tr>
        <w:tc>
          <w:tcPr>
            <w:tcW w:w="750" w:type="dxa"/>
          </w:tcPr>
          <w:p>
            <w:pPr/>
            <w:r>
              <w:t xml:space="preserve">P3</w:t>
            </w:r>
          </w:p>
        </w:tc>
        <w:tc>
          <w:tcPr>
            <w:tcW w:w="4920" w:type="dxa"/>
          </w:tcPr>
          <w:p>
            <w:pPr/>
            <w:r>
              <w:t xml:space="preserve">Legal-entity rule on issuer/sponsor</w:t>
            </w:r>
          </w:p>
        </w:tc>
        <w:tc>
          <w:tcPr>
            <w:tcW w:w="1384" w:type="dxa"/>
          </w:tcPr>
          <w:p>
            <w:pPr/>
            <w:r>
              <w:t xml:space="preserve">medium</w:t>
            </w:r>
          </w:p>
        </w:tc>
        <w:tc>
          <w:tcPr>
            <w:tcW w:w="2306" w:type="dxa"/>
          </w:tcPr>
          <w:p>
            <w:pPr/>
            <w:r>
              <w:t xml:space="preserve">0 (all say "Healthnet, LLC")</w:t>
            </w:r>
          </w:p>
        </w:tc>
      </w:tr>
      <w:tr>
        <w:tc>
          <w:tcPr>
            <w:tcW w:w="750" w:type="dxa"/>
          </w:tcPr>
          <w:p>
            <w:pPr/>
            <w:r>
              <w:t xml:space="preserve">P4</w:t>
            </w:r>
          </w:p>
        </w:tc>
        <w:tc>
          <w:tcPr>
            <w:tcW w:w="4920" w:type="dxa"/>
          </w:tcPr>
          <w:p>
            <w:pPr/>
            <w:r>
              <w:t xml:space="preserve">Product family checked against the data (100% one type, at least 5 plans)</w:t>
            </w:r>
          </w:p>
        </w:tc>
        <w:tc>
          <w:tcPr>
            <w:tcW w:w="1384" w:type="dxa"/>
          </w:tcPr>
          <w:p>
            <w:pPr/>
            <w:r>
              <w:t xml:space="preserve">medium</w:t>
            </w:r>
          </w:p>
        </w:tc>
        <w:tc>
          <w:tcPr>
            <w:tcW w:w="2306" w:type="dxa"/>
          </w:tcPr>
          <w:p>
            <w:pPr/>
            <w:r>
              <w:t xml:space="preserve">4</w:t>
            </w:r>
          </w:p>
        </w:tc>
      </w:tr>
      <w:tr>
        <w:tc>
          <w:tcPr>
            <w:tcW w:w="750" w:type="dxa"/>
          </w:tcPr>
          <w:p>
            <w:pPr/>
            <w:r>
              <w:t xml:space="preserve">P5</w:t>
            </w:r>
          </w:p>
        </w:tc>
        <w:tc>
          <w:tcPr>
            <w:tcW w:w="4920" w:type="dxa"/>
          </w:tcPr>
          <w:p>
            <w:pPr/>
            <w:r>
              <w:t xml:space="preserve">All of the plan's files are confidently one type</w:t>
            </w:r>
          </w:p>
        </w:tc>
        <w:tc>
          <w:tcPr>
            <w:tcW w:w="1384" w:type="dxa"/>
          </w:tcPr>
          <w:p>
            <w:pPr/>
            <w:r>
              <w:t xml:space="preserve">medium</w:t>
            </w:r>
          </w:p>
        </w:tc>
        <w:tc>
          <w:tcPr>
            <w:tcW w:w="2306" w:type="dxa"/>
          </w:tcPr>
          <w:p>
            <w:pPr/>
            <w:r>
              <w:t xml:space="preserve">0 (the CA file is MIXED)</w:t>
            </w:r>
          </w:p>
        </w:tc>
      </w:tr>
      <w:tr>
        <w:tc>
          <w:tcPr>
            <w:tcW w:w="750" w:type="dxa"/>
          </w:tcPr>
          <w:p>
            <w:pPr/>
            <w:r>
              <w:t xml:space="preserve">P6</w:t>
            </w:r>
          </w:p>
        </w:tc>
        <w:tc>
          <w:tcPr>
            <w:tcW w:w="4920" w:type="dxa"/>
          </w:tcPr>
          <w:p>
            <w:pPr/>
            <w:r>
              <w:t xml:space="preserve">Cost-share pattern, if at least 95% precise</w:t>
            </w:r>
          </w:p>
        </w:tc>
        <w:tc>
          <w:tcPr>
            <w:tcW w:w="1384" w:type="dxa"/>
          </w:tcPr>
          <w:p>
            <w:pPr/>
            <w:r>
              <w:t xml:space="preserve">low</w:t>
            </w:r>
          </w:p>
        </w:tc>
        <w:tc>
          <w:tcPr>
            <w:tcW w:w="2306" w:type="dxa"/>
          </w:tcPr>
          <w:p>
            <w:pPr/>
            <w:r>
              <w:t xml:space="preserve">0</w:t>
            </w:r>
          </w:p>
        </w:tc>
      </w:tr>
    </w:tbl>
    <w:p/>
    <w:tbl>
      <w:tblPr>
        <w:tblStyle w:val="TableGrid"/>
        <w:tblW w:w="0" w:type="auto"/>
        <w:tblLayout w:type="fixed"/>
        <w:tblLook w:val="04A0" w:firstRow="1" w:lastRow="0" w:firstColumn="0" w:lastColumn="0" w:noHBand="0" w:noVBand="1"/>
      </w:tblPr>
      <w:tblGrid>
        <w:gridCol w:w="2290"/>
        <w:gridCol w:w="829"/>
        <w:gridCol w:w="1826"/>
        <w:gridCol w:w="4415"/>
      </w:tblGrid>
      <w:tr>
        <w:trPr>
          <w:tblHeader/>
        </w:trPr>
        <w:tc>
          <w:tcPr>
            <w:tcW w:w="2290" w:type="dxa"/>
            <w:shd w:val="clear" w:color="auto" w:fill="F2F2F2"/>
          </w:tcPr>
          <w:p>
            <w:pPr/>
            <w:r>
              <w:t xml:space="preserve">Final label (in scope)</w:t>
            </w:r>
          </w:p>
        </w:tc>
        <w:tc>
          <w:tcPr>
            <w:tcW w:w="829" w:type="dxa"/>
            <w:shd w:val="clear" w:color="auto" w:fill="F2F2F2"/>
          </w:tcPr>
          <w:p>
            <w:pPr/>
            <w:r>
              <w:t xml:space="preserve">Plans</w:t>
            </w:r>
          </w:p>
        </w:tc>
        <w:tc>
          <w:tcPr>
            <w:tcW w:w="1826" w:type="dxa"/>
            <w:shd w:val="clear" w:color="auto" w:fill="F2F2F2"/>
          </w:tcPr>
          <w:p>
            <w:pPr/>
            <w:r>
              <w:t xml:space="preserve">Distinct names</w:t>
            </w:r>
          </w:p>
        </w:tc>
        <w:tc>
          <w:tcPr>
            <w:tcW w:w="4415" w:type="dxa"/>
            <w:shd w:val="clear" w:color="auto" w:fill="F2F2F2"/>
          </w:tcPr>
          <w:p>
            <w:pPr/>
            <w:r>
              <w:t xml:space="preserve">Example</w:t>
            </w:r>
          </w:p>
        </w:tc>
      </w:tr>
      <w:tr>
        <w:tc>
          <w:tcPr>
            <w:tcW w:w="2290" w:type="dxa"/>
          </w:tcPr>
          <w:p>
            <w:pPr/>
            <w:r>
              <w:rPr>
                <w:b/>
              </w:rPr>
              <w:t xml:space="preserve">PPO</w:t>
            </w:r>
          </w:p>
        </w:tc>
        <w:tc>
          <w:tcPr>
            <w:tcW w:w="829" w:type="dxa"/>
          </w:tcPr>
          <w:p>
            <w:pPr/>
            <w:r>
              <w:rPr>
                <w:b/>
              </w:rPr>
              <w:t xml:space="preserve">453</w:t>
            </w:r>
          </w:p>
        </w:tc>
        <w:tc>
          <w:tcPr>
            <w:tcW w:w="1826" w:type="dxa"/>
          </w:tcPr>
          <w:p>
            <w:pPr/>
            <w:r>
              <w:t xml:space="preserve">133</w:t>
            </w:r>
          </w:p>
        </w:tc>
        <w:tc>
          <w:tcPr>
            <w:tcW w:w="4415" w:type="dxa"/>
          </w:tcPr>
          <w:p>
            <w:pPr/>
            <w:r>
              <w:rPr>
                <w:rStyle w:val="CodeChar"/>
              </w:rPr>
              <w:t xml:space="preserve">CA L PPO 30/500/4000/30%</w:t>
            </w:r>
            <w:r>
              <w:t xml:space="preserve">, </w:t>
            </w:r>
            <w:r>
              <w:rPr>
                <w:rStyle w:val="CodeChar"/>
              </w:rPr>
              <w:t xml:space="preserve">Gold PPO 500/20</w:t>
            </w:r>
          </w:p>
        </w:tc>
      </w:tr>
      <w:tr>
        <w:tc>
          <w:tcPr>
            <w:tcW w:w="2290" w:type="dxa"/>
          </w:tcPr>
          <w:p>
            <w:pPr/>
            <w:r>
              <w:t xml:space="preserve">HMO</w:t>
            </w:r>
          </w:p>
        </w:tc>
        <w:tc>
          <w:tcPr>
            <w:tcW w:w="829" w:type="dxa"/>
          </w:tcPr>
          <w:p>
            <w:pPr/>
            <w:r>
              <w:t xml:space="preserve">723</w:t>
            </w:r>
          </w:p>
        </w:tc>
        <w:tc>
          <w:tcPr>
            <w:tcW w:w="1826" w:type="dxa"/>
          </w:tcPr>
          <w:p>
            <w:pPr/>
            <w:r>
              <w:t xml:space="preserve">286</w:t>
            </w:r>
          </w:p>
        </w:tc>
        <w:tc>
          <w:tcPr>
            <w:tcW w:w="4415" w:type="dxa"/>
          </w:tcPr>
          <w:p>
            <w:pPr/>
            <w:r>
              <w:rPr>
                <w:rStyle w:val="CodeChar"/>
              </w:rPr>
              <w:t xml:space="preserve">CA L SC HMO 40/500d/4500</w:t>
            </w:r>
            <w:r>
              <w:t xml:space="preserve">, </w:t>
            </w:r>
            <w:r>
              <w:rPr>
                <w:rStyle w:val="CodeChar"/>
              </w:rPr>
              <w:t xml:space="preserve">WholeCare HMO Gold $50</w:t>
            </w:r>
          </w:p>
        </w:tc>
      </w:tr>
      <w:tr>
        <w:tc>
          <w:tcPr>
            <w:tcW w:w="2290" w:type="dxa"/>
          </w:tcPr>
          <w:p>
            <w:pPr/>
            <w:r>
              <w:t xml:space="preserve">POS</w:t>
            </w:r>
          </w:p>
        </w:tc>
        <w:tc>
          <w:tcPr>
            <w:tcW w:w="829" w:type="dxa"/>
          </w:tcPr>
          <w:p>
            <w:pPr/>
            <w:r>
              <w:t xml:space="preserve">6</w:t>
            </w:r>
          </w:p>
        </w:tc>
        <w:tc>
          <w:tcPr>
            <w:tcW w:w="1826" w:type="dxa"/>
          </w:tcPr>
          <w:p>
            <w:pPr/>
            <w:r>
              <w:t xml:space="preserve">6</w:t>
            </w:r>
          </w:p>
        </w:tc>
        <w:tc>
          <w:tcPr>
            <w:tcW w:w="4415" w:type="dxa"/>
          </w:tcPr>
          <w:p>
            <w:pPr/>
            <w:r>
              <w:rPr>
                <w:rStyle w:val="CodeChar"/>
              </w:rPr>
              <w:t xml:space="preserve">CA L CUS POS County of Kern GF</w:t>
            </w:r>
          </w:p>
        </w:tc>
      </w:tr>
      <w:tr>
        <w:tc>
          <w:tcPr>
            <w:tcW w:w="2290" w:type="dxa"/>
          </w:tcPr>
          <w:p>
            <w:pPr/>
            <w:r>
              <w:t xml:space="preserve">OTHER/UNKNOWN</w:t>
            </w:r>
          </w:p>
        </w:tc>
        <w:tc>
          <w:tcPr>
            <w:tcW w:w="829" w:type="dxa"/>
          </w:tcPr>
          <w:p>
            <w:pPr/>
            <w:r>
              <w:t xml:space="preserve">130</w:t>
            </w:r>
          </w:p>
        </w:tc>
        <w:tc>
          <w:tcPr>
            <w:tcW w:w="1826" w:type="dxa"/>
          </w:tcPr>
          <w:p>
            <w:pPr/>
            <w:r>
              <w:t xml:space="preserve">52</w:t>
            </w:r>
          </w:p>
        </w:tc>
        <w:tc>
          <w:tcPr>
            <w:tcW w:w="4415" w:type="dxa"/>
          </w:tcPr>
          <w:p>
            <w:pPr/>
            <w:r>
              <w:rPr>
                <w:rStyle w:val="CodeChar"/>
              </w:rPr>
              <w:t xml:space="preserve">CA L EOA 20/0/1500</w:t>
            </w:r>
            <w:r>
              <w:t xml:space="preserve">, </w:t>
            </w:r>
            <w:r>
              <w:rPr>
                <w:rStyle w:val="CodeChar"/>
              </w:rPr>
              <w:t xml:space="preserve">CA L CUS PPO SACRAMENTO CITY USD- EPO</w:t>
            </w:r>
          </w:p>
        </w:tc>
      </w:tr>
      <w:tr>
        <w:tc>
          <w:tcPr>
            <w:tcW w:w="2290" w:type="dxa"/>
          </w:tcPr>
          <w:p>
            <w:pPr/>
            <w:r>
              <w:t xml:space="preserve">EPO</w:t>
            </w:r>
          </w:p>
        </w:tc>
        <w:tc>
          <w:tcPr>
            <w:tcW w:w="829" w:type="dxa"/>
          </w:tcPr>
          <w:p>
            <w:pPr/>
            <w:r>
              <w:t xml:space="preserve">0</w:t>
            </w:r>
          </w:p>
        </w:tc>
        <w:tc>
          <w:tcPr>
            <w:tcW w:w="1826" w:type="dxa"/>
          </w:tcPr>
          <w:p>
            <w:pPr/>
            <w:r>
              <w:t xml:space="preserve">0</w:t>
            </w:r>
          </w:p>
        </w:tc>
        <w:tc>
          <w:tcPr>
            <w:tcW w:w="4415" w:type="dxa"/>
          </w:tcPr>
          <w:p>
            <w:pPr/>
            <w:r>
              <w:t xml:space="preserve">none</w:t>
            </w:r>
          </w:p>
        </w:tc>
      </w:tr>
    </w:tbl>
    <w:p>
      <w:pPr/>
      <w:r>
        <w:rPr>
          <w:b/>
        </w:rPr>
        <w:t xml:space="preserve">How HMO, EPO and POS were ruled out</w:t>
      </w:r>
    </w:p>
    <w:p>
      <w:pPr>
        <w:pStyle w:val="ListParagraph"/>
        <w:numPr>
          <w:ilvl w:val="0"/>
          <w:numId w:val="5"/>
        </w:numPr>
      </w:pPr>
      <w:r>
        <w:rPr>
          <w:b/>
        </w:rPr>
        <w:t xml:space="preserve">HMO, 723 plans.</w:t>
      </w:r>
    </w:p>
    <w:p>
      <w:pPr>
        <w:pStyle w:val="ListParagraph"/>
        <w:numPr>
          <w:ilvl w:val="1"/>
          <w:numId w:val="6"/>
        </w:numPr>
      </w:pPr>
      <w:r>
        <w:t xml:space="preserve">719 carry the word HMO.</w:t>
      </w:r>
    </w:p>
    <w:p>
      <w:pPr>
        <w:pStyle w:val="ListParagraph"/>
        <w:numPr>
          <w:ilvl w:val="1"/>
          <w:numId w:val="6"/>
        </w:numPr>
      </w:pPr>
      <w:r>
        <w:t xml:space="preserve">4 have no network word but belong to the Salud HMO family </w:t>
      </w:r>
      <w:r>
        <w:rPr>
          <w:rStyle w:val="CodeChar"/>
        </w:rPr>
        <w:t xml:space="preserve">SAL</w:t>
      </w:r>
      <w:r>
        <w:t xml:space="preserve">, which appears with HMO in 163 of 163 labelled plans: </w:t>
      </w:r>
      <w:r>
        <w:rPr>
          <w:rStyle w:val="CodeChar"/>
        </w:rPr>
        <w:t xml:space="preserve">CA L SAL Mex 5/0/1500</w:t>
      </w:r>
      <w:r>
        <w:t xml:space="preserve"> (×3) and </w:t>
      </w:r>
      <w:r>
        <w:rPr>
          <w:rStyle w:val="CodeChar"/>
        </w:rPr>
        <w:t xml:space="preserve">CA L&amp;T CUS SAL CEMENT MASONS CA H&amp;W GF+</w:t>
      </w:r>
      <w:r>
        <w:t xml:space="preserve">.</w:t>
      </w:r>
    </w:p>
    <w:p>
      <w:pPr>
        <w:pStyle w:val="ListParagraph"/>
        <w:numPr>
          <w:ilvl w:val="1"/>
          <w:numId w:val="6"/>
        </w:numPr>
      </w:pPr>
      <w:r>
        <w:t xml:space="preserve">598 of the HMO-word plans also carry a confirmed HMO family name. None of the 453 PPO plans carries any HMO family name.</w:t>
      </w:r>
    </w:p>
    <w:p>
      <w:pPr>
        <w:pStyle w:val="ListParagraph"/>
        <w:numPr>
          <w:ilvl w:val="0"/>
          <w:numId w:val="5"/>
        </w:numPr>
      </w:pPr>
      <w:r>
        <w:rPr>
          <w:b/>
        </w:rPr>
        <w:t xml:space="preserve">POS, 6 plans.</w:t>
      </w:r>
      <w:r>
        <w:t xml:space="preserve"> All are custom employer plans with an explicit POS word. </w:t>
      </w:r>
      <w:r>
        <w:rPr>
          <w:rStyle w:val="CodeChar"/>
        </w:rPr>
        <w:t xml:space="preserve">UC POST DOC</w:t>
      </w:r>
      <w:r>
        <w:t xml:space="preserve"> plans are correctly not counted as POS.</w:t>
      </w:r>
    </w:p>
    <w:p>
      <w:pPr>
        <w:pStyle w:val="ListParagraph"/>
        <w:numPr>
          <w:ilvl w:val="0"/>
          <w:numId w:val="5"/>
        </w:numPr>
      </w:pPr>
      <w:r>
        <w:rPr>
          <w:b/>
        </w:rPr>
        <w:t xml:space="preserve">EPO, 0 plans.</w:t>
      </w:r>
      <w:r>
        <w:t xml:space="preserve"> EPO appears only in 3 names that also say PPO (Ironworkers FWP, Sacramento City USD). They are flagged as conflicts, not counted as PPO.</w:t>
      </w:r>
    </w:p>
    <w:p>
      <w:pPr/>
      <w:r>
        <w:rPr>
          <w:b/>
        </w:rPr>
        <w:t xml:space="preserve">Hypotheses tested</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Hypothesis</w:t>
            </w:r>
          </w:p>
        </w:tc>
        <w:tc>
          <w:tcPr>
            <w:tcW w:w="4920" w:type="dxa"/>
            <w:shd w:val="clear" w:color="auto" w:fill="F2F2F2"/>
          </w:tcPr>
          <w:p>
            <w:pPr/>
            <w:r>
              <w:t xml:space="preserve">Outcome</w:t>
            </w:r>
          </w:p>
        </w:tc>
      </w:tr>
      <w:tr>
        <w:tc>
          <w:tcPr>
            <w:tcW w:w="4440" w:type="dxa"/>
          </w:tcPr>
          <w:p>
            <w:pPr/>
            <w:r>
              <w:t xml:space="preserve">A PPO-only rate file exists</w:t>
            </w:r>
          </w:p>
        </w:tc>
        <w:tc>
          <w:tcPr>
            <w:tcW w:w="4920" w:type="dxa"/>
          </w:tcPr>
          <w:p>
            <w:pPr/>
            <w:r>
              <w:t xml:space="preserve">Rejected: one CA file serves every network</w:t>
            </w:r>
          </w:p>
        </w:tc>
      </w:tr>
      <w:tr>
        <w:tc>
          <w:tcPr>
            <w:tcW w:w="4440" w:type="dxa"/>
          </w:tcPr>
          <w:p>
            <w:pPr/>
            <w:r>
              <w:t xml:space="preserve">HMO = Health Net of California, PPO = Health Net Life (Knox-Keene split)</w:t>
            </w:r>
          </w:p>
        </w:tc>
        <w:tc>
          <w:tcPr>
            <w:tcW w:w="4920" w:type="dxa"/>
          </w:tcPr>
          <w:p>
            <w:pPr/>
            <w:r>
              <w:t xml:space="preserve">Not testable: one issuer name; HIOS prefix 67138 covers 120 HMO and 34 PPO plans</w:t>
            </w:r>
          </w:p>
        </w:tc>
      </w:tr>
      <w:tr>
        <w:tc>
          <w:tcPr>
            <w:tcW w:w="4440" w:type="dxa"/>
          </w:tcPr>
          <w:p>
            <w:pPr/>
            <w:r>
              <w:t xml:space="preserve">EIN means group, HIOS means individual</w:t>
            </w:r>
          </w:p>
        </w:tc>
        <w:tc>
          <w:tcPr>
            <w:tcW w:w="4920" w:type="dxa"/>
          </w:tcPr>
          <w:p>
            <w:pPr/>
            <w:r>
              <w:t xml:space="preserve">Rejected: 308 group plans are typed HIOS</w:t>
            </w:r>
          </w:p>
        </w:tc>
      </w:tr>
      <w:tr>
        <w:tc>
          <w:tcPr>
            <w:tcW w:w="4440" w:type="dxa"/>
          </w:tcPr>
          <w:p>
            <w:pPr/>
            <w:r>
              <w:t xml:space="preserve">Product-family names imply network type</w:t>
            </w:r>
          </w:p>
        </w:tc>
        <w:tc>
          <w:tcPr>
            <w:tcW w:w="4920" w:type="dxa"/>
          </w:tcPr>
          <w:p>
            <w:pPr/>
            <w:r>
              <w:t xml:space="preserve">Confirmed for 8 families: SC, SAL, EC, WholeCare, CalChoice, SmartCare, Full Network, Salud</w:t>
            </w:r>
          </w:p>
        </w:tc>
      </w:tr>
      <w:tr>
        <w:tc>
          <w:tcPr>
            <w:tcW w:w="4440" w:type="dxa"/>
          </w:tcPr>
          <w:p>
            <w:pPr/>
            <w:r>
              <w:t xml:space="preserve">Cost-share pattern implies network type</w:t>
            </w:r>
          </w:p>
        </w:tc>
        <w:tc>
          <w:tcPr>
            <w:tcW w:w="4920" w:type="dxa"/>
          </w:tcPr>
          <w:p>
            <w:pPr/>
            <w:r>
              <w:t xml:space="preserve">Mostly rejected: 4-part pattern is PPO 91% of the time, 3-part is HMO 87%</w:t>
            </w:r>
          </w:p>
        </w:tc>
      </w:tr>
      <w:tr>
        <w:tc>
          <w:tcPr>
            <w:tcW w:w="4440" w:type="dxa"/>
          </w:tcPr>
          <w:p>
            <w:pPr/>
            <w:r>
              <w:t xml:space="preserve">In-file </w:t>
            </w:r>
            <w:r>
              <w:rPr>
                <w:rStyle w:val="CodeChar"/>
              </w:rPr>
              <w:t xml:space="preserve">network_name</w:t>
            </w:r>
            <w:r>
              <w:t xml:space="preserve"> separates networks</w:t>
            </w:r>
          </w:p>
        </w:tc>
        <w:tc>
          <w:tcPr>
            <w:tcW w:w="4920" w:type="dxa"/>
          </w:tcPr>
          <w:p>
            <w:pPr/>
            <w:r>
              <w:t xml:space="preserve">Rejected on a 40 MB sample: empty in 2,825 of 2,825 provider references</w:t>
            </w:r>
          </w:p>
        </w:tc>
      </w:tr>
      <w:tr>
        <w:tc>
          <w:tcPr>
            <w:tcW w:w="4440" w:type="dxa"/>
          </w:tcPr>
          <w:p>
            <w:pPr/>
            <w:r>
              <w:t xml:space="preserve">TIN name prefixes (</w:t>
            </w:r>
            <w:r>
              <w:rPr>
                <w:rStyle w:val="CodeChar"/>
              </w:rPr>
              <w:t xml:space="preserve">PPO: &lt;County&gt;</w:t>
            </w:r>
            <w:r>
              <w:t xml:space="preserve">) tag networks</w:t>
            </w:r>
          </w:p>
        </w:tc>
        <w:tc>
          <w:tcPr>
            <w:tcW w:w="4920" w:type="dxa"/>
          </w:tcPr>
          <w:p>
            <w:pPr/>
            <w:r>
              <w:t xml:space="preserve">Weak: on 1.9% of provider groups; left for C3</w:t>
            </w:r>
          </w:p>
        </w:tc>
      </w:tr>
    </w:tbl>
    <w:p>
      <w:pPr/>
      <w:r>
        <w:t xml:space="preserve">No ML model is used. There are no independent labels to train on, so a model would only re-learn the name rules, and every decision must be explainable to judges.</w:t>
      </w:r>
    </w:p>
    <w:p>
      <w:pPr>
        <w:pStyle w:val="Heading2"/>
      </w:pPr>
      <w:r>
        <w:t xml:space="preserve">Open questions for the organizers</w:t>
      </w:r>
    </w:p>
    <w:p>
      <w:pPr/>
      <w:r>
        <w:t xml:space="preserve">About 130 of the 1,312 in-scope plans (10%) depend on answers the data can't give. Until those answers come, the pipeline takes the cautious option and flags the case; each answer is a one-line config change.</w:t>
      </w:r>
    </w:p>
    <w:tbl>
      <w:tblPr>
        <w:tblStyle w:val="TableGrid"/>
        <w:tblW w:w="0" w:type="auto"/>
        <w:tblLayout w:type="fixed"/>
        <w:tblLook w:val="04A0" w:firstRow="1" w:lastRow="0" w:firstColumn="0" w:lastColumn="0" w:noHBand="0" w:noVBand="1"/>
      </w:tblPr>
      <w:tblGrid>
        <w:gridCol w:w="720"/>
        <w:gridCol w:w="2428"/>
        <w:gridCol w:w="2914"/>
        <w:gridCol w:w="1636"/>
        <w:gridCol w:w="1662"/>
      </w:tblGrid>
      <w:tr>
        <w:trPr>
          <w:tblHeader/>
        </w:trPr>
        <w:tc>
          <w:tcPr>
            <w:tcW w:w="720" w:type="dxa"/>
            <w:shd w:val="clear" w:color="auto" w:fill="F2F2F2"/>
          </w:tcPr>
          <w:p>
            <w:pPr/>
            <w:r>
              <w:t xml:space="preserve">#</w:t>
            </w:r>
          </w:p>
        </w:tc>
        <w:tc>
          <w:tcPr>
            <w:tcW w:w="2428" w:type="dxa"/>
            <w:shd w:val="clear" w:color="auto" w:fill="F2F2F2"/>
          </w:tcPr>
          <w:p>
            <w:pPr/>
            <w:r>
              <w:t xml:space="preserve">Question</w:t>
            </w:r>
          </w:p>
        </w:tc>
        <w:tc>
          <w:tcPr>
            <w:tcW w:w="2914" w:type="dxa"/>
            <w:shd w:val="clear" w:color="auto" w:fill="F2F2F2"/>
          </w:tcPr>
          <w:p>
            <w:pPr/>
            <w:r>
              <w:t xml:space="preserve">Evidence</w:t>
            </w:r>
          </w:p>
        </w:tc>
        <w:tc>
          <w:tcPr>
            <w:tcW w:w="1636" w:type="dxa"/>
            <w:shd w:val="clear" w:color="auto" w:fill="F2F2F2"/>
          </w:tcPr>
          <w:p>
            <w:pPr/>
            <w:r>
              <w:t xml:space="preserve">Current handling</w:t>
            </w:r>
          </w:p>
        </w:tc>
        <w:tc>
          <w:tcPr>
            <w:tcW w:w="1662" w:type="dxa"/>
            <w:shd w:val="clear" w:color="auto" w:fill="F2F2F2"/>
          </w:tcPr>
          <w:p>
            <w:pPr/>
            <w:r>
              <w:t xml:space="preserve">Impact</w:t>
            </w:r>
          </w:p>
        </w:tc>
      </w:tr>
      <w:tr>
        <w:tc>
          <w:tcPr>
            <w:tcW w:w="720" w:type="dxa"/>
          </w:tcPr>
          <w:p>
            <w:pPr/>
            <w:r>
              <w:t xml:space="preserve">1</w:t>
            </w:r>
          </w:p>
        </w:tc>
        <w:tc>
          <w:tcPr>
            <w:tcW w:w="2428" w:type="dxa"/>
          </w:tcPr>
          <w:p>
            <w:pPr/>
            <w:r>
              <w:t xml:space="preserve">What network type is Health Net </w:t>
            </w:r>
            <w:r>
              <w:rPr>
                <w:b/>
              </w:rPr>
              <w:t xml:space="preserve">EOA</w:t>
            </w:r>
            <w:r>
              <w:t xml:space="preserve">?</w:t>
            </w:r>
          </w:p>
        </w:tc>
        <w:tc>
          <w:tcPr>
            <w:tcW w:w="2914" w:type="dxa"/>
          </w:tcPr>
          <w:p>
            <w:pPr/>
            <w:r>
              <w:t xml:space="preserve">127 plans (49 names) with no PPO/HMO word, e.g. </w:t>
            </w:r>
            <w:r>
              <w:rPr>
                <w:rStyle w:val="CodeChar"/>
              </w:rPr>
              <w:t xml:space="preserve">CA L EOA 20/0/1500</w:t>
            </w:r>
            <w:r>
              <w:t xml:space="preserve">; 55 also carry </w:t>
            </w:r>
            <w:r>
              <w:rPr>
                <w:rStyle w:val="CodeChar"/>
              </w:rPr>
              <w:t xml:space="preserve">EC</w:t>
            </w:r>
            <w:r>
              <w:t xml:space="preserve">, which is otherwise HMO-only (85/85)</w:t>
            </w:r>
          </w:p>
        </w:tc>
        <w:tc>
          <w:tcPr>
            <w:tcW w:w="1636" w:type="dxa"/>
          </w:tcPr>
          <w:p>
            <w:pPr/>
            <w:r>
              <w:t xml:space="preserve">Unknown, excluded from PPO (</w:t>
            </w:r>
            <w:r>
              <w:rPr>
                <w:rStyle w:val="CodeChar"/>
              </w:rPr>
              <w:t xml:space="preserve">eoa_as: unknown</w:t>
            </w:r>
            <w:r>
              <w:t xml:space="preserve">)</w:t>
            </w:r>
          </w:p>
        </w:tc>
        <w:tc>
          <w:tcPr>
            <w:tcW w:w="1662" w:type="dxa"/>
          </w:tcPr>
          <w:p>
            <w:pPr/>
            <w:r>
              <w:t xml:space="preserve">PPO 453 → 580 if EOA is PPO</w:t>
            </w:r>
          </w:p>
        </w:tc>
      </w:tr>
      <w:tr>
        <w:tc>
          <w:tcPr>
            <w:tcW w:w="720" w:type="dxa"/>
          </w:tcPr>
          <w:p>
            <w:pPr/>
            <w:r>
              <w:t xml:space="preserve">2</w:t>
            </w:r>
          </w:p>
        </w:tc>
        <w:tc>
          <w:tcPr>
            <w:tcW w:w="2428" w:type="dxa"/>
          </w:tcPr>
          <w:p>
            <w:pPr/>
            <w:r>
              <w:t xml:space="preserve">Are plans named both PPO and EPO a PPO plan or an EPO plan?</w:t>
            </w:r>
          </w:p>
        </w:tc>
        <w:tc>
          <w:tcPr>
            <w:tcW w:w="2914" w:type="dxa"/>
          </w:tcPr>
          <w:p>
            <w:pPr/>
            <w:r>
              <w:t xml:space="preserve">3 plans: Ironworkers FWP EPO$15 / EPO$10, Sacramento City USD EPO</w:t>
            </w:r>
          </w:p>
        </w:tc>
        <w:tc>
          <w:tcPr>
            <w:tcW w:w="1636" w:type="dxa"/>
          </w:tcPr>
          <w:p>
            <w:pPr/>
            <w:r>
              <w:t xml:space="preserve">Conflict, excluded (</w:t>
            </w:r>
            <w:r>
              <w:rPr>
                <w:rStyle w:val="CodeChar"/>
              </w:rPr>
              <w:t xml:space="preserve">ppo_epo_as: conflict</w:t>
            </w:r>
            <w:r>
              <w:t xml:space="preserve">)</w:t>
            </w:r>
          </w:p>
        </w:tc>
        <w:tc>
          <w:tcPr>
            <w:tcW w:w="1662" w:type="dxa"/>
          </w:tcPr>
          <w:p>
            <w:pPr/>
            <w:r>
              <w:t xml:space="preserve">±3 plans</w:t>
            </w:r>
          </w:p>
        </w:tc>
      </w:tr>
      <w:tr>
        <w:tc>
          <w:tcPr>
            <w:tcW w:w="720" w:type="dxa"/>
          </w:tcPr>
          <w:p>
            <w:pPr/>
            <w:r>
              <w:t xml:space="preserve">3</w:t>
            </w:r>
          </w:p>
        </w:tc>
        <w:tc>
          <w:tcPr>
            <w:tcW w:w="2428" w:type="dxa"/>
          </w:tcPr>
          <w:p>
            <w:pPr/>
            <w:r>
              <w:t xml:space="preserve">Is a PPO-only rate file expected, or should C3 filter the PPO network inside the shared CA file?</w:t>
            </w:r>
          </w:p>
        </w:tc>
        <w:tc>
          <w:tcPr>
            <w:tcW w:w="2914" w:type="dxa"/>
          </w:tcPr>
          <w:p>
            <w:pPr/>
            <w:r>
              <w:t xml:space="preserve">All 1,312 CA plans point to </w:t>
            </w:r>
            <w:r>
              <w:rPr>
                <w:rStyle w:val="CodeChar"/>
              </w:rPr>
              <w:t xml:space="preserve">healthnet-ca_in-network.json</w:t>
            </w:r>
            <w:r>
              <w:t xml:space="preserve"> (about 702 MB)</w:t>
            </w:r>
          </w:p>
        </w:tc>
        <w:tc>
          <w:tcPr>
            <w:tcW w:w="1636" w:type="dxa"/>
          </w:tcPr>
          <w:p>
            <w:pPr/>
            <w:r>
              <w:t xml:space="preserve">File labelled MIXED and passed on with the 453 PPO plan keys</w:t>
            </w:r>
          </w:p>
        </w:tc>
        <w:tc>
          <w:tcPr>
            <w:tcW w:w="1662" w:type="dxa"/>
          </w:tcPr>
          <w:p>
            <w:pPr/>
            <w:r>
              <w:t xml:space="preserve">Decides the C3 design</w:t>
            </w:r>
          </w:p>
        </w:tc>
      </w:tr>
      <w:tr>
        <w:tc>
          <w:tcPr>
            <w:tcW w:w="720" w:type="dxa"/>
          </w:tcPr>
          <w:p>
            <w:pPr/>
            <w:r>
              <w:t xml:space="preserve">4</w:t>
            </w:r>
          </w:p>
        </w:tc>
        <w:tc>
          <w:tcPr>
            <w:tcW w:w="2428" w:type="dxa"/>
          </w:tcPr>
          <w:p>
            <w:pPr/>
            <w:r>
              <w:t xml:space="preserve">Are TIN name prefixes like </w:t>
            </w:r>
            <w:r>
              <w:rPr>
                <w:rStyle w:val="CodeChar"/>
              </w:rPr>
              <w:t xml:space="preserve">PPO: Los Angeles County</w:t>
            </w:r>
            <w:r>
              <w:t xml:space="preserve"> real network tags?</w:t>
            </w:r>
          </w:p>
        </w:tc>
        <w:tc>
          <w:tcPr>
            <w:tcW w:w="2914" w:type="dxa"/>
          </w:tcPr>
          <w:p>
            <w:pPr/>
            <w:r>
              <w:rPr>
                <w:rStyle w:val="CodeChar"/>
              </w:rPr>
              <w:t xml:space="preserve">network_name</w:t>
            </w:r>
            <w:r>
              <w:t xml:space="preserve"> empty in the 40 MB sample; </w:t>
            </w:r>
            <w:r>
              <w:rPr>
                <w:rStyle w:val="CodeChar"/>
              </w:rPr>
              <w:t xml:space="preserve">PPO:</w:t>
            </w:r>
            <w:r>
              <w:t xml:space="preserve"> on 1.9% of groups; </w:t>
            </w:r>
            <w:r>
              <w:rPr>
                <w:rStyle w:val="CodeChar"/>
              </w:rPr>
              <w:t xml:space="preserve">DIRECT NETWORK: AMBETTER PPO/HMO</w:t>
            </w:r>
            <w:r>
              <w:t xml:space="preserve"> also appears</w:t>
            </w:r>
          </w:p>
        </w:tc>
        <w:tc>
          <w:tcPr>
            <w:tcW w:w="1636" w:type="dxa"/>
          </w:tcPr>
          <w:p>
            <w:pPr/>
            <w:r>
              <w:t xml:space="preserve">Recorded as weak evidence only</w:t>
            </w:r>
          </w:p>
        </w:tc>
        <w:tc>
          <w:tcPr>
            <w:tcW w:w="1662" w:type="dxa"/>
          </w:tcPr>
          <w:p>
            <w:pPr/>
            <w:r>
              <w:t xml:space="preserve">Possible in-file filter for C3</w:t>
            </w:r>
          </w:p>
        </w:tc>
      </w:tr>
      <w:tr>
        <w:tc>
          <w:tcPr>
            <w:tcW w:w="720" w:type="dxa"/>
          </w:tcPr>
          <w:p>
            <w:pPr/>
            <w:r>
              <w:t xml:space="preserve">5</w:t>
            </w:r>
          </w:p>
        </w:tc>
        <w:tc>
          <w:tcPr>
            <w:tcW w:w="2428" w:type="dxa"/>
          </w:tcPr>
          <w:p>
            <w:pPr/>
            <w:r>
              <w:t xml:space="preserve">What do the plan-name codes mean?</w:t>
            </w:r>
          </w:p>
        </w:tc>
        <w:tc>
          <w:tcPr>
            <w:tcW w:w="2914" w:type="dxa"/>
          </w:tcPr>
          <w:p>
            <w:pPr/>
            <w:r>
              <w:rPr>
                <w:rStyle w:val="CodeChar"/>
              </w:rPr>
              <w:t xml:space="preserve">CA L</w:t>
            </w:r>
            <w:r>
              <w:t xml:space="preserve"> / </w:t>
            </w:r>
            <w:r>
              <w:rPr>
                <w:rStyle w:val="CodeChar"/>
              </w:rPr>
              <w:t xml:space="preserve">CA T</w:t>
            </w:r>
            <w:r>
              <w:t xml:space="preserve"> / </w:t>
            </w:r>
            <w:r>
              <w:rPr>
                <w:rStyle w:val="CodeChar"/>
              </w:rPr>
              <w:t xml:space="preserve">CA L&amp;T</w:t>
            </w:r>
            <w:r>
              <w:t xml:space="preserve">, </w:t>
            </w:r>
            <w:r>
              <w:rPr>
                <w:rStyle w:val="CodeChar"/>
              </w:rPr>
              <w:t xml:space="preserve">SC</w:t>
            </w:r>
            <w:r>
              <w:t xml:space="preserve">, </w:t>
            </w:r>
            <w:r>
              <w:rPr>
                <w:rStyle w:val="CodeChar"/>
              </w:rPr>
              <w:t xml:space="preserve">EC</w:t>
            </w:r>
            <w:r>
              <w:t xml:space="preserve">, </w:t>
            </w:r>
            <w:r>
              <w:rPr>
                <w:rStyle w:val="CodeChar"/>
              </w:rPr>
              <w:t xml:space="preserve">SAL</w:t>
            </w:r>
            <w:r>
              <w:t xml:space="preserve">, </w:t>
            </w:r>
            <w:r>
              <w:rPr>
                <w:rStyle w:val="CodeChar"/>
              </w:rPr>
              <w:t xml:space="preserve">CUS</w:t>
            </w:r>
            <w:r>
              <w:t xml:space="preserve">, </w:t>
            </w:r>
            <w:r>
              <w:rPr>
                <w:rStyle w:val="CodeChar"/>
              </w:rPr>
              <w:t xml:space="preserve">CBA</w:t>
            </w:r>
            <w:r>
              <w:t xml:space="preserve">, </w:t>
            </w:r>
            <w:r>
              <w:rPr>
                <w:rStyle w:val="CodeChar"/>
              </w:rPr>
              <w:t xml:space="preserve">GF</w:t>
            </w:r>
            <w:r>
              <w:t xml:space="preserve">, </w:t>
            </w:r>
            <w:r>
              <w:rPr>
                <w:rStyle w:val="CodeChar"/>
              </w:rPr>
              <w:t xml:space="preserve">INF</w:t>
            </w:r>
            <w:r>
              <w:t xml:space="preserve">, </w:t>
            </w:r>
            <w:r>
              <w:rPr>
                <w:rStyle w:val="CodeChar"/>
              </w:rPr>
              <w:t xml:space="preserve">Aon NCA/SCA</w:t>
            </w:r>
            <w:r>
              <w:t xml:space="preserve">, </w:t>
            </w:r>
            <w:r>
              <w:rPr>
                <w:rStyle w:val="CodeChar"/>
              </w:rPr>
              <w:t xml:space="preserve">Mex</w:t>
            </w:r>
          </w:p>
        </w:tc>
        <w:tc>
          <w:tcPr>
            <w:tcW w:w="1636" w:type="dxa"/>
          </w:tcPr>
          <w:p>
            <w:pPr/>
            <w:r>
              <w:rPr>
                <w:rStyle w:val="CodeChar"/>
              </w:rPr>
              <w:t xml:space="preserve">SAL</w:t>
            </w:r>
            <w:r>
              <w:t xml:space="preserve"> treated as Salud HMO (163/163 in data)</w:t>
            </w:r>
          </w:p>
        </w:tc>
        <w:tc>
          <w:tcPr>
            <w:tcW w:w="1662" w:type="dxa"/>
          </w:tcPr>
          <w:p>
            <w:pPr/>
            <w:r>
              <w:t xml:space="preserve">4 plans</w:t>
            </w:r>
          </w:p>
        </w:tc>
      </w:tr>
      <w:tr>
        <w:tc>
          <w:tcPr>
            <w:tcW w:w="720" w:type="dxa"/>
          </w:tcPr>
          <w:p>
            <w:pPr/>
            <w:r>
              <w:t xml:space="preserve">6</w:t>
            </w:r>
          </w:p>
        </w:tc>
        <w:tc>
          <w:tcPr>
            <w:tcW w:w="2428" w:type="dxa"/>
          </w:tcPr>
          <w:p>
            <w:pPr/>
            <w:r>
              <w:t xml:space="preserve">Is </w:t>
            </w:r>
            <w:r>
              <w:rPr>
                <w:rStyle w:val="CodeChar"/>
              </w:rPr>
              <w:t xml:space="preserve">CUSPPO</w:t>
            </w:r>
            <w:r>
              <w:t xml:space="preserve"> a typo for </w:t>
            </w:r>
            <w:r>
              <w:rPr>
                <w:rStyle w:val="CodeChar"/>
              </w:rPr>
              <w:t xml:space="preserve">CUS PPO</w:t>
            </w:r>
            <w:r>
              <w:t xml:space="preserve">?</w:t>
            </w:r>
          </w:p>
        </w:tc>
        <w:tc>
          <w:tcPr>
            <w:tcW w:w="2914" w:type="dxa"/>
          </w:tcPr>
          <w:p>
            <w:pPr/>
            <w:r>
              <w:rPr>
                <w:rStyle w:val="CodeChar"/>
              </w:rPr>
              <w:t xml:space="preserve">CA L CUSPPO 15/250/20% RAP</w:t>
            </w:r>
          </w:p>
        </w:tc>
        <w:tc>
          <w:tcPr>
            <w:tcW w:w="1636" w:type="dxa"/>
          </w:tcPr>
          <w:p>
            <w:pPr/>
            <w:r>
              <w:t xml:space="preserve">PPO, medium confidence</w:t>
            </w:r>
          </w:p>
        </w:tc>
        <w:tc>
          <w:tcPr>
            <w:tcW w:w="1662" w:type="dxa"/>
          </w:tcPr>
          <w:p>
            <w:pPr/>
            <w:r>
              <w:t xml:space="preserve">1 plan</w:t>
            </w:r>
          </w:p>
        </w:tc>
      </w:tr>
      <w:tr>
        <w:tc>
          <w:tcPr>
            <w:tcW w:w="720" w:type="dxa"/>
          </w:tcPr>
          <w:p>
            <w:pPr/>
            <w:r>
              <w:t xml:space="preserve">7</w:t>
            </w:r>
          </w:p>
        </w:tc>
        <w:tc>
          <w:tcPr>
            <w:tcW w:w="2428" w:type="dxa"/>
          </w:tcPr>
          <w:p>
            <w:pPr/>
            <w:r>
              <w:t xml:space="preserve">Which field is right when plan ID type and ID value disagree?</w:t>
            </w:r>
          </w:p>
        </w:tc>
        <w:tc>
          <w:tcPr>
            <w:tcW w:w="2914" w:type="dxa"/>
          </w:tcPr>
          <w:p>
            <w:pPr/>
            <w:r>
              <w:t xml:space="preserve">154 EIN-typed IDs look like HIOS; 308 group plans typed HIOS</w:t>
            </w:r>
          </w:p>
        </w:tc>
        <w:tc>
          <w:tcPr>
            <w:tcW w:w="1636" w:type="dxa"/>
          </w:tcPr>
          <w:p>
            <w:pPr/>
            <w:r>
              <w:t xml:space="preserve">Flagged; market field used as given</w:t>
            </w:r>
          </w:p>
        </w:tc>
        <w:tc>
          <w:tcPr>
            <w:tcW w:w="1662" w:type="dxa"/>
          </w:tcPr>
          <w:p>
            <w:pPr/>
            <w:r>
              <w:t xml:space="preserve">Data quality only</w:t>
            </w:r>
          </w:p>
        </w:tc>
      </w:tr>
      <w:tr>
        <w:tc>
          <w:tcPr>
            <w:tcW w:w="720" w:type="dxa"/>
          </w:tcPr>
          <w:p>
            <w:pPr/>
            <w:r>
              <w:t xml:space="preserve">8</w:t>
            </w:r>
          </w:p>
        </w:tc>
        <w:tc>
          <w:tcPr>
            <w:tcW w:w="2428" w:type="dxa"/>
          </w:tcPr>
          <w:p>
            <w:pPr/>
            <w:r>
              <w:t xml:space="preserve">Is there a plan-to-licensed-entity mapping (Health Net of California vs Health Net Life)?</w:t>
            </w:r>
          </w:p>
        </w:tc>
        <w:tc>
          <w:tcPr>
            <w:tcW w:w="2914" w:type="dxa"/>
          </w:tcPr>
          <w:p>
            <w:pPr/>
            <w:r>
              <w:rPr>
                <w:rStyle w:val="CodeChar"/>
              </w:rPr>
              <w:t xml:space="preserve">issuer_name</w:t>
            </w:r>
            <w:r>
              <w:t xml:space="preserve"> is "Healthnet, LLC" for all 1,693 plans</w:t>
            </w:r>
          </w:p>
        </w:tc>
        <w:tc>
          <w:tcPr>
            <w:tcW w:w="1636" w:type="dxa"/>
          </w:tcPr>
          <w:p>
            <w:pPr/>
            <w:r>
              <w:t xml:space="preserve">Hypothesis not testable</w:t>
            </w:r>
          </w:p>
        </w:tc>
        <w:tc>
          <w:tcPr>
            <w:tcW w:w="1662" w:type="dxa"/>
          </w:tcPr>
          <w:p>
            <w:pPr/>
            <w:r>
              <w:t xml:space="preserve">Could confirm PPO vs HMO independently</w:t>
            </w:r>
          </w:p>
        </w:tc>
      </w:tr>
      <w:tr>
        <w:tc>
          <w:tcPr>
            <w:tcW w:w="720" w:type="dxa"/>
          </w:tcPr>
          <w:p>
            <w:pPr/>
            <w:r>
              <w:t xml:space="preserve">9</w:t>
            </w:r>
          </w:p>
        </w:tc>
        <w:tc>
          <w:tcPr>
            <w:tcW w:w="2428" w:type="dxa"/>
          </w:tcPr>
          <w:p>
            <w:pPr/>
            <w:r>
              <w:t xml:space="preserve">Why do two QualChoice sub-indexes duplicate each other?</w:t>
            </w:r>
          </w:p>
        </w:tc>
        <w:tc>
          <w:tcPr>
            <w:tcW w:w="2914" w:type="dxa"/>
          </w:tcPr>
          <w:p>
            <w:pPr/>
            <w:r>
              <w:rPr>
                <w:rStyle w:val="CodeChar"/>
              </w:rPr>
              <w:t xml:space="preserve">big_four</w:t>
            </w:r>
            <w:r>
              <w:t xml:space="preserve"> and </w:t>
            </w:r>
            <w:r>
              <w:rPr>
                <w:rStyle w:val="CodeChar"/>
              </w:rPr>
              <w:t xml:space="preserve">city_of_fort_smith</w:t>
            </w:r>
            <w:r>
              <w:t xml:space="preserve"> list the same 4 plans</w:t>
            </w:r>
          </w:p>
        </w:tc>
        <w:tc>
          <w:tcPr>
            <w:tcW w:w="1636" w:type="dxa"/>
          </w:tcPr>
          <w:p>
            <w:pPr/>
            <w:r>
              <w:t xml:space="preserve">Deduplicated</w:t>
            </w:r>
          </w:p>
        </w:tc>
        <w:tc>
          <w:tcPr>
            <w:tcW w:w="1662" w:type="dxa"/>
          </w:tcPr>
          <w:p>
            <w:pPr/>
            <w:r>
              <w:t xml:space="preserve">None (out of scope)</w:t>
            </w:r>
          </w:p>
        </w:tc>
      </w:tr>
    </w:tbl>
    <w:p>
      <w:pPr>
        <w:pStyle w:val="Heading2"/>
      </w:pPr>
      <w:r>
        <w:t xml:space="preserve">Approach for the remaining challenges</w:t>
      </w:r>
    </w:p>
    <w:p>
      <w:pPr/>
      <w:r>
        <w:t xml:space="preserve">The next three challenges work inside the 702 MB CA rate file:</w:t>
      </w:r>
    </w:p>
    <w:p>
      <w:pPr>
        <w:pStyle w:val="ListParagraph"/>
        <w:numPr>
          <w:ilvl w:val="0"/>
          <w:numId w:val="7"/>
        </w:numPr>
      </w:pPr>
      <w:r>
        <w:rPr>
          <w:b/>
        </w:rPr>
        <w:t xml:space="preserve">Quality:</w:t>
      </w:r>
      <w:r>
        <w:t xml:space="preserve"> score each file on transparent quality metrics.</w:t>
      </w:r>
    </w:p>
    <w:p>
      <w:pPr>
        <w:pStyle w:val="ListParagraph"/>
        <w:numPr>
          <w:ilvl w:val="0"/>
          <w:numId w:val="7"/>
        </w:numPr>
      </w:pPr>
      <w:r>
        <w:rPr>
          <w:b/>
        </w:rPr>
        <w:t xml:space="preserve">Rates:</w:t>
      </w:r>
      <w:r>
        <w:t xml:space="preserve"> extract one defensible rate per provider and code.</w:t>
      </w:r>
    </w:p>
    <w:p>
      <w:pPr>
        <w:pStyle w:val="ListParagraph"/>
        <w:numPr>
          <w:ilvl w:val="0"/>
          <w:numId w:val="7"/>
        </w:numPr>
      </w:pPr>
      <w:r>
        <w:rPr>
          <w:b/>
        </w:rPr>
        <w:t xml:space="preserve">Location:</w:t>
      </w:r>
      <w:r>
        <w:t xml:space="preserve"> place providers with several sources, never NPPES alone.</w:t>
      </w:r>
    </w:p>
    <w:p>
      <w:pPr/>
      <w:r>
        <w:rPr>
          <w:b/>
        </w:rPr>
        <w:t xml:space="preserve">What a rate file contains.</w:t>
      </w:r>
      <w:r>
        <w:t xml:space="preserve"> Each in-network file has two parts:</w:t>
      </w:r>
    </w:p>
    <w:p>
      <w:pPr>
        <w:pStyle w:val="ListParagraph"/>
        <w:numPr>
          <w:ilvl w:val="0"/>
          <w:numId w:val="8"/>
        </w:numPr>
      </w:pPr>
      <w:r>
        <w:rPr>
          <w:rStyle w:val="CodeChar"/>
        </w:rPr>
        <w:t xml:space="preserve">provider_references</w:t>
      </w:r>
      <w:r>
        <w:t xml:space="preserve">: groups of NPIs under a TIN.</w:t>
      </w:r>
    </w:p>
    <w:p>
      <w:pPr>
        <w:pStyle w:val="ListParagraph"/>
        <w:numPr>
          <w:ilvl w:val="0"/>
          <w:numId w:val="8"/>
        </w:numPr>
      </w:pPr>
      <w:r>
        <w:rPr>
          <w:rStyle w:val="CodeChar"/>
        </w:rPr>
        <w:t xml:space="preserve">in_network</w:t>
      </w:r>
      <w:r>
        <w:t xml:space="preserve"> items: a billing code plus </w:t>
      </w:r>
      <w:r>
        <w:rPr>
          <w:rStyle w:val="CodeChar"/>
        </w:rPr>
        <w:t xml:space="preserve">negotiated_rates</w:t>
      </w:r>
      <w:r>
        <w:t xml:space="preserve">, each with </w:t>
      </w:r>
      <w:r>
        <w:rPr>
          <w:rStyle w:val="CodeChar"/>
        </w:rPr>
        <w:t xml:space="preserve">negotiated_type</w:t>
      </w:r>
      <w:r>
        <w:t xml:space="preserve">, </w:t>
      </w:r>
      <w:r>
        <w:rPr>
          <w:rStyle w:val="CodeChar"/>
        </w:rPr>
        <w:t xml:space="preserve">negotiated_rate</w:t>
      </w:r>
      <w:r>
        <w:t xml:space="preserve">, </w:t>
      </w:r>
      <w:r>
        <w:rPr>
          <w:rStyle w:val="CodeChar"/>
        </w:rPr>
        <w:t xml:space="preserve">billing_class</w:t>
      </w:r>
      <w:r>
        <w:t xml:space="preserve">, </w:t>
      </w:r>
      <w:r>
        <w:rPr>
          <w:rStyle w:val="CodeChar"/>
        </w:rPr>
        <w:t xml:space="preserve">service_code</w:t>
      </w:r>
      <w:r>
        <w:t xml:space="preserve"> (place of service), modifiers and </w:t>
      </w:r>
      <w:r>
        <w:rPr>
          <w:rStyle w:val="CodeChar"/>
        </w:rPr>
        <w:t xml:space="preserve">expiration_date</w:t>
      </w:r>
      <w:r>
        <w:t xml:space="preserve">.</w:t>
      </w:r>
    </w:p>
    <w:p>
      <w:pPr/>
      <w:r>
        <w:t xml:space="preserve">The CA file carries no plan or network ID on its rates, so PPO filtering will rely on the C2 plan list, any in-file network markers and the organizers' answer to Q3.</w:t>
      </w:r>
    </w:p>
    <w:p>
      <w:pPr>
        <w:pStyle w:val="Heading3"/>
      </w:pPr>
      <w:r>
        <w:t xml:space="preserve">File quality and completeness score</w:t>
      </w:r>
    </w:p>
    <w:p>
      <w:pPr/>
      <w:r>
        <w:t xml:space="preserve">Each file used gets a score from 0 to 100. The raw value of every metric is always reported beside the score.</w:t>
      </w:r>
    </w:p>
    <w:tbl>
      <w:tblPr>
        <w:tblStyle w:val="TableGrid"/>
        <w:tblW w:w="0" w:type="auto"/>
        <w:tblLayout w:type="fixed"/>
        <w:tblLook w:val="04A0" w:firstRow="1" w:lastRow="0" w:firstColumn="0" w:lastColumn="0" w:noHBand="0" w:noVBand="1"/>
      </w:tblPr>
      <w:tblGrid>
        <w:gridCol w:w="2334"/>
        <w:gridCol w:w="4147"/>
        <w:gridCol w:w="2879"/>
      </w:tblGrid>
      <w:tr>
        <w:trPr>
          <w:tblHeader/>
        </w:trPr>
        <w:tc>
          <w:tcPr>
            <w:tcW w:w="2334" w:type="dxa"/>
            <w:shd w:val="clear" w:color="auto" w:fill="F2F2F2"/>
          </w:tcPr>
          <w:p>
            <w:pPr/>
            <w:r>
              <w:t xml:space="preserve">Metric</w:t>
            </w:r>
          </w:p>
        </w:tc>
        <w:tc>
          <w:tcPr>
            <w:tcW w:w="4147" w:type="dxa"/>
            <w:shd w:val="clear" w:color="auto" w:fill="F2F2F2"/>
          </w:tcPr>
          <w:p>
            <w:pPr/>
            <w:r>
              <w:t xml:space="preserve">How it is measured</w:t>
            </w:r>
          </w:p>
        </w:tc>
        <w:tc>
          <w:tcPr>
            <w:tcW w:w="2879" w:type="dxa"/>
            <w:shd w:val="clear" w:color="auto" w:fill="F2F2F2"/>
          </w:tcPr>
          <w:p>
            <w:pPr/>
            <w:r>
              <w:t xml:space="preserve">Why it matters</w:t>
            </w:r>
          </w:p>
        </w:tc>
      </w:tr>
      <w:tr>
        <w:tc>
          <w:tcPr>
            <w:tcW w:w="2334" w:type="dxa"/>
          </w:tcPr>
          <w:p>
            <w:pPr/>
            <w:r>
              <w:t xml:space="preserve">Schema validity</w:t>
            </w:r>
          </w:p>
        </w:tc>
        <w:tc>
          <w:tcPr>
            <w:tcW w:w="4147" w:type="dxa"/>
          </w:tcPr>
          <w:p>
            <w:pPr/>
            <w:r>
              <w:t xml:space="preserve">% of records that parse and carry the required TiC fields</w:t>
            </w:r>
          </w:p>
        </w:tc>
        <w:tc>
          <w:tcPr>
            <w:tcW w:w="2879" w:type="dxa"/>
          </w:tcPr>
          <w:p>
            <w:pPr/>
            <w:r>
              <w:t xml:space="preserve">Broken records can't be priced at all</w:t>
            </w:r>
          </w:p>
        </w:tc>
      </w:tr>
      <w:tr>
        <w:tc>
          <w:tcPr>
            <w:tcW w:w="2334" w:type="dxa"/>
          </w:tcPr>
          <w:p>
            <w:pPr/>
            <w:r>
              <w:t xml:space="preserve">Code coverage</w:t>
            </w:r>
          </w:p>
        </w:tc>
        <w:tc>
          <w:tcPr>
            <w:tcW w:w="4147" w:type="dxa"/>
          </w:tcPr>
          <w:p>
            <w:pPr/>
            <w:r>
              <w:t xml:space="preserve">% of the benchmark code list (HiLabs weights file) with at least one usable rate; split by code type (CPT/HCPCS/DRG)</w:t>
            </w:r>
          </w:p>
        </w:tc>
        <w:tc>
          <w:tcPr>
            <w:tcW w:w="2879" w:type="dxa"/>
          </w:tcPr>
          <w:p>
            <w:pPr/>
            <w:r>
              <w:t xml:space="preserve">A file is only useful for benchmarking if it prices the codes being benchmarked</w:t>
            </w:r>
          </w:p>
        </w:tc>
      </w:tr>
      <w:tr>
        <w:tc>
          <w:tcPr>
            <w:tcW w:w="2334" w:type="dxa"/>
          </w:tcPr>
          <w:p>
            <w:pPr/>
            <w:r>
              <w:t xml:space="preserve">Provider coverage</w:t>
            </w:r>
          </w:p>
        </w:tc>
        <w:tc>
          <w:tcPr>
            <w:tcW w:w="4147" w:type="dxa"/>
          </w:tcPr>
          <w:p>
            <w:pPr/>
            <w:r>
              <w:t xml:space="preserve">Distinct NPIs/TINs; % NPIs that pass the check digit and exist in NPPES; % referenced providers that actually have rates; % located in CA</w:t>
            </w:r>
          </w:p>
        </w:tc>
        <w:tc>
          <w:tcPr>
            <w:tcW w:w="2879" w:type="dxa"/>
          </w:tcPr>
          <w:p>
            <w:pPr/>
            <w:r>
              <w:t xml:space="preserve">Measures how much of the network is really priced, and in the right state</w:t>
            </w:r>
          </w:p>
        </w:tc>
      </w:tr>
      <w:tr>
        <w:tc>
          <w:tcPr>
            <w:tcW w:w="2334" w:type="dxa"/>
          </w:tcPr>
          <w:p>
            <w:pPr/>
            <w:r>
              <w:t xml:space="preserve">$0 and invalid rates</w:t>
            </w:r>
          </w:p>
        </w:tc>
        <w:tc>
          <w:tcPr>
            <w:tcW w:w="4147" w:type="dxa"/>
          </w:tcPr>
          <w:p>
            <w:pPr/>
            <w:r>
              <w:t xml:space="preserve">% rates equal to 0, negative, or placeholder values (e.g. 0.01, 99999)</w:t>
            </w:r>
          </w:p>
        </w:tc>
        <w:tc>
          <w:tcPr>
            <w:tcW w:w="2879" w:type="dxa"/>
          </w:tcPr>
          <w:p>
            <w:pPr/>
            <w:r>
              <w:t xml:space="preserve">These are not real prices and distort averages</w:t>
            </w:r>
          </w:p>
        </w:tc>
      </w:tr>
      <w:tr>
        <w:tc>
          <w:tcPr>
            <w:tcW w:w="2334" w:type="dxa"/>
          </w:tcPr>
          <w:p>
            <w:pPr/>
            <w:r>
              <w:t xml:space="preserve">Outlier rate</w:t>
            </w:r>
          </w:p>
        </w:tc>
        <w:tc>
          <w:tcPr>
            <w:tcW w:w="4147" w:type="dxa"/>
          </w:tcPr>
          <w:p>
            <w:pPr/>
            <w:r>
              <w:t xml:space="preserve">% rates more than 10× above or below the code's median, measured on a log scale</w:t>
            </w:r>
          </w:p>
        </w:tc>
        <w:tc>
          <w:tcPr>
            <w:tcW w:w="2879" w:type="dxa"/>
          </w:tcPr>
          <w:p>
            <w:pPr/>
            <w:r>
              <w:t xml:space="preserve">Flags unit errors and misattributed rates</w:t>
            </w:r>
          </w:p>
        </w:tc>
      </w:tr>
      <w:tr>
        <w:tc>
          <w:tcPr>
            <w:tcW w:w="2334" w:type="dxa"/>
          </w:tcPr>
          <w:p>
            <w:pPr/>
            <w:r>
              <w:t xml:space="preserve">Rate-type mix</w:t>
            </w:r>
          </w:p>
        </w:tc>
        <w:tc>
          <w:tcPr>
            <w:tcW w:w="4147" w:type="dxa"/>
          </w:tcPr>
          <w:p>
            <w:pPr/>
            <w:r>
              <w:t xml:space="preserve">Share of negotiated / fee schedule / derived / percentage / per diem</w:t>
            </w:r>
          </w:p>
        </w:tc>
        <w:tc>
          <w:tcPr>
            <w:tcW w:w="2879" w:type="dxa"/>
          </w:tcPr>
          <w:p>
            <w:pPr/>
            <w:r>
              <w:t xml:space="preserve">Percentage rates without a base price can't be turned into dollars</w:t>
            </w:r>
          </w:p>
        </w:tc>
      </w:tr>
      <w:tr>
        <w:tc>
          <w:tcPr>
            <w:tcW w:w="2334" w:type="dxa"/>
          </w:tcPr>
          <w:p>
            <w:pPr/>
            <w:r>
              <w:t xml:space="preserve">Duplicates</w:t>
            </w:r>
          </w:p>
        </w:tc>
        <w:tc>
          <w:tcPr>
            <w:tcW w:w="4147" w:type="dxa"/>
          </w:tcPr>
          <w:p>
            <w:pPr/>
            <w:r>
              <w:t xml:space="preserve">Exact duplicate rows, and conflicting rows (same provider, code and context, different price)</w:t>
            </w:r>
          </w:p>
        </w:tc>
        <w:tc>
          <w:tcPr>
            <w:tcW w:w="2879" w:type="dxa"/>
          </w:tcPr>
          <w:p>
            <w:pPr/>
            <w:r>
              <w:t xml:space="preserve">Duplicates inflate counts; conflicts need a resolution rule</w:t>
            </w:r>
          </w:p>
        </w:tc>
      </w:tr>
      <w:tr>
        <w:tc>
          <w:tcPr>
            <w:tcW w:w="2334" w:type="dxa"/>
          </w:tcPr>
          <w:p>
            <w:pPr/>
            <w:r>
              <w:t xml:space="preserve">Staleness</w:t>
            </w:r>
          </w:p>
        </w:tc>
        <w:tc>
          <w:tcPr>
            <w:tcW w:w="4147" w:type="dxa"/>
          </w:tcPr>
          <w:p>
            <w:pPr/>
            <w:r>
              <w:t xml:space="preserve">Age of </w:t>
            </w:r>
            <w:r>
              <w:rPr>
                <w:rStyle w:val="CodeChar"/>
              </w:rPr>
              <w:t xml:space="preserve">last_updated_on</w:t>
            </w:r>
            <w:r>
              <w:t xml:space="preserve">; % rates past </w:t>
            </w:r>
            <w:r>
              <w:rPr>
                <w:rStyle w:val="CodeChar"/>
              </w:rPr>
              <w:t xml:space="preserve">expiration_date</w:t>
            </w:r>
          </w:p>
        </w:tc>
        <w:tc>
          <w:tcPr>
            <w:tcW w:w="2879" w:type="dxa"/>
          </w:tcPr>
          <w:p>
            <w:pPr/>
            <w:r>
              <w:t xml:space="preserve">Old or expired prices misstate today's contracts</w:t>
            </w:r>
          </w:p>
        </w:tc>
      </w:tr>
      <w:tr>
        <w:tc>
          <w:tcPr>
            <w:tcW w:w="2334" w:type="dxa"/>
          </w:tcPr>
          <w:p>
            <w:pPr/>
            <w:r>
              <w:t xml:space="preserve">Referential integrity</w:t>
            </w:r>
          </w:p>
        </w:tc>
        <w:tc>
          <w:tcPr>
            <w:tcW w:w="4147" w:type="dxa"/>
          </w:tcPr>
          <w:p>
            <w:pPr/>
            <w:r>
              <w:t xml:space="preserve">% provider-reference IDs used but never defined</w:t>
            </w:r>
          </w:p>
        </w:tc>
        <w:tc>
          <w:tcPr>
            <w:tcW w:w="2879" w:type="dxa"/>
          </w:tcPr>
          <w:p>
            <w:pPr/>
            <w:r>
              <w:t xml:space="preserve">Rates that can't be tied to a provider are unusable</w:t>
            </w:r>
          </w:p>
        </w:tc>
      </w:tr>
    </w:tbl>
    <w:p>
      <w:pPr/>
      <w:r>
        <w:t xml:space="preserve">Weights are set in config and published with the score, so a reviewer can re-weight it.</w:t>
      </w:r>
    </w:p>
    <w:p>
      <w:pPr>
        <w:pStyle w:val="Heading3"/>
      </w:pPr>
      <w:r>
        <w:t xml:space="preserve">PPO rate extraction and which rate we keep</w:t>
      </w:r>
    </w:p>
    <w:p>
      <w:pPr/>
      <w:r>
        <w:t xml:space="preserve">The file is streamed once with </w:t>
      </w:r>
      <w:r>
        <w:rPr>
          <w:rStyle w:val="CodeChar"/>
        </w:rPr>
        <w:t xml:space="preserve">ijson</w:t>
      </w:r>
      <w:r>
        <w:t xml:space="preserve">. Each rate is exploded to one row: NPI · TIN · code · modifier · billing class · place of service · rate type · price · expiration. Contracts are signed at TIN level, so a provider is the NPI + TIN pair.</w:t>
      </w:r>
    </w:p>
    <w:p>
      <w:pPr/>
      <w:r>
        <w:t xml:space="preserve">When one provider has several rates for one code:</w:t>
      </w:r>
    </w:p>
    <w:p>
      <w:pPr>
        <w:pStyle w:val="ListParagraph"/>
        <w:numPr>
          <w:ilvl w:val="0"/>
          <w:numId w:val="9"/>
        </w:numPr>
      </w:pPr>
      <w:r>
        <w:rPr>
          <w:b/>
        </w:rPr>
        <w:t xml:space="preserve">Keep real context apart.</w:t>
      </w:r>
      <w:r>
        <w:t xml:space="preserve"> Professional vs institutional, modifiers 26/TC, and facility vs office place of service are different services, so each gets its own row. The benchmark view uses professional, no modifier, office setting by default.</w:t>
      </w:r>
    </w:p>
    <w:p>
      <w:pPr>
        <w:pStyle w:val="ListParagraph"/>
        <w:numPr>
          <w:ilvl w:val="0"/>
          <w:numId w:val="9"/>
        </w:numPr>
      </w:pPr>
      <w:r>
        <w:rPr>
          <w:b/>
        </w:rPr>
        <w:t xml:space="preserve">Drop unusable rates.</w:t>
      </w:r>
      <w:r>
        <w:t xml:space="preserve"> Expired, $0 or placeholder, and percentage rates with no base price are dropped, each with a reason code.</w:t>
      </w:r>
    </w:p>
    <w:p>
      <w:pPr>
        <w:pStyle w:val="ListParagraph"/>
        <w:numPr>
          <w:ilvl w:val="0"/>
          <w:numId w:val="9"/>
        </w:numPr>
      </w:pPr>
      <w:r>
        <w:rPr>
          <w:b/>
        </w:rPr>
        <w:t xml:space="preserve">Prefer the most direct price type.</w:t>
      </w:r>
      <w:r>
        <w:t xml:space="preserve"> negotiated &gt; fee schedule &gt; derived.</w:t>
      </w:r>
    </w:p>
    <w:p>
      <w:pPr>
        <w:pStyle w:val="ListParagraph"/>
        <w:numPr>
          <w:ilvl w:val="0"/>
          <w:numId w:val="9"/>
        </w:numPr>
      </w:pPr>
      <w:r>
        <w:rPr>
          <w:b/>
        </w:rPr>
        <w:t xml:space="preserve">If several rates are still left, keep the most frequent rate.</w:t>
      </w:r>
      <w:r>
        <w:t xml:space="preserve"> That is the standard fee-schedule price; a tie falls back to the median. The kept row also records how many rates there were, their min and max, and a conflict flag, so nothing is hidden. The highest or lowest rate is never chosen.</w:t>
      </w:r>
    </w:p>
    <w:p>
      <w:pPr>
        <w:pStyle w:val="Heading3"/>
      </w:pPr>
      <w:r>
        <w:t xml:space="preserve">Provider location without relying on NPPES alone</w:t>
      </w:r>
    </w:p>
    <w:p>
      <w:pPr/>
      <w:r>
        <w:t xml:space="preserve">NPPES addresses are self-reported and often years out of date. Each provider gets a location confidence built from several sources that check each other:</w:t>
      </w:r>
    </w:p>
    <w:tbl>
      <w:tblPr>
        <w:tblStyle w:val="TableGrid"/>
        <w:tblW w:w="0" w:type="auto"/>
        <w:tblLayout w:type="fixed"/>
        <w:tblLook w:val="04A0" w:firstRow="1" w:lastRow="0" w:firstColumn="0" w:lastColumn="0" w:noHBand="0" w:noVBand="1"/>
      </w:tblPr>
      <w:tblGrid>
        <w:gridCol w:w="3467"/>
        <w:gridCol w:w="2839"/>
        <w:gridCol w:w="3053"/>
      </w:tblGrid>
      <w:tr>
        <w:trPr>
          <w:tblHeader/>
        </w:trPr>
        <w:tc>
          <w:tcPr>
            <w:tcW w:w="3467" w:type="dxa"/>
            <w:shd w:val="clear" w:color="auto" w:fill="F2F2F2"/>
          </w:tcPr>
          <w:p>
            <w:pPr/>
            <w:r>
              <w:t xml:space="preserve">Source</w:t>
            </w:r>
          </w:p>
        </w:tc>
        <w:tc>
          <w:tcPr>
            <w:tcW w:w="2839" w:type="dxa"/>
            <w:shd w:val="clear" w:color="auto" w:fill="F2F2F2"/>
          </w:tcPr>
          <w:p>
            <w:pPr/>
            <w:r>
              <w:t xml:space="preserve">Strength</w:t>
            </w:r>
          </w:p>
        </w:tc>
        <w:tc>
          <w:tcPr>
            <w:tcW w:w="3053" w:type="dxa"/>
            <w:shd w:val="clear" w:color="auto" w:fill="F2F2F2"/>
          </w:tcPr>
          <w:p>
            <w:pPr/>
            <w:r>
              <w:t xml:space="preserve">Use</w:t>
            </w:r>
          </w:p>
        </w:tc>
      </w:tr>
      <w:tr>
        <w:tc>
          <w:tcPr>
            <w:tcW w:w="3467" w:type="dxa"/>
          </w:tcPr>
          <w:p>
            <w:pPr/>
            <w:r>
              <w:t xml:space="preserve">CMS DAC National Downloadable File</w:t>
            </w:r>
          </w:p>
        </w:tc>
        <w:tc>
          <w:tcPr>
            <w:tcW w:w="2839" w:type="dxa"/>
          </w:tcPr>
          <w:p>
            <w:pPr/>
            <w:r>
              <w:t xml:space="preserve">Refreshed from Medicare enrollment, so more current</w:t>
            </w:r>
          </w:p>
        </w:tc>
        <w:tc>
          <w:tcPr>
            <w:tcW w:w="3053" w:type="dxa"/>
          </w:tcPr>
          <w:p>
            <w:pPr/>
            <w:r>
              <w:t xml:space="preserve">Primary address for clinicians it covers</w:t>
            </w:r>
          </w:p>
        </w:tc>
      </w:tr>
      <w:tr>
        <w:tc>
          <w:tcPr>
            <w:tcW w:w="3467" w:type="dxa"/>
          </w:tcPr>
          <w:p>
            <w:pPr/>
            <w:r>
              <w:t xml:space="preserve">NPPES practice address + last-update date</w:t>
            </w:r>
          </w:p>
        </w:tc>
        <w:tc>
          <w:tcPr>
            <w:tcW w:w="2839" w:type="dxa"/>
          </w:tcPr>
          <w:p>
            <w:pPr/>
            <w:r>
              <w:t xml:space="preserve">Covers everyone, but often stale</w:t>
            </w:r>
          </w:p>
        </w:tc>
        <w:tc>
          <w:tcPr>
            <w:tcW w:w="3053" w:type="dxa"/>
          </w:tcPr>
          <w:p>
            <w:pPr/>
            <w:r>
              <w:t xml:space="preserve">Fallback; confidence lowered as the last update gets older</w:t>
            </w:r>
          </w:p>
        </w:tc>
      </w:tr>
      <w:tr>
        <w:tc>
          <w:tcPr>
            <w:tcW w:w="3467" w:type="dxa"/>
          </w:tcPr>
          <w:p>
            <w:pPr/>
            <w:r>
              <w:t xml:space="preserve">TIN business name and county tags in the rate file (</w:t>
            </w:r>
            <w:r>
              <w:rPr>
                <w:rStyle w:val="CodeChar"/>
              </w:rPr>
              <w:t xml:space="preserve">PPO: Los Angeles County</w:t>
            </w:r>
            <w:r>
              <w:t xml:space="preserve">)</w:t>
            </w:r>
          </w:p>
        </w:tc>
        <w:tc>
          <w:tcPr>
            <w:tcW w:w="2839" w:type="dxa"/>
          </w:tcPr>
          <w:p>
            <w:pPr/>
            <w:r>
              <w:t xml:space="preserve">Comes from the payer's own current contract</w:t>
            </w:r>
          </w:p>
        </w:tc>
        <w:tc>
          <w:tcPr>
            <w:tcW w:w="3053" w:type="dxa"/>
          </w:tcPr>
          <w:p>
            <w:pPr/>
            <w:r>
              <w:t xml:space="preserve">Checks state and county</w:t>
            </w:r>
          </w:p>
        </w:tc>
      </w:tr>
      <w:tr>
        <w:tc>
          <w:tcPr>
            <w:tcW w:w="3467" w:type="dxa"/>
          </w:tcPr>
          <w:p>
            <w:pPr/>
            <w:r>
              <w:t xml:space="preserve">NUCC taxonomy</w:t>
            </w:r>
          </w:p>
        </w:tc>
        <w:tc>
          <w:tcPr>
            <w:tcW w:w="2839" w:type="dxa"/>
          </w:tcPr>
          <w:p>
            <w:pPr/>
            <w:r>
              <w:t xml:space="preserve">Specialty</w:t>
            </w:r>
          </w:p>
        </w:tc>
        <w:tc>
          <w:tcPr>
            <w:tcW w:w="3053" w:type="dxa"/>
          </w:tcPr>
          <w:p>
            <w:pPr/>
            <w:r>
              <w:t xml:space="preserve">Groups providers for benchmarking</w:t>
            </w:r>
          </w:p>
        </w:tc>
      </w:tr>
    </w:tbl>
    <w:p>
      <w:pPr/>
      <w:r>
        <w:t xml:space="preserve">When sources disagree, the case is flagged, not silently resolved. A provider counts as CA only if at least two sources agree, or one high-confidence source does.</w:t>
      </w:r>
    </w:p>
    <w:p>
      <w:pPr>
        <w:pStyle w:val="Heading2"/>
      </w:pPr>
      <w:r>
        <w:t xml:space="preserve">Limitations and next steps</w:t>
      </w:r>
    </w:p>
    <w:p>
      <w:pPr/>
      <w:r>
        <w:t xml:space="preserve">The PPO list is only as reliable as Centene's plan names, and the PPO rates still sit in a file shared with HMO, POS and EOA plans.</w:t>
      </w:r>
    </w:p>
    <w:p>
      <w:pPr/>
      <w:r>
        <w:rPr>
          <w:b/>
        </w:rPr>
        <w:t xml:space="preserve">Limitations</w:t>
      </w:r>
    </w:p>
    <w:p>
      <w:pPr>
        <w:pStyle w:val="ListParagraph"/>
        <w:numPr>
          <w:ilvl w:val="0"/>
          <w:numId w:val="10"/>
        </w:numPr>
      </w:pPr>
      <w:r>
        <w:t xml:space="preserve">All PPO evidence comes from plan names; a mislabelled name would be misclassified.</w:t>
      </w:r>
    </w:p>
    <w:p>
      <w:pPr>
        <w:pStyle w:val="ListParagraph"/>
        <w:numPr>
          <w:ilvl w:val="0"/>
          <w:numId w:val="10"/>
        </w:numPr>
      </w:pPr>
      <w:r>
        <w:t xml:space="preserve">130 in-scope plans (about 10%) can't be resolved from public index data.</w:t>
      </w:r>
    </w:p>
    <w:p>
      <w:pPr>
        <w:pStyle w:val="ListParagraph"/>
        <w:numPr>
          <w:ilvl w:val="0"/>
          <w:numId w:val="10"/>
        </w:numPr>
      </w:pPr>
      <w:r>
        <w:t xml:space="preserve">The provider fingerprint reads only the first 40 MB of the 702 MB CA file. The NPPES California share was not computed because the NPPES files are not in the repo yet.</w:t>
      </w:r>
    </w:p>
    <w:p>
      <w:pPr>
        <w:pStyle w:val="ListParagraph"/>
        <w:numPr>
          <w:ilvl w:val="0"/>
          <w:numId w:val="10"/>
        </w:numPr>
      </w:pPr>
      <w:r>
        <w:t xml:space="preserve">Product families were checked against this snapshot only.</w:t>
      </w:r>
    </w:p>
    <w:p>
      <w:pPr/>
      <w:r>
        <w:rPr>
          <w:b/>
        </w:rPr>
        <w:t xml:space="preserve">Next steps</w:t>
      </w:r>
    </w:p>
    <w:p>
      <w:pPr>
        <w:pStyle w:val="ListParagraph"/>
        <w:numPr>
          <w:ilvl w:val="0"/>
          <w:numId w:val="11"/>
        </w:numPr>
      </w:pPr>
      <w:r>
        <w:t xml:space="preserve">☐ Send the 9 open questions to the organizers, starting with EOA (Q1) and the PPO-only filtering approach (Q3)</w:t>
      </w:r>
    </w:p>
    <w:p>
      <w:pPr>
        <w:pStyle w:val="ListParagraph"/>
        <w:numPr>
          <w:ilvl w:val="0"/>
          <w:numId w:val="11"/>
        </w:numPr>
      </w:pPr>
      <w:r>
        <w:t xml:space="preserve">☐ Commit the C1 and C2 code, docs and outputs, and push to GitHub</w:t>
      </w:r>
    </w:p>
    <w:p>
      <w:pPr>
        <w:pStyle w:val="ListParagraph"/>
        <w:numPr>
          <w:ilvl w:val="0"/>
          <w:numId w:val="11"/>
        </w:numPr>
      </w:pPr>
      <w:r>
        <w:t xml:space="preserve">☐ C3: stream the CA rate file and keep only rates tied to the 453 PPO plans (</w:t>
      </w:r>
      <w:r>
        <w:rPr>
          <w:rStyle w:val="CodeChar"/>
        </w:rPr>
        <w:t xml:space="preserve">outputs/c2/ppo_plans.csv</w:t>
      </w:r>
      <w:r>
        <w:t xml:space="preserve">)</w:t>
      </w:r>
    </w:p>
    <w:p>
      <w:pPr>
        <w:pStyle w:val="ListParagraph"/>
        <w:numPr>
          <w:ilvl w:val="0"/>
          <w:numId w:val="11"/>
        </w:numPr>
      </w:pPr>
      <w:r>
        <w:t xml:space="preserve">☐ Add the NPPES files to </w:t>
      </w:r>
      <w:r>
        <w:rPr>
          <w:rStyle w:val="CodeChar"/>
        </w:rPr>
        <w:t xml:space="preserve">data/nppes/</w:t>
      </w:r>
      <w:r>
        <w:t xml:space="preserve"> and re-run with </w:t>
      </w:r>
      <w:r>
        <w:rPr>
          <w:rStyle w:val="CodeChar"/>
        </w:rPr>
        <w:t xml:space="preserve">--fingerprint</w:t>
      </w:r>
      <w:r>
        <w:t xml:space="preserve"> to get the California share of providers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HiLabs PTD Hackathon — C1 &amp; C2 Progress Summary</dc:title>
  <dc:description>Claude Docs node/c52c36c0-d92d@9 docx-w7</dc:description>
  <cp:revision>9</cp:revision>
</cp:coreProperties>
</file>