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E4D92"/>
          <w:spacing w:val="30"/>
          <w:sz w:val="17"/>
          <w:szCs w:val="17"/>
        </w:rPr>
        <w:t xml:space="preserve">GRAPHX CONNECT  -  API-HUB</w:t>
      </w:r>
    </w:p>
    <w:p>
      <w:pPr>
        <w:pStyle w:val="Heading1"/>
        <w:spacing w:after="100" w:before="0"/>
      </w:pPr>
      <w:r>
        <w:t xml:space="preserve">Connect API - Team Testing Guide</w:t>
      </w:r>
    </w:p>
    <w:p>
      <w:pPr>
        <w:spacing w:after="160"/>
      </w:pPr>
      <w:r>
        <w:rPr>
          <w:rFonts w:ascii="Arial" w:cs="Arial" w:eastAsia="Arial" w:hAnsi="Arial"/>
          <w:color w:val="5A6475"/>
          <w:sz w:val="20"/>
          <w:szCs w:val="20"/>
        </w:rPr>
        <w:t xml:space="preserve">The agnostic integration hub between wholesale suppliers (SanMar, S&amp;S, 4Over, 994+ PromoStandards) and any consumer platform. Nine endpoints - five live today, four on the agreed roadmap. This guide covers how to authenticate and test them in Postman.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7EC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A6E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GraphX Connect API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7EC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A6E"/>
                <w:sz w:val="20"/>
                <w:szCs w:val="20"/>
              </w:rPr>
              <w:t xml:space="preserve">base_url</w:t>
            </w:r>
          </w:p>
        </w:tc>
        <w:tc>
          <w:tcPr>
            <w:tcW w:type="dxa" w:w="6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http://localhost:8000  (dev), or your deployed host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7EC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A6E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X-Orchestrator-Key: {{orch_key}}</w:t>
            </w:r>
          </w:p>
        </w:tc>
      </w:tr>
      <w:tr>
        <w:tc>
          <w:tcPr>
            <w:tcW w:type="dxa" w:w="2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7EC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A6E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postman/graphx-connect.postman_collection.json</w:t>
            </w:r>
          </w:p>
        </w:tc>
      </w:tr>
    </w:tbl>
    <w:p>
      <w:pPr>
        <w:pStyle w:val="Heading2"/>
      </w:pPr>
      <w:r>
        <w:t xml:space="preserve">1. Authenticate</w:t>
      </w:r>
    </w:p>
    <w:p>
      <w:r>
        <w:rPr>
          <w:rFonts w:ascii="Arial" w:cs="Arial" w:eastAsia="Arial" w:hAnsi="Arial"/>
          <w:color w:val="1B2433"/>
          <w:sz w:val="20"/>
          <w:szCs w:val="20"/>
        </w:rPr>
        <w:t xml:space="preserve">Connect uses two different mechanisms. Most endpoints are machine-facing and take a header key; the admin Login uses a session cookie. Know which one you are hitting.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6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433"/>
                <w:sz w:val="20"/>
                <w:szCs w:val="20"/>
              </w:rPr>
              <w:t xml:space="preserve">X-Orchestrator-Key header</w:t>
            </w:r>
            <w:r>
              <w:rPr>
                <w:rFonts w:ascii="Arial" w:cs="Arial" w:eastAsia="Arial" w:hAnsi="Arial"/>
                <w:color w:val="5A6475"/>
                <w:sz w:val="20"/>
                <w:szCs w:val="20"/>
              </w:rPr>
              <w:t xml:space="preserve">  (machine / consumer - most endpoints)</w:t>
            </w:r>
          </w:p>
        </w:tc>
        <w:tc>
          <w:tcPr>
            <w:tcW w:type="dxa" w:w="6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Every request sends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X-Orchestrator-Key: {{orch_key}}</w:t>
            </w: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, validated against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integration_keys</w:t>
            </w: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table. No key or a bad key returns 401. Already wired on every request in the collection.</w:t>
            </w:r>
          </w:p>
        </w:tc>
      </w:tr>
      <w:t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433"/>
                <w:sz w:val="20"/>
                <w:szCs w:val="20"/>
              </w:rPr>
              <w:t xml:space="preserve">auth_token session cookie</w:t>
            </w:r>
            <w:r>
              <w:rPr>
                <w:rFonts w:ascii="Arial" w:cs="Arial" w:eastAsia="Arial" w:hAnsi="Arial"/>
                <w:color w:val="5A6475"/>
                <w:sz w:val="20"/>
                <w:szCs w:val="20"/>
              </w:rPr>
              <w:t xml:space="preserve">  (admin / interactive - Login only)</w:t>
            </w:r>
          </w:p>
        </w:tc>
        <w:tc>
          <w:tcPr>
            <w:tcW w:type="dxa" w:w="6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POST /api/auth/login</w:t>
            </w: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with your email + password. On 200 it sets 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auth_token</w:t>
            </w:r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 cookie that Postman re-sends automatically on later requests.</w:t>
            </w:r>
          </w:p>
        </w:tc>
      </w:tr>
    </w:tbl>
    <w:p>
      <w:pPr>
        <w:pStyle w:val="Heading2"/>
      </w:pPr>
      <w:r>
        <w:t xml:space="preserve">2. One-time setup (per teammate)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433"/>
          <w:sz w:val="20"/>
          <w:szCs w:val="20"/>
        </w:rPr>
        <w:t xml:space="preserve">Open the collection, then the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Variables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tab.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433"/>
          <w:sz w:val="20"/>
          <w:szCs w:val="20"/>
        </w:rPr>
        <w:t xml:space="preserve">Set </w:t>
      </w:r>
      <w:r>
        <w:rPr>
          <w:rFonts w:ascii="Consolas" w:cs="Consolas" w:eastAsia="Consolas" w:hAnsi="Consolas"/>
          <w:b w:val="false"/>
          <w:bCs w:val="false"/>
          <w:color w:val="1B2433"/>
          <w:sz w:val="19"/>
          <w:szCs w:val="19"/>
        </w:rPr>
        <w:t xml:space="preserve">base_url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color w:val="1B2433"/>
          <w:sz w:val="19"/>
          <w:szCs w:val="19"/>
        </w:rPr>
        <w:t xml:space="preserve">http://localhost:8000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if you run the backend locally, or to the shared / deployed host.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433"/>
          <w:sz w:val="20"/>
          <w:szCs w:val="20"/>
        </w:rPr>
        <w:t xml:space="preserve">Set </w:t>
      </w:r>
      <w:r>
        <w:rPr>
          <w:rFonts w:ascii="Consolas" w:cs="Consolas" w:eastAsia="Consolas" w:hAnsi="Consolas"/>
          <w:b w:val="false"/>
          <w:bCs w:val="false"/>
          <w:color w:val="1B2433"/>
          <w:sz w:val="19"/>
          <w:szCs w:val="19"/>
        </w:rPr>
        <w:t xml:space="preserve">orch_key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to your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integration key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. It is blank by default - without it the machine endpoints return 401. Ask the admin (or Sinchana) for a key.</w:t>
      </w:r>
    </w:p>
    <w:p>
      <w:pPr>
        <w:pBdr>
          <w:left w:val="single" w:color="1E4D92" w:sz="18" w:space="8"/>
        </w:pBdr>
        <w:shd w:fill="E7ECF4" w:val="clear"/>
        <w:spacing w:before="100"/>
      </w:pPr>
      <w:r>
        <w:rPr>
          <w:rFonts w:ascii="Arial" w:cs="Arial" w:eastAsia="Arial" w:hAnsi="Arial"/>
          <w:color w:val="163A6E"/>
          <w:sz w:val="20"/>
          <w:szCs w:val="20"/>
        </w:rPr>
        <w:t xml:space="preserve">If base_url points at localhost, the backend must be running: </w:t>
      </w:r>
      <w:r>
        <w:rPr>
          <w:rFonts w:ascii="Consolas" w:cs="Consolas" w:eastAsia="Consolas" w:hAnsi="Consolas"/>
          <w:b w:val="false"/>
          <w:bCs w:val="false"/>
          <w:color w:val="163A6E"/>
          <w:sz w:val="19"/>
          <w:szCs w:val="19"/>
        </w:rPr>
        <w:t xml:space="preserve">docker compose up -d postgres</w:t>
      </w:r>
      <w:r>
        <w:rPr>
          <w:rFonts w:ascii="Arial" w:cs="Arial" w:eastAsia="Arial" w:hAnsi="Arial"/>
          <w:color w:val="163A6E"/>
          <w:sz w:val="20"/>
          <w:szCs w:val="20"/>
        </w:rPr>
        <w:t xml:space="preserve">  then  </w:t>
      </w:r>
      <w:r>
        <w:rPr>
          <w:rFonts w:ascii="Consolas" w:cs="Consolas" w:eastAsia="Consolas" w:hAnsi="Consolas"/>
          <w:b w:val="false"/>
          <w:bCs w:val="false"/>
          <w:color w:val="163A6E"/>
          <w:sz w:val="19"/>
          <w:szCs w:val="19"/>
        </w:rPr>
        <w:t xml:space="preserve">uvicorn main:app --port 8000</w:t>
      </w:r>
      <w:r>
        <w:rPr>
          <w:rFonts w:ascii="Arial" w:cs="Arial" w:eastAsia="Arial" w:hAnsi="Arial"/>
          <w:color w:val="163A6E"/>
          <w:sz w:val="20"/>
          <w:szCs w:val="20"/>
        </w:rPr>
        <w:t xml:space="preserve">. Against a deployed host, skip this.</w:t>
      </w:r>
    </w:p>
    <w:p>
      <w:pPr>
        <w:pStyle w:val="Heading2"/>
      </w:pPr>
      <w:r>
        <w:t xml:space="preserve">3. Run a 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2433"/>
          <w:sz w:val="20"/>
          <w:szCs w:val="20"/>
        </w:rPr>
        <w:t xml:space="preserve">Hit a live endpoint first -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Supplier Directory &gt; List suppliers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. Expect 200 with a JSON list. A 401 means your orch_key is wrong or missing.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2433"/>
          <w:sz w:val="20"/>
          <w:szCs w:val="20"/>
        </w:rPr>
        <w:t xml:space="preserve">(Optional) Run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Login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with email + password to unlock the cookie-based admin routes.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B2433"/>
          <w:sz w:val="20"/>
          <w:szCs w:val="20"/>
        </w:rPr>
        <w:t xml:space="preserve">Use the </w:t>
      </w:r>
      <w:r>
        <w:rPr>
          <w:rFonts w:ascii="Arial" w:cs="Arial" w:eastAsia="Arial" w:hAnsi="Arial"/>
          <w:b/>
          <w:bCs/>
          <w:color w:val="1B2433"/>
          <w:sz w:val="20"/>
          <w:szCs w:val="20"/>
        </w:rPr>
        <w:t xml:space="preserve">Runner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to fire the whole collection. The built-in tests pass live = 200 and planned = 404 (those are not built yet, so 404 is the expected, correct result).</w:t>
      </w:r>
    </w:p>
    <w:p>
      <w:pPr>
        <w:pStyle w:val="Heading2"/>
      </w:pPr>
      <w:r>
        <w:t xml:space="preserve">4. All endpoints (9 total)</w:t>
      </w:r>
    </w:p>
    <w:p>
      <w:pPr>
        <w:pStyle w:val="Heading3"/>
      </w:pPr>
      <w:r>
        <w:rPr>
          <w:color w:val="1F7A4D"/>
        </w:rPr>
        <w:t xml:space="preserve">Working now - 5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A3DA0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Log in with email + password; sets the auth_token cookie for admin routes. (Authentication)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/api/suppliers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List the suppliers Connect is connected to. (Supplier Directory)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/api/products</w:t>
            </w:r>
            <w:r>
              <w:rPr>
                <w:rFonts w:ascii="Consolas" w:cs="Consolas" w:eastAsia="Consolas" w:hAnsi="Consolas"/>
                <w:b w:val="false"/>
                <w:bCs w:val="false"/>
                <w:color w:val="5A6475"/>
                <w:sz w:val="19"/>
                <w:szCs w:val="19"/>
              </w:rPr>
              <w:t xml:space="preserve">?supplier_slug=sanmar&amp;page=1&amp;page_size=50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Paged product list in canonical, platform-neutral shape. (Catalog)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/api/products/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4D92"/>
                <w:sz w:val="19"/>
                <w:szCs w:val="19"/>
              </w:rPr>
              <w:t xml:space="preserve">{product_id}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One product in full canonical shape: options, variants, cost, images. (Catalog)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A3DA0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/api/manage-push/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4D92"/>
                <w:sz w:val="19"/>
                <w:szCs w:val="19"/>
              </w:rPr>
              <w:t xml:space="preserve">{supplier_id}</w:t>
            </w:r>
            <w:r>
              <w:rPr>
                <w:rFonts w:ascii="Consolas" w:cs="Consolas" w:eastAsia="Consolas" w:hAnsi="Consolas"/>
                <w:b w:val="false"/>
                <w:bCs w:val="false"/>
                <w:color w:val="5A6475"/>
                <w:sz w:val="19"/>
                <w:szCs w:val="19"/>
              </w:rPr>
              <w:t xml:space="preserve">?sku=K420&amp;limit=50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Push a supplier's products into GraphX Manage (cost-only, overlay-safe, idempotent). (Target Adapters)</w:t>
            </w:r>
          </w:p>
        </w:tc>
      </w:tr>
    </w:tbl>
    <w:p>
      <w:pPr>
        <w:pStyle w:val="Heading3"/>
        <w:spacing w:before="220"/>
      </w:pPr>
      <w:r>
        <w:rPr>
          <w:color w:val="9A6A18"/>
        </w:rPr>
        <w:t xml:space="preserve">Planned - 4 endpoints (agreed contract; return 404 until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/api/inventory/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4D92"/>
                <w:sz w:val="19"/>
                <w:szCs w:val="19"/>
              </w:rPr>
              <w:t xml:space="preserve">{supplier_slug}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4D92"/>
                <w:sz w:val="19"/>
                <w:szCs w:val="19"/>
              </w:rPr>
              <w:t xml:space="preserve">{sku}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Per-variant quantity_available + discontinued flags. (Inventory)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A3DA0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/api/pricing/quote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Real-time wholesale net cost for a SKU + quantity. Cost only, no markup. (Live Pricing Quote)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A3DA0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/api/fulfillment/submit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Submit a confirmed order to the supplier. Idempotent on order_id; optional callback_url. (Fulfillment)</w:t>
            </w:r>
          </w:p>
        </w:tc>
      </w:tr>
      <w:tr>
        <w:tc>
          <w:tcPr>
            <w:tcW w:type="dxa" w:w="9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B2433"/>
                <w:sz w:val="19"/>
                <w:szCs w:val="19"/>
              </w:rPr>
              <w:t xml:space="preserve">/api/fulfillment/status/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4D92"/>
                <w:sz w:val="19"/>
                <w:szCs w:val="19"/>
              </w:rPr>
              <w:t xml:space="preserve">{supplier_order_id}</w:t>
            </w:r>
          </w:p>
        </w:tc>
        <w:tc>
          <w:tcPr>
            <w:tcW w:type="dxa" w:w="47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Poll order status: SENT -&gt; ACCEPTED -&gt; IN_PRODUCTION -&gt; SHIPPED. (Fulfillment)</w:t>
            </w:r>
          </w:p>
        </w:tc>
      </w:tr>
    </w:tbl>
    <w:p>
      <w:pPr>
        <w:pStyle w:val="Heading2"/>
      </w:pPr>
      <w:r>
        <w:t xml:space="preserve">5. Response codes</w:t>
      </w:r>
    </w:p>
    <w:p>
      <w:r>
        <w:rPr>
          <w:rFonts w:ascii="Arial" w:cs="Arial" w:eastAsia="Arial" w:hAnsi="Arial"/>
          <w:color w:val="1B2433"/>
          <w:sz w:val="20"/>
          <w:szCs w:val="20"/>
        </w:rPr>
        <w:t xml:space="preserve">Non-2xx responses share one envelope: </w:t>
      </w:r>
      <w:r>
        <w:rPr>
          <w:rFonts w:ascii="Consolas" w:cs="Consolas" w:eastAsia="Consolas" w:hAnsi="Consolas"/>
          <w:b w:val="false"/>
          <w:bCs w:val="false"/>
          <w:color w:val="1B2433"/>
          <w:sz w:val="19"/>
          <w:szCs w:val="19"/>
        </w:rPr>
        <w:t xml:space="preserve">{ "error", "detail", "request_id" }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. List endpoints page with </w:t>
      </w:r>
      <w:r>
        <w:rPr>
          <w:rFonts w:ascii="Consolas" w:cs="Consolas" w:eastAsia="Consolas" w:hAnsi="Consolas"/>
          <w:b w:val="false"/>
          <w:bCs w:val="false"/>
          <w:color w:val="1B2433"/>
          <w:sz w:val="19"/>
          <w:szCs w:val="19"/>
        </w:rPr>
        <w:t xml:space="preserve">page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1B2433"/>
          <w:sz w:val="19"/>
          <w:szCs w:val="19"/>
        </w:rPr>
        <w:t xml:space="preserve">page_size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 and return </w:t>
      </w:r>
      <w:r>
        <w:rPr>
          <w:rFonts w:ascii="Consolas" w:cs="Consolas" w:eastAsia="Consolas" w:hAnsi="Consolas"/>
          <w:b w:val="false"/>
          <w:bCs w:val="false"/>
          <w:color w:val="1B2433"/>
          <w:sz w:val="19"/>
          <w:szCs w:val="19"/>
        </w:rPr>
        <w:t xml:space="preserve">{ rows, total, page, page_size }</w:t>
      </w:r>
      <w:r>
        <w:rPr>
          <w:rFonts w:ascii="Arial" w:cs="Arial" w:eastAsia="Arial" w:hAnsi="Arial"/>
          <w:color w:val="1B2433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6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E4D9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9"/>
                <w:szCs w:val="19"/>
              </w:rPr>
              <w:t xml:space="preserve">401</w:t>
            </w:r>
          </w:p>
        </w:tc>
        <w:tc>
          <w:tcPr>
            <w:tcW w:type="dxa" w:w="76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Missing / invalid X-Orchestrator-Key</w:t>
            </w:r>
          </w:p>
        </w:tc>
      </w:tr>
      <w:t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9"/>
                <w:szCs w:val="19"/>
              </w:rPr>
              <w:t xml:space="preserve">403</w:t>
            </w:r>
          </w:p>
        </w:tc>
        <w:tc>
          <w:tcPr>
            <w:tcW w:type="dxa" w:w="76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Key lacks the required scope</w:t>
            </w:r>
          </w:p>
        </w:tc>
      </w:tr>
      <w:t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9"/>
                <w:szCs w:val="19"/>
              </w:rPr>
              <w:t xml:space="preserve">404</w:t>
            </w:r>
          </w:p>
        </w:tc>
        <w:tc>
          <w:tcPr>
            <w:tcW w:type="dxa" w:w="76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Unknown resource (or a planned endpoint not built yet)</w:t>
            </w:r>
          </w:p>
        </w:tc>
      </w:tr>
      <w:t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9"/>
                <w:szCs w:val="19"/>
              </w:rPr>
              <w:t xml:space="preserve">422</w:t>
            </w:r>
          </w:p>
        </w:tc>
        <w:tc>
          <w:tcPr>
            <w:tcW w:type="dxa" w:w="76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Payload failed validation</w:t>
            </w:r>
          </w:p>
        </w:tc>
      </w:tr>
      <w:t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9"/>
                <w:szCs w:val="19"/>
              </w:rPr>
              <w:t xml:space="preserve">429</w:t>
            </w:r>
          </w:p>
        </w:tc>
        <w:tc>
          <w:tcPr>
            <w:tcW w:type="dxa" w:w="76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Rate-limited - see the Retry-After header</w:t>
            </w:r>
          </w:p>
        </w:tc>
      </w:tr>
      <w:tr>
        <w:tc>
          <w:tcPr>
            <w:tcW w:type="dxa" w:w="1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63A6E"/>
                <w:sz w:val="19"/>
                <w:szCs w:val="19"/>
              </w:rPr>
              <w:t xml:space="preserve">502 / 504</w:t>
            </w:r>
          </w:p>
        </w:tc>
        <w:tc>
          <w:tcPr>
            <w:tcW w:type="dxa" w:w="76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2433"/>
                <w:sz w:val="20"/>
                <w:szCs w:val="20"/>
              </w:rPr>
              <w:t xml:space="preserve">Supplier upstream API error / timeout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5A6475"/>
          <w:sz w:val="20"/>
          <w:szCs w:val="20"/>
        </w:rPr>
        <w:t xml:space="preserve">Rate limiting is per integration key; on exceed the API returns 429 with a Retry-After header.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A6475"/>
        <w:sz w:val="15"/>
        <w:szCs w:val="15"/>
      </w:rPr>
      <w:t xml:space="preserve">Agnostic integration hub  -  Manage is just the first consumer</w:t>
    </w:r>
    <w:r>
      <w:rPr>
        <w:rFonts w:ascii="Arial" w:cs="Arial" w:eastAsia="Arial" w:hAnsi="Arial"/>
        <w:color w:val="5A6475"/>
        <w:sz w:val="15"/>
        <w:szCs w:val="15"/>
      </w:rPr>
      <w:t xml:space="preserve">	Page </w:t>
    </w:r>
    <w:r>
      <w:rPr>
        <w:color w:val="5A64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4" w:space="6"/>
      </w:pBdr>
      <w:tabs>
        <w:tab w:val="right" w:pos="9360"/>
      </w:tabs>
    </w:pPr>
    <w:r>
      <w:rPr>
        <w:rFonts w:ascii="Consolas" w:cs="Consolas" w:eastAsia="Consolas" w:hAnsi="Consolas"/>
        <w:b/>
        <w:bCs/>
        <w:color w:val="1E4D92"/>
        <w:sz w:val="16"/>
        <w:szCs w:val="16"/>
      </w:rPr>
      <w:t xml:space="preserve">GraphX Connect API</w:t>
    </w:r>
    <w:r>
      <w:rPr>
        <w:rFonts w:ascii="Consolas" w:cs="Consolas" w:eastAsia="Consolas" w:hAnsi="Consolas"/>
        <w:color w:val="5A6475"/>
        <w:sz w:val="16"/>
        <w:szCs w:val="16"/>
      </w:rPr>
      <w:t xml:space="preserve">	Team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63A6E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1E4D92" w:sz="6" w:space="4"/>
      </w:pBdr>
      <w:spacing w:after="120" w:before="300"/>
      <w:outlineLvl w:val="1"/>
    </w:pPr>
    <w:rPr>
      <w:rFonts w:ascii="Arial" w:cs="Arial" w:eastAsia="Arial" w:hAnsi="Arial"/>
      <w:b/>
      <w:bCs/>
      <w:color w:val="1B24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3A6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2026-06-29T07:13:16.677Z</dcterms:created>
  <dcterms:modified xsi:type="dcterms:W3CDTF">2026-06-29T07:13:16.678Z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