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65ADCB59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727CF2">
        <w:rPr>
          <w:b/>
          <w:bCs/>
          <w:sz w:val="28"/>
          <w:szCs w:val="28"/>
        </w:rPr>
        <w:t>7</w:t>
      </w:r>
    </w:p>
    <w:p w14:paraId="64B7541B" w14:textId="2DA4B68A" w:rsidR="00FA48E6" w:rsidRDefault="00560E8B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27</w:t>
      </w:r>
      <w:r w:rsidR="00F50939">
        <w:rPr>
          <w:sz w:val="28"/>
          <w:szCs w:val="28"/>
        </w:rPr>
        <w:t xml:space="preserve"> March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7386965B" w14:textId="52386671" w:rsidR="005C0C04" w:rsidRPr="005C5346" w:rsidRDefault="005C0C04" w:rsidP="005C5346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Size distributions of PCE (per capita total consumer expenditure on all items per 30 days) are shown below for rural India.</w:t>
      </w:r>
      <w:r w:rsidR="005C5346">
        <w:rPr>
          <w:sz w:val="24"/>
        </w:rPr>
        <w:t xml:space="preserve"> </w:t>
      </w:r>
      <w:r w:rsidRPr="005C5346">
        <w:rPr>
          <w:sz w:val="24"/>
        </w:rPr>
        <w:t>Apply the graphical test of lognormality to examine whether the underlying true distributions of PCE are approximately two-parameter lognormal.</w:t>
      </w:r>
    </w:p>
    <w:p w14:paraId="4D6F7BF5" w14:textId="77777777" w:rsidR="005C0C04" w:rsidRDefault="005C0C04" w:rsidP="005C0C04">
      <w:pPr>
        <w:ind w:left="180"/>
        <w:jc w:val="both"/>
        <w:rPr>
          <w:sz w:val="24"/>
        </w:rPr>
      </w:pPr>
    </w:p>
    <w:p w14:paraId="74C1DD68" w14:textId="77777777" w:rsidR="002C1CD3" w:rsidRDefault="005C0C04" w:rsidP="00BA4E52">
      <w:pPr>
        <w:pStyle w:val="Heading1"/>
        <w:rPr>
          <w:b/>
        </w:rPr>
      </w:pPr>
      <w:r>
        <w:rPr>
          <w:b/>
        </w:rPr>
        <w:t xml:space="preserve">Table 1: Per </w:t>
      </w:r>
      <w:r w:rsidR="002810CE">
        <w:rPr>
          <w:b/>
        </w:rPr>
        <w:t>T</w:t>
      </w:r>
      <w:r>
        <w:rPr>
          <w:b/>
        </w:rPr>
        <w:t xml:space="preserve">housand </w:t>
      </w:r>
      <w:r w:rsidR="002810CE">
        <w:rPr>
          <w:b/>
        </w:rPr>
        <w:t>D</w:t>
      </w:r>
      <w:r>
        <w:rPr>
          <w:b/>
        </w:rPr>
        <w:t xml:space="preserve">istributions of </w:t>
      </w:r>
      <w:r w:rsidR="002810CE">
        <w:rPr>
          <w:b/>
        </w:rPr>
        <w:t>P</w:t>
      </w:r>
      <w:r w:rsidR="00747EDF">
        <w:rPr>
          <w:b/>
        </w:rPr>
        <w:t>e</w:t>
      </w:r>
      <w:r w:rsidR="002810CE">
        <w:rPr>
          <w:b/>
        </w:rPr>
        <w:t>rsons</w:t>
      </w:r>
      <w:r>
        <w:rPr>
          <w:b/>
        </w:rPr>
        <w:t xml:space="preserve"> </w:t>
      </w:r>
      <w:r w:rsidR="002C1CD3">
        <w:rPr>
          <w:b/>
        </w:rPr>
        <w:t>O</w:t>
      </w:r>
      <w:r>
        <w:rPr>
          <w:b/>
        </w:rPr>
        <w:t xml:space="preserve">ver </w:t>
      </w:r>
      <w:r w:rsidR="002C1CD3">
        <w:rPr>
          <w:b/>
        </w:rPr>
        <w:t>C</w:t>
      </w:r>
      <w:r>
        <w:rPr>
          <w:b/>
        </w:rPr>
        <w:t>lasses of PCE:</w:t>
      </w:r>
      <w:r w:rsidR="00BA4E52">
        <w:rPr>
          <w:b/>
        </w:rPr>
        <w:t xml:space="preserve"> </w:t>
      </w:r>
    </w:p>
    <w:p w14:paraId="39B3B2CF" w14:textId="692CBFAA" w:rsidR="005C0C04" w:rsidRPr="00DB6585" w:rsidRDefault="005C0C04" w:rsidP="00BA4E52">
      <w:pPr>
        <w:pStyle w:val="Heading1"/>
        <w:rPr>
          <w:b/>
        </w:rPr>
      </w:pPr>
      <w:r>
        <w:rPr>
          <w:b/>
        </w:rPr>
        <w:t>All India rural</w:t>
      </w:r>
    </w:p>
    <w:p w14:paraId="3DDF8E22" w14:textId="77777777" w:rsidR="005C0C04" w:rsidRDefault="005C0C04" w:rsidP="005C0C04">
      <w:pPr>
        <w:ind w:left="1080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3827"/>
      </w:tblGrid>
      <w:tr w:rsidR="009D20CC" w14:paraId="27344356" w14:textId="77777777" w:rsidTr="00BA4E52">
        <w:trPr>
          <w:jc w:val="center"/>
        </w:trPr>
        <w:tc>
          <w:tcPr>
            <w:tcW w:w="3310" w:type="dxa"/>
          </w:tcPr>
          <w:p w14:paraId="17EE6C6D" w14:textId="0BC65A29" w:rsidR="009D20CC" w:rsidRPr="00A41CD0" w:rsidRDefault="0084528C" w:rsidP="00A41CD0">
            <w:pPr>
              <w:jc w:val="center"/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>PCE (Rs.)</w:t>
            </w:r>
          </w:p>
        </w:tc>
        <w:tc>
          <w:tcPr>
            <w:tcW w:w="3827" w:type="dxa"/>
          </w:tcPr>
          <w:p w14:paraId="30C24094" w14:textId="4EEC88C2" w:rsidR="009D20CC" w:rsidRPr="00A41CD0" w:rsidRDefault="0084528C" w:rsidP="005C0C04">
            <w:pPr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 xml:space="preserve">Number of </w:t>
            </w:r>
            <w:r w:rsidR="00A41CD0" w:rsidRPr="00A41CD0">
              <w:rPr>
                <w:b/>
                <w:bCs/>
                <w:sz w:val="24"/>
              </w:rPr>
              <w:t>people</w:t>
            </w:r>
            <w:r w:rsidRPr="00A41CD0">
              <w:rPr>
                <w:b/>
                <w:bCs/>
                <w:sz w:val="24"/>
              </w:rPr>
              <w:t xml:space="preserve"> (per thousand)</w:t>
            </w:r>
          </w:p>
        </w:tc>
      </w:tr>
      <w:tr w:rsidR="009D20CC" w14:paraId="4A09ED65" w14:textId="77777777" w:rsidTr="00BA4E52">
        <w:trPr>
          <w:jc w:val="center"/>
        </w:trPr>
        <w:tc>
          <w:tcPr>
            <w:tcW w:w="3310" w:type="dxa"/>
          </w:tcPr>
          <w:p w14:paraId="79E22D34" w14:textId="2CCFAE0D" w:rsidR="009D20CC" w:rsidRDefault="0027697F" w:rsidP="00E966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 w:rsidR="00105801">
              <w:rPr>
                <w:sz w:val="24"/>
              </w:rPr>
              <w:t xml:space="preserve">0 – </w:t>
            </w:r>
            <w:r>
              <w:rPr>
                <w:sz w:val="24"/>
              </w:rPr>
              <w:t>0</w:t>
            </w:r>
            <w:r w:rsidR="00E231AC">
              <w:rPr>
                <w:sz w:val="24"/>
              </w:rPr>
              <w:t>65</w:t>
            </w:r>
          </w:p>
        </w:tc>
        <w:tc>
          <w:tcPr>
            <w:tcW w:w="3827" w:type="dxa"/>
          </w:tcPr>
          <w:p w14:paraId="74ED2DFB" w14:textId="40C1245E" w:rsidR="009D20CC" w:rsidRDefault="00A41CD0" w:rsidP="00E231A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19</w:t>
            </w:r>
          </w:p>
        </w:tc>
      </w:tr>
      <w:tr w:rsidR="007F2741" w14:paraId="2AF6353E" w14:textId="77777777" w:rsidTr="00BA4E52">
        <w:trPr>
          <w:jc w:val="center"/>
        </w:trPr>
        <w:tc>
          <w:tcPr>
            <w:tcW w:w="3310" w:type="dxa"/>
          </w:tcPr>
          <w:p w14:paraId="79E5153A" w14:textId="7EB1D9E0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065 – 080</w:t>
            </w:r>
          </w:p>
        </w:tc>
        <w:tc>
          <w:tcPr>
            <w:tcW w:w="3827" w:type="dxa"/>
          </w:tcPr>
          <w:p w14:paraId="646C5498" w14:textId="3BE5F2A8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31</w:t>
            </w:r>
          </w:p>
        </w:tc>
      </w:tr>
      <w:tr w:rsidR="007F2741" w14:paraId="01B058B2" w14:textId="77777777" w:rsidTr="00BA4E52">
        <w:trPr>
          <w:jc w:val="center"/>
        </w:trPr>
        <w:tc>
          <w:tcPr>
            <w:tcW w:w="3310" w:type="dxa"/>
          </w:tcPr>
          <w:p w14:paraId="42656630" w14:textId="11131D0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080 – 095</w:t>
            </w:r>
          </w:p>
        </w:tc>
        <w:tc>
          <w:tcPr>
            <w:tcW w:w="3827" w:type="dxa"/>
          </w:tcPr>
          <w:p w14:paraId="470E1109" w14:textId="73F5454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46</w:t>
            </w:r>
          </w:p>
        </w:tc>
      </w:tr>
      <w:tr w:rsidR="007F2741" w14:paraId="6A460F13" w14:textId="77777777" w:rsidTr="00BA4E52">
        <w:trPr>
          <w:jc w:val="center"/>
        </w:trPr>
        <w:tc>
          <w:tcPr>
            <w:tcW w:w="3310" w:type="dxa"/>
          </w:tcPr>
          <w:p w14:paraId="654750A5" w14:textId="3654F57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095 – 110</w:t>
            </w:r>
          </w:p>
        </w:tc>
        <w:tc>
          <w:tcPr>
            <w:tcW w:w="3827" w:type="dxa"/>
          </w:tcPr>
          <w:p w14:paraId="7BEDBBAE" w14:textId="698BA18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89</w:t>
            </w:r>
          </w:p>
        </w:tc>
      </w:tr>
      <w:tr w:rsidR="007F2741" w14:paraId="5FF9AEB7" w14:textId="77777777" w:rsidTr="00BA4E52">
        <w:trPr>
          <w:jc w:val="center"/>
        </w:trPr>
        <w:tc>
          <w:tcPr>
            <w:tcW w:w="3310" w:type="dxa"/>
          </w:tcPr>
          <w:p w14:paraId="776A2244" w14:textId="651F618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 – 125</w:t>
            </w:r>
          </w:p>
        </w:tc>
        <w:tc>
          <w:tcPr>
            <w:tcW w:w="3827" w:type="dxa"/>
          </w:tcPr>
          <w:p w14:paraId="3DB1904D" w14:textId="51A3791F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94</w:t>
            </w:r>
          </w:p>
        </w:tc>
      </w:tr>
      <w:tr w:rsidR="007F2741" w14:paraId="2BB5E7FD" w14:textId="77777777" w:rsidTr="00BA4E52">
        <w:trPr>
          <w:jc w:val="center"/>
        </w:trPr>
        <w:tc>
          <w:tcPr>
            <w:tcW w:w="3310" w:type="dxa"/>
          </w:tcPr>
          <w:p w14:paraId="59751ED3" w14:textId="494FC22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 – 140</w:t>
            </w:r>
          </w:p>
        </w:tc>
        <w:tc>
          <w:tcPr>
            <w:tcW w:w="3827" w:type="dxa"/>
          </w:tcPr>
          <w:p w14:paraId="7D2C689A" w14:textId="063B415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7F2741" w14:paraId="231188D6" w14:textId="77777777" w:rsidTr="00BA4E52">
        <w:trPr>
          <w:jc w:val="center"/>
        </w:trPr>
        <w:tc>
          <w:tcPr>
            <w:tcW w:w="3310" w:type="dxa"/>
          </w:tcPr>
          <w:p w14:paraId="4EDCB5C3" w14:textId="44FBD20F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140 </w:t>
            </w:r>
            <w:r w:rsidR="00C46F0A">
              <w:rPr>
                <w:sz w:val="24"/>
              </w:rPr>
              <w:t>–</w:t>
            </w:r>
            <w:r>
              <w:rPr>
                <w:sz w:val="24"/>
              </w:rPr>
              <w:t xml:space="preserve"> 160</w:t>
            </w:r>
          </w:p>
        </w:tc>
        <w:tc>
          <w:tcPr>
            <w:tcW w:w="3827" w:type="dxa"/>
          </w:tcPr>
          <w:p w14:paraId="0435E7FD" w14:textId="6CF7828A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7F2741" w14:paraId="086A2CC4" w14:textId="77777777" w:rsidTr="00BA4E52">
        <w:trPr>
          <w:jc w:val="center"/>
        </w:trPr>
        <w:tc>
          <w:tcPr>
            <w:tcW w:w="3310" w:type="dxa"/>
          </w:tcPr>
          <w:p w14:paraId="0FBA42E4" w14:textId="46AC599D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 – 180</w:t>
            </w:r>
          </w:p>
        </w:tc>
        <w:tc>
          <w:tcPr>
            <w:tcW w:w="3827" w:type="dxa"/>
          </w:tcPr>
          <w:p w14:paraId="77A4CD70" w14:textId="197940AE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265BF">
              <w:rPr>
                <w:sz w:val="24"/>
              </w:rPr>
              <w:t>96</w:t>
            </w:r>
          </w:p>
        </w:tc>
      </w:tr>
      <w:tr w:rsidR="007F2741" w14:paraId="4C0B3F7C" w14:textId="77777777" w:rsidTr="00BA4E52">
        <w:trPr>
          <w:jc w:val="center"/>
        </w:trPr>
        <w:tc>
          <w:tcPr>
            <w:tcW w:w="3310" w:type="dxa"/>
          </w:tcPr>
          <w:p w14:paraId="2967FD3F" w14:textId="36C131B1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 – 215</w:t>
            </w:r>
          </w:p>
        </w:tc>
        <w:tc>
          <w:tcPr>
            <w:tcW w:w="3827" w:type="dxa"/>
          </w:tcPr>
          <w:p w14:paraId="156B2F88" w14:textId="56126FED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F2741" w14:paraId="07FD59DF" w14:textId="77777777" w:rsidTr="00BA4E52">
        <w:trPr>
          <w:jc w:val="center"/>
        </w:trPr>
        <w:tc>
          <w:tcPr>
            <w:tcW w:w="3310" w:type="dxa"/>
          </w:tcPr>
          <w:p w14:paraId="3A647833" w14:textId="5DF75483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215 – 280</w:t>
            </w:r>
          </w:p>
        </w:tc>
        <w:tc>
          <w:tcPr>
            <w:tcW w:w="3827" w:type="dxa"/>
          </w:tcPr>
          <w:p w14:paraId="3B640AC1" w14:textId="35DD4E7B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7F2741" w14:paraId="0CC85A3F" w14:textId="77777777" w:rsidTr="00BA4E52">
        <w:trPr>
          <w:jc w:val="center"/>
        </w:trPr>
        <w:tc>
          <w:tcPr>
            <w:tcW w:w="3310" w:type="dxa"/>
          </w:tcPr>
          <w:p w14:paraId="65538321" w14:textId="7668AB46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280 – 385</w:t>
            </w:r>
          </w:p>
        </w:tc>
        <w:tc>
          <w:tcPr>
            <w:tcW w:w="3827" w:type="dxa"/>
          </w:tcPr>
          <w:p w14:paraId="4FDA825F" w14:textId="01925765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68C5">
              <w:rPr>
                <w:sz w:val="24"/>
              </w:rPr>
              <w:t>94</w:t>
            </w:r>
          </w:p>
        </w:tc>
      </w:tr>
      <w:tr w:rsidR="003265BF" w14:paraId="4DDB5827" w14:textId="77777777" w:rsidTr="00BA4E52">
        <w:trPr>
          <w:jc w:val="center"/>
        </w:trPr>
        <w:tc>
          <w:tcPr>
            <w:tcW w:w="3310" w:type="dxa"/>
          </w:tcPr>
          <w:p w14:paraId="0EA5C0C2" w14:textId="4AF16353" w:rsidR="003265BF" w:rsidRDefault="005568C5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385 </w:t>
            </w:r>
            <w:r w:rsidR="00A5204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A52040">
              <w:rPr>
                <w:sz w:val="24"/>
              </w:rPr>
              <w:t xml:space="preserve">     </w:t>
            </w:r>
            <w:r w:rsidR="00A52040" w:rsidRPr="00A52040">
              <w:rPr>
                <w:color w:val="FFFFFF" w:themeColor="background1"/>
                <w:sz w:val="24"/>
              </w:rPr>
              <w:t>.</w:t>
            </w:r>
          </w:p>
        </w:tc>
        <w:tc>
          <w:tcPr>
            <w:tcW w:w="3827" w:type="dxa"/>
          </w:tcPr>
          <w:p w14:paraId="07E095B1" w14:textId="42AB4C19" w:rsidR="003265BF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46</w:t>
            </w:r>
          </w:p>
        </w:tc>
      </w:tr>
    </w:tbl>
    <w:p w14:paraId="52707FD4" w14:textId="77777777" w:rsidR="009D20CC" w:rsidRDefault="009D20CC" w:rsidP="005C0C04">
      <w:pPr>
        <w:ind w:left="1080"/>
        <w:rPr>
          <w:sz w:val="24"/>
        </w:rPr>
      </w:pPr>
    </w:p>
    <w:p w14:paraId="2DB7F5EA" w14:textId="24F9617C" w:rsidR="005C0C04" w:rsidRPr="00A41CD0" w:rsidRDefault="005C0C04" w:rsidP="00A41CD0">
      <w:pPr>
        <w:ind w:left="1080"/>
        <w:rPr>
          <w:sz w:val="24"/>
        </w:rPr>
      </w:pPr>
      <w:r>
        <w:rPr>
          <w:sz w:val="24"/>
        </w:rPr>
        <w:t xml:space="preserve">      </w:t>
      </w:r>
    </w:p>
    <w:p w14:paraId="16DD0292" w14:textId="1A0F86AB" w:rsidR="00626915" w:rsidRDefault="000747DE" w:rsidP="0090355A">
      <w:pPr>
        <w:spacing w:after="120"/>
        <w:jc w:val="both"/>
        <w:rPr>
          <w:sz w:val="24"/>
          <w:szCs w:val="24"/>
        </w:rPr>
      </w:pPr>
      <w:r w:rsidRPr="008259F8">
        <w:rPr>
          <w:sz w:val="24"/>
          <w:szCs w:val="24"/>
        </w:rPr>
        <w:t>Answer</w:t>
      </w:r>
      <w:r w:rsidR="008259F8" w:rsidRPr="008259F8">
        <w:rPr>
          <w:sz w:val="24"/>
          <w:szCs w:val="24"/>
        </w:rPr>
        <w:t>:</w:t>
      </w:r>
    </w:p>
    <w:p w14:paraId="41B6943E" w14:textId="77777777" w:rsidR="00710E6E" w:rsidRPr="00710E6E" w:rsidRDefault="00710E6E" w:rsidP="00710E6E">
      <w:pPr>
        <w:pStyle w:val="ListParagraph"/>
        <w:numPr>
          <w:ilvl w:val="0"/>
          <w:numId w:val="3"/>
        </w:numPr>
        <w:spacing w:after="120"/>
        <w:rPr>
          <w:sz w:val="24"/>
          <w:szCs w:val="24"/>
          <w:lang w:val="en-US"/>
        </w:rPr>
      </w:pPr>
      <w:r w:rsidRPr="00710E6E">
        <w:rPr>
          <w:sz w:val="24"/>
          <w:szCs w:val="24"/>
        </w:rPr>
        <w:t xml:space="preserve">Graphical Test for Lognormality is based on </w:t>
      </w:r>
    </w:p>
    <w:p w14:paraId="3142D32B" w14:textId="60360CB8" w:rsidR="008259F8" w:rsidRPr="00710E6E" w:rsidRDefault="00710E6E" w:rsidP="00710E6E">
      <w:pPr>
        <w:pStyle w:val="ListParagraph"/>
        <w:spacing w:after="120"/>
        <w:jc w:val="both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=μ+σ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 or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tbl>
      <w:tblPr>
        <w:tblStyle w:val="TableGrid"/>
        <w:tblW w:w="9855" w:type="dxa"/>
        <w:jc w:val="center"/>
        <w:tblLook w:val="04A0" w:firstRow="1" w:lastRow="0" w:firstColumn="1" w:lastColumn="0" w:noHBand="0" w:noVBand="1"/>
      </w:tblPr>
      <w:tblGrid>
        <w:gridCol w:w="1676"/>
        <w:gridCol w:w="1974"/>
        <w:gridCol w:w="2582"/>
        <w:gridCol w:w="1985"/>
        <w:gridCol w:w="1638"/>
      </w:tblGrid>
      <w:tr w:rsidR="007E3DD5" w:rsidRPr="00CC5EE1" w14:paraId="7C60589D" w14:textId="77777777" w:rsidTr="007E3DD5">
        <w:trPr>
          <w:jc w:val="center"/>
        </w:trPr>
        <w:tc>
          <w:tcPr>
            <w:tcW w:w="1676" w:type="dxa"/>
            <w:hideMark/>
          </w:tcPr>
          <w:p w14:paraId="1F4D8671" w14:textId="77777777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Income Class</w:t>
            </w:r>
          </w:p>
          <w:p w14:paraId="7C2B7038" w14:textId="3ABC5797" w:rsidR="00794786" w:rsidRPr="00794786" w:rsidRDefault="00560E8B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74" w:type="dxa"/>
            <w:hideMark/>
          </w:tcPr>
          <w:p w14:paraId="297D0603" w14:textId="77777777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Relative Frequency</w:t>
            </w:r>
          </w:p>
          <w:p w14:paraId="3C5C69B2" w14:textId="1AC20774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82" w:type="dxa"/>
            <w:hideMark/>
          </w:tcPr>
          <w:p w14:paraId="404FABE1" w14:textId="77777777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Cum. Rel. frequency</w:t>
            </w:r>
          </w:p>
          <w:p w14:paraId="4B81A4E3" w14:textId="6F8B7F4F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  <w:hideMark/>
          </w:tcPr>
          <w:p w14:paraId="479F839D" w14:textId="77777777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 Upper boundary</w:t>
            </w:r>
          </w:p>
          <w:p w14:paraId="4D88EE22" w14:textId="6C30E853" w:rsidR="00794786" w:rsidRPr="00794786" w:rsidRDefault="00560E8B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638" w:type="dxa"/>
            <w:hideMark/>
          </w:tcPr>
          <w:p w14:paraId="19246EDD" w14:textId="77777777" w:rsidR="00794786" w:rsidRPr="00794786" w:rsidRDefault="00794786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47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Normit</w:t>
            </w:r>
          </w:p>
          <w:p w14:paraId="25BDC5F7" w14:textId="4D80D5EC" w:rsidR="00794786" w:rsidRPr="00794786" w:rsidRDefault="00560E8B" w:rsidP="00BE3A54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Group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</w:tr>
      <w:tr w:rsidR="00CC5EE1" w:rsidRPr="00CC5EE1" w14:paraId="1CCF5E9E" w14:textId="77777777" w:rsidTr="009372AF">
        <w:trPr>
          <w:jc w:val="center"/>
        </w:trPr>
        <w:tc>
          <w:tcPr>
            <w:tcW w:w="1676" w:type="dxa"/>
            <w:hideMark/>
          </w:tcPr>
          <w:p w14:paraId="17346E9B" w14:textId="056156F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000 – 065</w:t>
            </w:r>
          </w:p>
        </w:tc>
        <w:tc>
          <w:tcPr>
            <w:tcW w:w="1974" w:type="dxa"/>
            <w:vAlign w:val="center"/>
            <w:hideMark/>
          </w:tcPr>
          <w:p w14:paraId="5183F59E" w14:textId="2840614E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2582" w:type="dxa"/>
            <w:vAlign w:val="bottom"/>
            <w:hideMark/>
          </w:tcPr>
          <w:p w14:paraId="4E7288E9" w14:textId="14F96E5C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985" w:type="dxa"/>
            <w:vAlign w:val="bottom"/>
            <w:hideMark/>
          </w:tcPr>
          <w:p w14:paraId="1AFB3CAC" w14:textId="54A9401E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4.1744</w:t>
            </w:r>
          </w:p>
        </w:tc>
        <w:tc>
          <w:tcPr>
            <w:tcW w:w="1638" w:type="dxa"/>
            <w:vAlign w:val="center"/>
            <w:hideMark/>
          </w:tcPr>
          <w:p w14:paraId="335346C9" w14:textId="63E71955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-2.075</w:t>
            </w:r>
          </w:p>
        </w:tc>
      </w:tr>
      <w:tr w:rsidR="00CC5EE1" w:rsidRPr="00CC5EE1" w14:paraId="5D0842BD" w14:textId="77777777" w:rsidTr="009372AF">
        <w:trPr>
          <w:jc w:val="center"/>
        </w:trPr>
        <w:tc>
          <w:tcPr>
            <w:tcW w:w="1676" w:type="dxa"/>
            <w:hideMark/>
          </w:tcPr>
          <w:p w14:paraId="5A6DA5D1" w14:textId="1AF9DDCB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065 – 080</w:t>
            </w:r>
          </w:p>
        </w:tc>
        <w:tc>
          <w:tcPr>
            <w:tcW w:w="1974" w:type="dxa"/>
            <w:vAlign w:val="center"/>
            <w:hideMark/>
          </w:tcPr>
          <w:p w14:paraId="3B7F3BA3" w14:textId="25EC789D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2582" w:type="dxa"/>
            <w:vAlign w:val="bottom"/>
            <w:hideMark/>
          </w:tcPr>
          <w:p w14:paraId="1B1FA798" w14:textId="3C5C6051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1985" w:type="dxa"/>
            <w:vAlign w:val="bottom"/>
            <w:hideMark/>
          </w:tcPr>
          <w:p w14:paraId="286D41B8" w14:textId="313BF5BD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4.3820</w:t>
            </w:r>
          </w:p>
        </w:tc>
        <w:tc>
          <w:tcPr>
            <w:tcW w:w="1638" w:type="dxa"/>
            <w:vAlign w:val="center"/>
            <w:hideMark/>
          </w:tcPr>
          <w:p w14:paraId="027EFEF9" w14:textId="79DDE71E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-1.645</w:t>
            </w:r>
          </w:p>
        </w:tc>
      </w:tr>
      <w:tr w:rsidR="00CC5EE1" w:rsidRPr="00CC5EE1" w14:paraId="144011EF" w14:textId="77777777" w:rsidTr="009372AF">
        <w:trPr>
          <w:jc w:val="center"/>
        </w:trPr>
        <w:tc>
          <w:tcPr>
            <w:tcW w:w="1676" w:type="dxa"/>
            <w:hideMark/>
          </w:tcPr>
          <w:p w14:paraId="20F533EA" w14:textId="6C68DC15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080 – 095</w:t>
            </w:r>
          </w:p>
        </w:tc>
        <w:tc>
          <w:tcPr>
            <w:tcW w:w="1974" w:type="dxa"/>
            <w:vAlign w:val="center"/>
            <w:hideMark/>
          </w:tcPr>
          <w:p w14:paraId="79D56E06" w14:textId="1215E9F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2582" w:type="dxa"/>
            <w:vAlign w:val="bottom"/>
            <w:hideMark/>
          </w:tcPr>
          <w:p w14:paraId="0BEACA1A" w14:textId="14EFD47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1985" w:type="dxa"/>
            <w:vAlign w:val="bottom"/>
            <w:hideMark/>
          </w:tcPr>
          <w:p w14:paraId="49580CE7" w14:textId="49C2B981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4.5539</w:t>
            </w:r>
          </w:p>
        </w:tc>
        <w:tc>
          <w:tcPr>
            <w:tcW w:w="1638" w:type="dxa"/>
            <w:vAlign w:val="center"/>
            <w:hideMark/>
          </w:tcPr>
          <w:p w14:paraId="51F3E25E" w14:textId="6405A4E2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-1.305</w:t>
            </w:r>
          </w:p>
        </w:tc>
      </w:tr>
      <w:tr w:rsidR="00CC5EE1" w:rsidRPr="00CC5EE1" w14:paraId="74867286" w14:textId="77777777" w:rsidTr="009372AF">
        <w:trPr>
          <w:jc w:val="center"/>
        </w:trPr>
        <w:tc>
          <w:tcPr>
            <w:tcW w:w="1676" w:type="dxa"/>
            <w:hideMark/>
          </w:tcPr>
          <w:p w14:paraId="78FCB2DF" w14:textId="00E47A2B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095 – 110</w:t>
            </w:r>
          </w:p>
        </w:tc>
        <w:tc>
          <w:tcPr>
            <w:tcW w:w="1974" w:type="dxa"/>
            <w:vAlign w:val="center"/>
            <w:hideMark/>
          </w:tcPr>
          <w:p w14:paraId="116705EF" w14:textId="005D0BC6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2582" w:type="dxa"/>
            <w:vAlign w:val="bottom"/>
            <w:hideMark/>
          </w:tcPr>
          <w:p w14:paraId="385B4B1C" w14:textId="4FB60370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0.185</w:t>
            </w:r>
          </w:p>
        </w:tc>
        <w:tc>
          <w:tcPr>
            <w:tcW w:w="1985" w:type="dxa"/>
            <w:vAlign w:val="bottom"/>
            <w:hideMark/>
          </w:tcPr>
          <w:p w14:paraId="215D4E3C" w14:textId="6F3ECC68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4.7005</w:t>
            </w:r>
          </w:p>
        </w:tc>
        <w:tc>
          <w:tcPr>
            <w:tcW w:w="1638" w:type="dxa"/>
            <w:vAlign w:val="center"/>
            <w:hideMark/>
          </w:tcPr>
          <w:p w14:paraId="138F1E34" w14:textId="7D391BA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-0.896</w:t>
            </w:r>
          </w:p>
        </w:tc>
      </w:tr>
      <w:tr w:rsidR="00CC5EE1" w:rsidRPr="00CC5EE1" w14:paraId="3047E9FD" w14:textId="77777777" w:rsidTr="009372AF">
        <w:trPr>
          <w:jc w:val="center"/>
        </w:trPr>
        <w:tc>
          <w:tcPr>
            <w:tcW w:w="1676" w:type="dxa"/>
            <w:hideMark/>
          </w:tcPr>
          <w:p w14:paraId="64E48360" w14:textId="2D0A8D8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110 – 125</w:t>
            </w:r>
          </w:p>
        </w:tc>
        <w:tc>
          <w:tcPr>
            <w:tcW w:w="1974" w:type="dxa"/>
            <w:vAlign w:val="center"/>
            <w:hideMark/>
          </w:tcPr>
          <w:p w14:paraId="2D90EE17" w14:textId="000BDFFA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0.094</w:t>
            </w:r>
          </w:p>
        </w:tc>
        <w:tc>
          <w:tcPr>
            <w:tcW w:w="2582" w:type="dxa"/>
            <w:vAlign w:val="bottom"/>
            <w:hideMark/>
          </w:tcPr>
          <w:p w14:paraId="2C0AB7A2" w14:textId="14AEBA5B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0.279</w:t>
            </w:r>
          </w:p>
        </w:tc>
        <w:tc>
          <w:tcPr>
            <w:tcW w:w="1985" w:type="dxa"/>
            <w:vAlign w:val="bottom"/>
            <w:hideMark/>
          </w:tcPr>
          <w:p w14:paraId="32337C12" w14:textId="1935BDF9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4.8283</w:t>
            </w:r>
          </w:p>
        </w:tc>
        <w:tc>
          <w:tcPr>
            <w:tcW w:w="1638" w:type="dxa"/>
            <w:vAlign w:val="center"/>
            <w:hideMark/>
          </w:tcPr>
          <w:p w14:paraId="7C2B9D8B" w14:textId="3C937E9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-0.586</w:t>
            </w:r>
          </w:p>
        </w:tc>
      </w:tr>
      <w:tr w:rsidR="00CC5EE1" w:rsidRPr="00CC5EE1" w14:paraId="3AA97AF7" w14:textId="77777777" w:rsidTr="009372AF">
        <w:trPr>
          <w:jc w:val="center"/>
        </w:trPr>
        <w:tc>
          <w:tcPr>
            <w:tcW w:w="1676" w:type="dxa"/>
            <w:hideMark/>
          </w:tcPr>
          <w:p w14:paraId="51E85890" w14:textId="1EAB1E62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125 – 140</w:t>
            </w:r>
          </w:p>
        </w:tc>
        <w:tc>
          <w:tcPr>
            <w:tcW w:w="1974" w:type="dxa"/>
            <w:vAlign w:val="center"/>
            <w:hideMark/>
          </w:tcPr>
          <w:p w14:paraId="599A7B5B" w14:textId="1D62C43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0.101</w:t>
            </w:r>
          </w:p>
        </w:tc>
        <w:tc>
          <w:tcPr>
            <w:tcW w:w="2582" w:type="dxa"/>
            <w:vAlign w:val="bottom"/>
            <w:hideMark/>
          </w:tcPr>
          <w:p w14:paraId="167B333E" w14:textId="3EE7C942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0.380</w:t>
            </w:r>
          </w:p>
        </w:tc>
        <w:tc>
          <w:tcPr>
            <w:tcW w:w="1985" w:type="dxa"/>
            <w:vAlign w:val="bottom"/>
            <w:hideMark/>
          </w:tcPr>
          <w:p w14:paraId="0F699B8E" w14:textId="6470F405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4.9416</w:t>
            </w:r>
          </w:p>
        </w:tc>
        <w:tc>
          <w:tcPr>
            <w:tcW w:w="1638" w:type="dxa"/>
            <w:vAlign w:val="center"/>
            <w:hideMark/>
          </w:tcPr>
          <w:p w14:paraId="61815BBE" w14:textId="2F7C6F8A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-0.305</w:t>
            </w:r>
          </w:p>
        </w:tc>
      </w:tr>
      <w:tr w:rsidR="00CC5EE1" w:rsidRPr="00CC5EE1" w14:paraId="2D2402C9" w14:textId="77777777" w:rsidTr="009372AF">
        <w:trPr>
          <w:jc w:val="center"/>
        </w:trPr>
        <w:tc>
          <w:tcPr>
            <w:tcW w:w="1676" w:type="dxa"/>
          </w:tcPr>
          <w:p w14:paraId="0D28E886" w14:textId="25B94F1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140 – 160</w:t>
            </w:r>
          </w:p>
        </w:tc>
        <w:tc>
          <w:tcPr>
            <w:tcW w:w="1974" w:type="dxa"/>
            <w:vAlign w:val="center"/>
          </w:tcPr>
          <w:p w14:paraId="756D2056" w14:textId="2F8D165D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0.122</w:t>
            </w:r>
          </w:p>
        </w:tc>
        <w:tc>
          <w:tcPr>
            <w:tcW w:w="2582" w:type="dxa"/>
            <w:vAlign w:val="bottom"/>
          </w:tcPr>
          <w:p w14:paraId="767E8444" w14:textId="5DBC6FAA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0.502</w:t>
            </w:r>
          </w:p>
        </w:tc>
        <w:tc>
          <w:tcPr>
            <w:tcW w:w="1985" w:type="dxa"/>
            <w:vAlign w:val="bottom"/>
          </w:tcPr>
          <w:p w14:paraId="6EA51CD0" w14:textId="5C4E48AB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5.0752</w:t>
            </w:r>
          </w:p>
        </w:tc>
        <w:tc>
          <w:tcPr>
            <w:tcW w:w="1638" w:type="dxa"/>
            <w:vAlign w:val="center"/>
          </w:tcPr>
          <w:p w14:paraId="4F4F37FF" w14:textId="53CFBF2C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CC5EE1" w:rsidRPr="00CC5EE1" w14:paraId="5C510980" w14:textId="77777777" w:rsidTr="009372AF">
        <w:trPr>
          <w:jc w:val="center"/>
        </w:trPr>
        <w:tc>
          <w:tcPr>
            <w:tcW w:w="1676" w:type="dxa"/>
          </w:tcPr>
          <w:p w14:paraId="2B4E172A" w14:textId="511B4B9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160 – 180</w:t>
            </w:r>
          </w:p>
        </w:tc>
        <w:tc>
          <w:tcPr>
            <w:tcW w:w="1974" w:type="dxa"/>
            <w:vAlign w:val="center"/>
          </w:tcPr>
          <w:p w14:paraId="6DDB68A4" w14:textId="56471BF8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0.096</w:t>
            </w:r>
          </w:p>
        </w:tc>
        <w:tc>
          <w:tcPr>
            <w:tcW w:w="2582" w:type="dxa"/>
            <w:vAlign w:val="bottom"/>
          </w:tcPr>
          <w:p w14:paraId="154A593C" w14:textId="2114C578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0.598</w:t>
            </w:r>
          </w:p>
        </w:tc>
        <w:tc>
          <w:tcPr>
            <w:tcW w:w="1985" w:type="dxa"/>
            <w:vAlign w:val="bottom"/>
          </w:tcPr>
          <w:p w14:paraId="604E1DCC" w14:textId="4246B4B1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5.1930</w:t>
            </w:r>
          </w:p>
        </w:tc>
        <w:tc>
          <w:tcPr>
            <w:tcW w:w="1638" w:type="dxa"/>
            <w:vAlign w:val="center"/>
          </w:tcPr>
          <w:p w14:paraId="2FDA147F" w14:textId="63E5EF9C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0.248</w:t>
            </w:r>
          </w:p>
        </w:tc>
      </w:tr>
      <w:tr w:rsidR="00CC5EE1" w:rsidRPr="00CC5EE1" w14:paraId="3E780FC7" w14:textId="77777777" w:rsidTr="009372AF">
        <w:trPr>
          <w:jc w:val="center"/>
        </w:trPr>
        <w:tc>
          <w:tcPr>
            <w:tcW w:w="1676" w:type="dxa"/>
          </w:tcPr>
          <w:p w14:paraId="3CE359FB" w14:textId="1F2FC8D5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180 – 215</w:t>
            </w:r>
          </w:p>
        </w:tc>
        <w:tc>
          <w:tcPr>
            <w:tcW w:w="1974" w:type="dxa"/>
            <w:vAlign w:val="center"/>
          </w:tcPr>
          <w:p w14:paraId="78FFBA30" w14:textId="0108DDE0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2582" w:type="dxa"/>
            <w:vAlign w:val="bottom"/>
          </w:tcPr>
          <w:p w14:paraId="0596B2A3" w14:textId="34E857F9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0.721</w:t>
            </w:r>
          </w:p>
        </w:tc>
        <w:tc>
          <w:tcPr>
            <w:tcW w:w="1985" w:type="dxa"/>
            <w:vAlign w:val="bottom"/>
          </w:tcPr>
          <w:p w14:paraId="014FB99C" w14:textId="2D8ECBB6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5.3706</w:t>
            </w:r>
          </w:p>
        </w:tc>
        <w:tc>
          <w:tcPr>
            <w:tcW w:w="1638" w:type="dxa"/>
            <w:vAlign w:val="center"/>
          </w:tcPr>
          <w:p w14:paraId="6A905775" w14:textId="07261622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0.586</w:t>
            </w:r>
          </w:p>
        </w:tc>
      </w:tr>
      <w:tr w:rsidR="00CC5EE1" w:rsidRPr="00CC5EE1" w14:paraId="4AB829CC" w14:textId="77777777" w:rsidTr="009372AF">
        <w:trPr>
          <w:jc w:val="center"/>
        </w:trPr>
        <w:tc>
          <w:tcPr>
            <w:tcW w:w="1676" w:type="dxa"/>
          </w:tcPr>
          <w:p w14:paraId="620F81BA" w14:textId="0738593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215 – 280</w:t>
            </w:r>
          </w:p>
        </w:tc>
        <w:tc>
          <w:tcPr>
            <w:tcW w:w="1974" w:type="dxa"/>
            <w:vAlign w:val="center"/>
          </w:tcPr>
          <w:p w14:paraId="07F0AC38" w14:textId="4C34999D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2582" w:type="dxa"/>
            <w:vAlign w:val="bottom"/>
          </w:tcPr>
          <w:p w14:paraId="370B862F" w14:textId="5D20CDE7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0.860</w:t>
            </w:r>
          </w:p>
        </w:tc>
        <w:tc>
          <w:tcPr>
            <w:tcW w:w="1985" w:type="dxa"/>
            <w:vAlign w:val="bottom"/>
          </w:tcPr>
          <w:p w14:paraId="5027887F" w14:textId="5A29BDB0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5.6348</w:t>
            </w:r>
          </w:p>
        </w:tc>
        <w:tc>
          <w:tcPr>
            <w:tcW w:w="1638" w:type="dxa"/>
            <w:vAlign w:val="center"/>
          </w:tcPr>
          <w:p w14:paraId="17AC5EA9" w14:textId="5B2BBD6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1.080</w:t>
            </w:r>
          </w:p>
        </w:tc>
      </w:tr>
      <w:tr w:rsidR="00CC5EE1" w:rsidRPr="00CC5EE1" w14:paraId="381CCFCC" w14:textId="77777777" w:rsidTr="009372AF">
        <w:trPr>
          <w:jc w:val="center"/>
        </w:trPr>
        <w:tc>
          <w:tcPr>
            <w:tcW w:w="1676" w:type="dxa"/>
          </w:tcPr>
          <w:p w14:paraId="7449A132" w14:textId="17C3518C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>280 – 385</w:t>
            </w:r>
          </w:p>
        </w:tc>
        <w:tc>
          <w:tcPr>
            <w:tcW w:w="1974" w:type="dxa"/>
            <w:vAlign w:val="center"/>
          </w:tcPr>
          <w:p w14:paraId="47B9F200" w14:textId="1FAB55BD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0.094</w:t>
            </w:r>
          </w:p>
        </w:tc>
        <w:tc>
          <w:tcPr>
            <w:tcW w:w="2582" w:type="dxa"/>
            <w:vAlign w:val="bottom"/>
          </w:tcPr>
          <w:p w14:paraId="4385C723" w14:textId="68A81820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0.954</w:t>
            </w:r>
          </w:p>
        </w:tc>
        <w:tc>
          <w:tcPr>
            <w:tcW w:w="1985" w:type="dxa"/>
            <w:vAlign w:val="bottom"/>
          </w:tcPr>
          <w:p w14:paraId="7E355B15" w14:textId="0E5EE81A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5.9532</w:t>
            </w:r>
          </w:p>
        </w:tc>
        <w:tc>
          <w:tcPr>
            <w:tcW w:w="1638" w:type="dxa"/>
            <w:vAlign w:val="bottom"/>
          </w:tcPr>
          <w:p w14:paraId="5FF43EDF" w14:textId="380D7128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1.685</w:t>
            </w:r>
          </w:p>
        </w:tc>
      </w:tr>
      <w:tr w:rsidR="00CC5EE1" w:rsidRPr="00CC5EE1" w14:paraId="7964544B" w14:textId="77777777" w:rsidTr="0032697C">
        <w:trPr>
          <w:jc w:val="center"/>
        </w:trPr>
        <w:tc>
          <w:tcPr>
            <w:tcW w:w="1676" w:type="dxa"/>
          </w:tcPr>
          <w:p w14:paraId="47BC7949" w14:textId="3B1C3509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sz w:val="24"/>
                <w:szCs w:val="24"/>
              </w:rPr>
              <w:t xml:space="preserve">385 –      </w:t>
            </w:r>
            <w:r w:rsidRPr="0003393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1974" w:type="dxa"/>
            <w:vAlign w:val="center"/>
          </w:tcPr>
          <w:p w14:paraId="2485C521" w14:textId="5782AB9C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2582" w:type="dxa"/>
            <w:vAlign w:val="bottom"/>
          </w:tcPr>
          <w:p w14:paraId="3AE85423" w14:textId="13B27CA3" w:rsidR="00CC5EE1" w:rsidRPr="0003393D" w:rsidRDefault="00CC5EE1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39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DF091B0" w14:textId="3FC793C3" w:rsidR="00CC5EE1" w:rsidRPr="0003393D" w:rsidRDefault="0003393D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  <w:tc>
          <w:tcPr>
            <w:tcW w:w="1638" w:type="dxa"/>
          </w:tcPr>
          <w:p w14:paraId="1111F803" w14:textId="522964CD" w:rsidR="00CC5EE1" w:rsidRPr="0003393D" w:rsidRDefault="0003393D" w:rsidP="00CC5EE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</w:tr>
    </w:tbl>
    <w:p w14:paraId="213DE029" w14:textId="77777777" w:rsidR="00CD3516" w:rsidRDefault="00CD3516" w:rsidP="002669CF">
      <w:pPr>
        <w:spacing w:after="120"/>
        <w:jc w:val="both"/>
        <w:rPr>
          <w:sz w:val="24"/>
          <w:szCs w:val="24"/>
        </w:rPr>
      </w:pPr>
    </w:p>
    <w:p w14:paraId="40116740" w14:textId="293784B3" w:rsidR="002669CF" w:rsidRDefault="002669CF" w:rsidP="002669CF">
      <w:pPr>
        <w:spacing w:after="120"/>
        <w:jc w:val="both"/>
        <w:rPr>
          <w:sz w:val="24"/>
          <w:szCs w:val="24"/>
        </w:rPr>
      </w:pPr>
      <w:r w:rsidRPr="002669CF">
        <w:rPr>
          <w:noProof/>
          <w:sz w:val="24"/>
          <w:szCs w:val="24"/>
        </w:rPr>
        <w:drawing>
          <wp:inline distT="0" distB="0" distL="0" distR="0" wp14:anchorId="51EA9C5F" wp14:editId="70ECF487">
            <wp:extent cx="5486400" cy="3181350"/>
            <wp:effectExtent l="0" t="0" r="0" b="0"/>
            <wp:docPr id="174876565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65652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026" w14:textId="1359E751" w:rsidR="00AD0178" w:rsidRPr="000D79B2" w:rsidRDefault="00AD0178" w:rsidP="002669CF">
      <w:pPr>
        <w:spacing w:after="120"/>
        <w:jc w:val="both"/>
        <w:rPr>
          <w:sz w:val="24"/>
          <w:szCs w:val="24"/>
        </w:rPr>
      </w:pPr>
      <w:r w:rsidRPr="000D79B2">
        <w:rPr>
          <w:sz w:val="24"/>
          <w:szCs w:val="24"/>
        </w:rPr>
        <w:t xml:space="preserve">The graph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AD650B" w:rsidRPr="000D79B2">
        <w:rPr>
          <w:sz w:val="24"/>
          <w:szCs w:val="24"/>
        </w:rPr>
        <w:t xml:space="preserve"> against Lnx is approximately linear. Hence the data </w:t>
      </w:r>
      <w:r w:rsidR="00F51809" w:rsidRPr="000D79B2">
        <w:rPr>
          <w:sz w:val="24"/>
          <w:szCs w:val="24"/>
        </w:rPr>
        <w:t>comes</w:t>
      </w:r>
      <w:r w:rsidR="00AD650B" w:rsidRPr="000D79B2">
        <w:rPr>
          <w:sz w:val="24"/>
          <w:szCs w:val="24"/>
        </w:rPr>
        <w:t xml:space="preserve"> from a lognormal distribution.</w:t>
      </w:r>
    </w:p>
    <w:p w14:paraId="29FAF284" w14:textId="7DAF5CF3" w:rsidR="000B7BC9" w:rsidRPr="000D79B2" w:rsidRDefault="000B7BC9" w:rsidP="007B7BF4">
      <w:pPr>
        <w:spacing w:after="120"/>
        <w:jc w:val="both"/>
        <w:rPr>
          <w:sz w:val="24"/>
          <w:szCs w:val="24"/>
        </w:rPr>
      </w:pPr>
    </w:p>
    <w:sectPr w:rsidR="000B7BC9" w:rsidRPr="000D79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317"/>
    <w:multiLevelType w:val="hybridMultilevel"/>
    <w:tmpl w:val="D6342A76"/>
    <w:lvl w:ilvl="0" w:tplc="3512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E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22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F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8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E3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E1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2399C"/>
    <w:multiLevelType w:val="hybridMultilevel"/>
    <w:tmpl w:val="C61A6BAC"/>
    <w:lvl w:ilvl="0" w:tplc="49746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6F8D"/>
    <w:multiLevelType w:val="hybridMultilevel"/>
    <w:tmpl w:val="A998CBC8"/>
    <w:lvl w:ilvl="0" w:tplc="689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7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2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0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88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030967"/>
    <w:multiLevelType w:val="singleLevel"/>
    <w:tmpl w:val="BA84CA0A"/>
    <w:lvl w:ilvl="0">
      <w:start w:val="1"/>
      <w:numFmt w:val="lowerLetter"/>
      <w:lvlText w:val="(%1)"/>
      <w:lvlJc w:val="left"/>
      <w:pPr>
        <w:tabs>
          <w:tab w:val="num" w:pos="570"/>
        </w:tabs>
        <w:ind w:left="570" w:hanging="390"/>
      </w:pPr>
      <w:rPr>
        <w:rFonts w:hint="default"/>
      </w:rPr>
    </w:lvl>
  </w:abstractNum>
  <w:num w:numId="1" w16cid:durableId="2105953596">
    <w:abstractNumId w:val="3"/>
  </w:num>
  <w:num w:numId="2" w16cid:durableId="1210612703">
    <w:abstractNumId w:val="4"/>
  </w:num>
  <w:num w:numId="3" w16cid:durableId="1530727995">
    <w:abstractNumId w:val="1"/>
  </w:num>
  <w:num w:numId="4" w16cid:durableId="1672099462">
    <w:abstractNumId w:val="2"/>
  </w:num>
  <w:num w:numId="5" w16cid:durableId="148604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1D04"/>
    <w:rsid w:val="000028F7"/>
    <w:rsid w:val="00007930"/>
    <w:rsid w:val="0003393D"/>
    <w:rsid w:val="00060F5A"/>
    <w:rsid w:val="000747DE"/>
    <w:rsid w:val="0007560A"/>
    <w:rsid w:val="000A138A"/>
    <w:rsid w:val="000A5DC5"/>
    <w:rsid w:val="000B46EA"/>
    <w:rsid w:val="000B7BC9"/>
    <w:rsid w:val="000C3612"/>
    <w:rsid w:val="000D79B2"/>
    <w:rsid w:val="000E4209"/>
    <w:rsid w:val="00105801"/>
    <w:rsid w:val="00117892"/>
    <w:rsid w:val="00123324"/>
    <w:rsid w:val="00130B4F"/>
    <w:rsid w:val="00133A03"/>
    <w:rsid w:val="0014354E"/>
    <w:rsid w:val="001563DD"/>
    <w:rsid w:val="0017490D"/>
    <w:rsid w:val="001C2311"/>
    <w:rsid w:val="001C466A"/>
    <w:rsid w:val="001C4E25"/>
    <w:rsid w:val="001E03CB"/>
    <w:rsid w:val="001F3A67"/>
    <w:rsid w:val="001F3CF4"/>
    <w:rsid w:val="00200D71"/>
    <w:rsid w:val="00225136"/>
    <w:rsid w:val="0023781D"/>
    <w:rsid w:val="00254E46"/>
    <w:rsid w:val="00260651"/>
    <w:rsid w:val="00261F68"/>
    <w:rsid w:val="002669CF"/>
    <w:rsid w:val="0027697F"/>
    <w:rsid w:val="00280B83"/>
    <w:rsid w:val="002810CE"/>
    <w:rsid w:val="002859C6"/>
    <w:rsid w:val="00294370"/>
    <w:rsid w:val="002A2261"/>
    <w:rsid w:val="002C1CD3"/>
    <w:rsid w:val="002D50DD"/>
    <w:rsid w:val="002E13EE"/>
    <w:rsid w:val="002E2CCA"/>
    <w:rsid w:val="002E593D"/>
    <w:rsid w:val="00322FCC"/>
    <w:rsid w:val="003265BF"/>
    <w:rsid w:val="003408FC"/>
    <w:rsid w:val="00342812"/>
    <w:rsid w:val="00356FC9"/>
    <w:rsid w:val="00376A89"/>
    <w:rsid w:val="00384F2B"/>
    <w:rsid w:val="0039031B"/>
    <w:rsid w:val="00391FCF"/>
    <w:rsid w:val="003974B8"/>
    <w:rsid w:val="003A1DE0"/>
    <w:rsid w:val="003D3581"/>
    <w:rsid w:val="003D4BF6"/>
    <w:rsid w:val="003E0709"/>
    <w:rsid w:val="00403B83"/>
    <w:rsid w:val="00424C36"/>
    <w:rsid w:val="004757DB"/>
    <w:rsid w:val="00496321"/>
    <w:rsid w:val="0049634F"/>
    <w:rsid w:val="004A034F"/>
    <w:rsid w:val="004A4134"/>
    <w:rsid w:val="004A5067"/>
    <w:rsid w:val="004B6AC2"/>
    <w:rsid w:val="004D079E"/>
    <w:rsid w:val="004D5EFA"/>
    <w:rsid w:val="004E6256"/>
    <w:rsid w:val="005042F6"/>
    <w:rsid w:val="00510AD4"/>
    <w:rsid w:val="00540929"/>
    <w:rsid w:val="00540CB3"/>
    <w:rsid w:val="00542A7B"/>
    <w:rsid w:val="00547B8F"/>
    <w:rsid w:val="005568C5"/>
    <w:rsid w:val="00557D42"/>
    <w:rsid w:val="00560E8B"/>
    <w:rsid w:val="00576DBF"/>
    <w:rsid w:val="005800BB"/>
    <w:rsid w:val="005845E3"/>
    <w:rsid w:val="005C0C04"/>
    <w:rsid w:val="005C3AF6"/>
    <w:rsid w:val="005C5346"/>
    <w:rsid w:val="005C6839"/>
    <w:rsid w:val="005D067A"/>
    <w:rsid w:val="005D3E02"/>
    <w:rsid w:val="005D619D"/>
    <w:rsid w:val="005E05D4"/>
    <w:rsid w:val="005F4117"/>
    <w:rsid w:val="005F5400"/>
    <w:rsid w:val="005F5C08"/>
    <w:rsid w:val="00603156"/>
    <w:rsid w:val="00626915"/>
    <w:rsid w:val="00640523"/>
    <w:rsid w:val="00646127"/>
    <w:rsid w:val="00647E8D"/>
    <w:rsid w:val="00650C03"/>
    <w:rsid w:val="00656F42"/>
    <w:rsid w:val="006B03F3"/>
    <w:rsid w:val="006B0E0A"/>
    <w:rsid w:val="006D03A6"/>
    <w:rsid w:val="006E782F"/>
    <w:rsid w:val="006F11DD"/>
    <w:rsid w:val="00710E6E"/>
    <w:rsid w:val="00717634"/>
    <w:rsid w:val="00727CF2"/>
    <w:rsid w:val="00733F01"/>
    <w:rsid w:val="00743067"/>
    <w:rsid w:val="00747EDF"/>
    <w:rsid w:val="00753F0C"/>
    <w:rsid w:val="00762430"/>
    <w:rsid w:val="00780C5E"/>
    <w:rsid w:val="00785B04"/>
    <w:rsid w:val="00791670"/>
    <w:rsid w:val="00794786"/>
    <w:rsid w:val="00794A88"/>
    <w:rsid w:val="00795E79"/>
    <w:rsid w:val="007A750A"/>
    <w:rsid w:val="007B0715"/>
    <w:rsid w:val="007B7BF4"/>
    <w:rsid w:val="007D7400"/>
    <w:rsid w:val="007E2703"/>
    <w:rsid w:val="007E3DD5"/>
    <w:rsid w:val="007F04FE"/>
    <w:rsid w:val="007F2741"/>
    <w:rsid w:val="00806CA7"/>
    <w:rsid w:val="008259F8"/>
    <w:rsid w:val="0083402E"/>
    <w:rsid w:val="0084528C"/>
    <w:rsid w:val="008568A8"/>
    <w:rsid w:val="008572D3"/>
    <w:rsid w:val="0086604F"/>
    <w:rsid w:val="008803AC"/>
    <w:rsid w:val="00880725"/>
    <w:rsid w:val="00883D4D"/>
    <w:rsid w:val="008934A3"/>
    <w:rsid w:val="0089421A"/>
    <w:rsid w:val="008A1F43"/>
    <w:rsid w:val="008C0E0F"/>
    <w:rsid w:val="008C1362"/>
    <w:rsid w:val="008C3916"/>
    <w:rsid w:val="008D47E7"/>
    <w:rsid w:val="008E7DB4"/>
    <w:rsid w:val="009017E5"/>
    <w:rsid w:val="0090355A"/>
    <w:rsid w:val="00903AC0"/>
    <w:rsid w:val="00905992"/>
    <w:rsid w:val="00907DFD"/>
    <w:rsid w:val="00922E2F"/>
    <w:rsid w:val="00925F2D"/>
    <w:rsid w:val="00931513"/>
    <w:rsid w:val="00940310"/>
    <w:rsid w:val="009454A3"/>
    <w:rsid w:val="0095483A"/>
    <w:rsid w:val="0096434B"/>
    <w:rsid w:val="00984098"/>
    <w:rsid w:val="00984475"/>
    <w:rsid w:val="00993B89"/>
    <w:rsid w:val="009A3782"/>
    <w:rsid w:val="009B7DCC"/>
    <w:rsid w:val="009D20CC"/>
    <w:rsid w:val="009D5E50"/>
    <w:rsid w:val="009D753F"/>
    <w:rsid w:val="009E05C6"/>
    <w:rsid w:val="009E6C39"/>
    <w:rsid w:val="009F659A"/>
    <w:rsid w:val="00A2144E"/>
    <w:rsid w:val="00A26DC2"/>
    <w:rsid w:val="00A270E7"/>
    <w:rsid w:val="00A41CD0"/>
    <w:rsid w:val="00A45BFD"/>
    <w:rsid w:val="00A46FC4"/>
    <w:rsid w:val="00A472F0"/>
    <w:rsid w:val="00A52040"/>
    <w:rsid w:val="00A56297"/>
    <w:rsid w:val="00A72A33"/>
    <w:rsid w:val="00A87A31"/>
    <w:rsid w:val="00A950B8"/>
    <w:rsid w:val="00AA7C86"/>
    <w:rsid w:val="00AC0867"/>
    <w:rsid w:val="00AC5B16"/>
    <w:rsid w:val="00AD0178"/>
    <w:rsid w:val="00AD1186"/>
    <w:rsid w:val="00AD650B"/>
    <w:rsid w:val="00AD6568"/>
    <w:rsid w:val="00B12893"/>
    <w:rsid w:val="00B13842"/>
    <w:rsid w:val="00B17742"/>
    <w:rsid w:val="00B239EB"/>
    <w:rsid w:val="00B24D31"/>
    <w:rsid w:val="00B30E80"/>
    <w:rsid w:val="00B459DD"/>
    <w:rsid w:val="00B47056"/>
    <w:rsid w:val="00B523DA"/>
    <w:rsid w:val="00B55534"/>
    <w:rsid w:val="00B709F0"/>
    <w:rsid w:val="00B71CF5"/>
    <w:rsid w:val="00B744D8"/>
    <w:rsid w:val="00B83FF8"/>
    <w:rsid w:val="00B86F18"/>
    <w:rsid w:val="00B87408"/>
    <w:rsid w:val="00BA037F"/>
    <w:rsid w:val="00BA1351"/>
    <w:rsid w:val="00BA4E52"/>
    <w:rsid w:val="00BD4AF6"/>
    <w:rsid w:val="00BD5332"/>
    <w:rsid w:val="00BE12BB"/>
    <w:rsid w:val="00BE2A67"/>
    <w:rsid w:val="00BE3A54"/>
    <w:rsid w:val="00BF087D"/>
    <w:rsid w:val="00BF13EA"/>
    <w:rsid w:val="00BF3C79"/>
    <w:rsid w:val="00C07152"/>
    <w:rsid w:val="00C159DF"/>
    <w:rsid w:val="00C22FE3"/>
    <w:rsid w:val="00C374A7"/>
    <w:rsid w:val="00C4650D"/>
    <w:rsid w:val="00C46F0A"/>
    <w:rsid w:val="00C53593"/>
    <w:rsid w:val="00C63B08"/>
    <w:rsid w:val="00C70E6C"/>
    <w:rsid w:val="00C8650B"/>
    <w:rsid w:val="00C9227F"/>
    <w:rsid w:val="00C92753"/>
    <w:rsid w:val="00CA358A"/>
    <w:rsid w:val="00CC3DEC"/>
    <w:rsid w:val="00CC5726"/>
    <w:rsid w:val="00CC5EE1"/>
    <w:rsid w:val="00CC6D37"/>
    <w:rsid w:val="00CD30CC"/>
    <w:rsid w:val="00CD3516"/>
    <w:rsid w:val="00CF0069"/>
    <w:rsid w:val="00D02E93"/>
    <w:rsid w:val="00D20BE1"/>
    <w:rsid w:val="00D51481"/>
    <w:rsid w:val="00D62A11"/>
    <w:rsid w:val="00D733C0"/>
    <w:rsid w:val="00D8022F"/>
    <w:rsid w:val="00D86C76"/>
    <w:rsid w:val="00D90691"/>
    <w:rsid w:val="00D91CDC"/>
    <w:rsid w:val="00DA6FD0"/>
    <w:rsid w:val="00DB6585"/>
    <w:rsid w:val="00DD6578"/>
    <w:rsid w:val="00E0091A"/>
    <w:rsid w:val="00E11325"/>
    <w:rsid w:val="00E15965"/>
    <w:rsid w:val="00E231AC"/>
    <w:rsid w:val="00E26F76"/>
    <w:rsid w:val="00E4321E"/>
    <w:rsid w:val="00E729EA"/>
    <w:rsid w:val="00E842D3"/>
    <w:rsid w:val="00E92441"/>
    <w:rsid w:val="00E93F82"/>
    <w:rsid w:val="00E966A1"/>
    <w:rsid w:val="00EB535D"/>
    <w:rsid w:val="00EE542A"/>
    <w:rsid w:val="00EF2265"/>
    <w:rsid w:val="00F0495A"/>
    <w:rsid w:val="00F14596"/>
    <w:rsid w:val="00F22E0F"/>
    <w:rsid w:val="00F4014A"/>
    <w:rsid w:val="00F4188A"/>
    <w:rsid w:val="00F50939"/>
    <w:rsid w:val="00F51279"/>
    <w:rsid w:val="00F51809"/>
    <w:rsid w:val="00F5668E"/>
    <w:rsid w:val="00F61BB7"/>
    <w:rsid w:val="00F62A7A"/>
    <w:rsid w:val="00F673AE"/>
    <w:rsid w:val="00F77EAF"/>
    <w:rsid w:val="00F83A49"/>
    <w:rsid w:val="00F84173"/>
    <w:rsid w:val="00F867F4"/>
    <w:rsid w:val="00F97350"/>
    <w:rsid w:val="00FA48E6"/>
    <w:rsid w:val="00FB3B80"/>
    <w:rsid w:val="00FC4E53"/>
    <w:rsid w:val="00FD0C4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16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table" w:styleId="TableGridLight">
    <w:name w:val="Grid Table Light"/>
    <w:basedOn w:val="TableNormal"/>
    <w:uiPriority w:val="40"/>
    <w:rsid w:val="007947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947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C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CC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1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02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232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144</cp:revision>
  <dcterms:created xsi:type="dcterms:W3CDTF">2025-03-15T15:41:00Z</dcterms:created>
  <dcterms:modified xsi:type="dcterms:W3CDTF">2025-03-26T15:26:00Z</dcterms:modified>
</cp:coreProperties>
</file>