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8"/>
        </w:rPr>
        <w:t>Medical Store Inventory &amp; Sales Analytics</w:t>
      </w:r>
    </w:p>
    <w:p>
      <w:pPr>
        <w:jc w:val="center"/>
      </w:pPr>
      <w:r>
        <w:rPr>
          <w:i/>
          <w:sz w:val="24"/>
        </w:rPr>
        <w:t>A Data Analytics Project using Google Sheets</w:t>
      </w:r>
    </w:p>
    <w:p>
      <w:pPr>
        <w:jc w:val="center"/>
      </w:pPr>
      <w:r>
        <w:rPr>
          <w:sz w:val="19"/>
        </w:rPr>
        <w:t>Prepared by: Tanishque Shrivastava   |   Data period: January - December 2026   |   Analysis date: 5 October 2026</w:t>
      </w:r>
    </w:p>
    <w:p>
      <w:pPr>
        <w:pStyle w:val="Heading1"/>
      </w:pPr>
      <w:r>
        <w:t>1. Introduction</w:t>
      </w:r>
    </w:p>
    <w:p>
      <w:r>
        <w:t>Medicine stores must keep the right medicines in stock, avoid holding items that expire unsold, and know which products earn the most. This project analyses the transaction and medicine records of a medical store to answer those questions with data. It is a data analytics project: the work is data cleaning, calculation, summarising, charting and interpretation, built in Google Sheets-compatible formulas.</w:t>
      </w:r>
    </w:p>
    <w:p>
      <w:pPr>
        <w:pStyle w:val="Heading1"/>
      </w:pPr>
      <w:r>
        <w:t>2. Problem Statement</w:t>
      </w:r>
    </w:p>
    <w:p>
      <w:r>
        <w:t>The store has thousands of purchase and sale records but no summary of what sells, what earns money, which medicines need restocking and which are near expiry. Without this, buying decisions rely on guesswork.</w:t>
      </w:r>
    </w:p>
    <w:p>
      <w:pPr>
        <w:pStyle w:val="Heading1"/>
      </w:pPr>
      <w:r>
        <w:t>3. Objectives</w:t>
      </w:r>
    </w:p>
    <w:p>
      <w:pPr>
        <w:pStyle w:val="ListBullet"/>
      </w:pPr>
      <w:r>
        <w:t>Count transactions and total units sold and purchased; calculate revenue, cost and gross profit.</w:t>
      </w:r>
    </w:p>
    <w:p>
      <w:pPr>
        <w:pStyle w:val="ListBullet"/>
      </w:pPr>
      <w:r>
        <w:t>Find the best-selling and highest-revenue medicines and the best-performing categories.</w:t>
      </w:r>
    </w:p>
    <w:p>
      <w:pPr>
        <w:pStyle w:val="ListBullet"/>
      </w:pPr>
      <w:r>
        <w:t>Identify medicines that need restocking, sell slowly, or are approaching expiry.</w:t>
      </w:r>
    </w:p>
    <w:p>
      <w:pPr>
        <w:pStyle w:val="ListBullet"/>
      </w:pPr>
      <w:r>
        <w:t>Show monthly sales trends and category shares.</w:t>
      </w:r>
    </w:p>
    <w:p>
      <w:pPr>
        <w:pStyle w:val="ListBullet"/>
      </w:pPr>
      <w:r>
        <w:t>Turn the results into practical business recommendations.</w:t>
      </w:r>
    </w:p>
    <w:p>
      <w:pPr>
        <w:pStyle w:val="Heading1"/>
      </w:pPr>
      <w:r>
        <w:t>4. Dataset Description</w:t>
      </w:r>
    </w:p>
    <w:p>
      <w:r>
        <w:t>Two source tables were used. A third file (a combined version of the same data) was used only to verify that the calculated revenue and cost totals matched.</w:t>
      </w:r>
    </w:p>
    <w:tbl>
      <w:tblPr>
        <w:tblStyle w:val="TableGrid"/>
        <w:tblW w:type="auto" w:w="0"/>
        <w:tblLook w:firstColumn="1" w:firstRow="1" w:lastColumn="0" w:lastRow="0" w:noHBand="0" w:noVBand="1" w:val="04A0"/>
      </w:tblPr>
      <w:tblGrid>
        <w:gridCol w:w="3249"/>
        <w:gridCol w:w="3249"/>
        <w:gridCol w:w="3249"/>
      </w:tblGrid>
      <w:tr>
        <w:tc>
          <w:tcPr>
            <w:tcW w:type="dxa" w:w="1984"/>
            <w:shd w:val="clear" w:color="auto" w:fill="1F3864"/>
          </w:tcPr>
          <w:p>
            <w:r/>
            <w:r>
              <w:rPr>
                <w:rFonts w:ascii="Arial" w:hAnsi="Arial"/>
                <w:b/>
                <w:color w:val="FFFFFF"/>
                <w:sz w:val="19"/>
              </w:rPr>
              <w:t>Table</w:t>
            </w:r>
          </w:p>
        </w:tc>
        <w:tc>
          <w:tcPr>
            <w:tcW w:type="dxa" w:w="1020"/>
            <w:shd w:val="clear" w:color="auto" w:fill="1F3864"/>
          </w:tcPr>
          <w:p>
            <w:r/>
            <w:r>
              <w:rPr>
                <w:rFonts w:ascii="Arial" w:hAnsi="Arial"/>
                <w:b/>
                <w:color w:val="FFFFFF"/>
                <w:sz w:val="19"/>
              </w:rPr>
              <w:t>Rows</w:t>
            </w:r>
          </w:p>
        </w:tc>
        <w:tc>
          <w:tcPr>
            <w:tcW w:type="dxa" w:w="6350"/>
            <w:shd w:val="clear" w:color="auto" w:fill="1F3864"/>
          </w:tcPr>
          <w:p>
            <w:r/>
            <w:r>
              <w:rPr>
                <w:rFonts w:ascii="Arial" w:hAnsi="Arial"/>
                <w:b/>
                <w:color w:val="FFFFFF"/>
                <w:sz w:val="19"/>
              </w:rPr>
              <w:t>Columns</w:t>
            </w:r>
          </w:p>
        </w:tc>
      </w:tr>
      <w:tr>
        <w:tc>
          <w:tcPr>
            <w:tcW w:type="dxa" w:w="1984"/>
          </w:tcPr>
          <w:p>
            <w:r/>
            <w:r>
              <w:rPr>
                <w:rFonts w:ascii="Arial" w:hAnsi="Arial"/>
                <w:sz w:val="19"/>
              </w:rPr>
              <w:t>transactions</w:t>
            </w:r>
          </w:p>
        </w:tc>
        <w:tc>
          <w:tcPr>
            <w:tcW w:type="dxa" w:w="1020"/>
          </w:tcPr>
          <w:p>
            <w:r/>
            <w:r>
              <w:rPr>
                <w:rFonts w:ascii="Arial" w:hAnsi="Arial"/>
                <w:sz w:val="19"/>
              </w:rPr>
              <w:t>2,600</w:t>
            </w:r>
          </w:p>
        </w:tc>
        <w:tc>
          <w:tcPr>
            <w:tcW w:type="dxa" w:w="6350"/>
          </w:tcPr>
          <w:p>
            <w:r/>
            <w:r>
              <w:rPr>
                <w:rFonts w:ascii="Arial" w:hAnsi="Arial"/>
                <w:sz w:val="19"/>
              </w:rPr>
              <w:t>Transaction_ID, Date, Medicine_ID, Transaction_Type (Sale / Purchase), Quantity</w:t>
            </w:r>
          </w:p>
        </w:tc>
      </w:tr>
      <w:tr>
        <w:tc>
          <w:tcPr>
            <w:tcW w:type="dxa" w:w="1984"/>
          </w:tcPr>
          <w:p>
            <w:r/>
            <w:r>
              <w:rPr>
                <w:rFonts w:ascii="Arial" w:hAnsi="Arial"/>
                <w:sz w:val="19"/>
              </w:rPr>
              <w:t>medicine_master</w:t>
            </w:r>
          </w:p>
        </w:tc>
        <w:tc>
          <w:tcPr>
            <w:tcW w:type="dxa" w:w="1020"/>
          </w:tcPr>
          <w:p>
            <w:r/>
            <w:r>
              <w:rPr>
                <w:rFonts w:ascii="Arial" w:hAnsi="Arial"/>
                <w:sz w:val="19"/>
              </w:rPr>
              <w:t>25</w:t>
            </w:r>
          </w:p>
        </w:tc>
        <w:tc>
          <w:tcPr>
            <w:tcW w:type="dxa" w:w="6350"/>
          </w:tcPr>
          <w:p>
            <w:r/>
            <w:r>
              <w:rPr>
                <w:rFonts w:ascii="Arial" w:hAnsi="Arial"/>
                <w:sz w:val="19"/>
              </w:rPr>
              <w:t>Medicine_ID, Medicine_Name, Category, Batch_No, Expiry_Date, Supplier, Purchase_Rate, MRP, Selling_Rate</w:t>
            </w:r>
          </w:p>
        </w:tc>
      </w:tr>
    </w:tbl>
    <w:p/>
    <w:p>
      <w:r>
        <w:t>Column types: numerical - Quantity, Purchase_Rate, MRP, Selling_Rate; categorical - Transaction_Type, Medicine_Name, Category, Batch_No, Supplier; dates - Date, Expiry_Date; identifiers - Transaction_ID, Medicine_ID. The two tables connect through Medicine_ID (transactions.Medicine_ID → medicine_master.Medicine_ID).</w:t>
      </w:r>
    </w:p>
    <w:p>
      <w:r>
        <w:t>Important: the data has no stock column and no opening stock, so stock levels were not invented. Currency is not stated; amounts are shown in rupees (₹) as an assumption.</w:t>
      </w:r>
    </w:p>
    <w:p>
      <w:pPr>
        <w:pStyle w:val="Heading1"/>
      </w:pPr>
      <w:r>
        <w:t>5. Tools Used</w:t>
      </w:r>
    </w:p>
    <w:p>
      <w:pPr>
        <w:pStyle w:val="ListBullet"/>
      </w:pPr>
      <w:r>
        <w:t>Google Sheets-compatible formulas: COUNTIF, SUMIFS, INDEX/MATCH, IF, RANK, PERCENTILE, SUMPRODUCT, TEXT.</w:t>
      </w:r>
    </w:p>
    <w:p>
      <w:pPr>
        <w:pStyle w:val="ListBullet"/>
      </w:pPr>
      <w:r>
        <w:t>Pivot-style summary tables, charts and a dashboard sheet.</w:t>
      </w:r>
    </w:p>
    <w:p>
      <w:pPr>
        <w:pStyle w:val="ListBullet"/>
      </w:pPr>
      <w:r>
        <w:t>Python (pandas) was used only to cross-check the spreadsheet totals.</w:t>
      </w:r>
    </w:p>
    <w:p>
      <w:pPr>
        <w:pStyle w:val="Heading1"/>
      </w:pPr>
      <w:r>
        <w:t>6. Data Cleaning</w:t>
      </w:r>
    </w:p>
    <w:p>
      <w:r>
        <w:t>Eighteen validation checks were built as live formulas on the Data_Cleaning sheet. Result: 17 PASS, 1 REVIEW, 0 FAIL.</w:t>
      </w:r>
    </w:p>
    <w:tbl>
      <w:tblPr>
        <w:tblStyle w:val="TableGrid"/>
        <w:tblW w:type="auto" w:w="0"/>
        <w:tblLook w:firstColumn="1" w:firstRow="1" w:lastColumn="0" w:lastRow="0" w:noHBand="0" w:noVBand="1" w:val="04A0"/>
      </w:tblPr>
      <w:tblGrid>
        <w:gridCol w:w="4873"/>
        <w:gridCol w:w="4873"/>
      </w:tblGrid>
      <w:tr>
        <w:tc>
          <w:tcPr>
            <w:tcW w:type="dxa" w:w="5953"/>
            <w:shd w:val="clear" w:color="auto" w:fill="1F3864"/>
          </w:tcPr>
          <w:p>
            <w:r/>
            <w:r>
              <w:rPr>
                <w:rFonts w:ascii="Arial" w:hAnsi="Arial"/>
                <w:b/>
                <w:color w:val="FFFFFF"/>
                <w:sz w:val="19"/>
              </w:rPr>
              <w:t>Check</w:t>
            </w:r>
          </w:p>
        </w:tc>
        <w:tc>
          <w:tcPr>
            <w:tcW w:type="dxa" w:w="3402"/>
            <w:shd w:val="clear" w:color="auto" w:fill="1F3864"/>
          </w:tcPr>
          <w:p>
            <w:r/>
            <w:r>
              <w:rPr>
                <w:rFonts w:ascii="Arial" w:hAnsi="Arial"/>
                <w:b/>
                <w:color w:val="FFFFFF"/>
                <w:sz w:val="19"/>
              </w:rPr>
              <w:t>Result</w:t>
            </w:r>
          </w:p>
        </w:tc>
      </w:tr>
      <w:tr>
        <w:tc>
          <w:tcPr>
            <w:tcW w:type="dxa" w:w="5953"/>
          </w:tcPr>
          <w:p>
            <w:r/>
            <w:r>
              <w:rPr>
                <w:rFonts w:ascii="Arial" w:hAnsi="Arial"/>
                <w:sz w:val="19"/>
              </w:rPr>
              <w:t>Missing values (both tables)</w:t>
            </w:r>
          </w:p>
        </w:tc>
        <w:tc>
          <w:tcPr>
            <w:tcW w:type="dxa" w:w="3402"/>
          </w:tcPr>
          <w:p>
            <w:r/>
            <w:r>
              <w:rPr>
                <w:rFonts w:ascii="Arial" w:hAnsi="Arial"/>
                <w:sz w:val="19"/>
              </w:rPr>
              <w:t>0</w:t>
            </w:r>
          </w:p>
        </w:tc>
      </w:tr>
      <w:tr>
        <w:tc>
          <w:tcPr>
            <w:tcW w:type="dxa" w:w="5953"/>
          </w:tcPr>
          <w:p>
            <w:r/>
            <w:r>
              <w:rPr>
                <w:rFonts w:ascii="Arial" w:hAnsi="Arial"/>
                <w:sz w:val="19"/>
              </w:rPr>
              <w:t>Duplicate Transaction_IDs / Medicine_IDs</w:t>
            </w:r>
          </w:p>
        </w:tc>
        <w:tc>
          <w:tcPr>
            <w:tcW w:type="dxa" w:w="3402"/>
          </w:tcPr>
          <w:p>
            <w:r/>
            <w:r>
              <w:rPr>
                <w:rFonts w:ascii="Arial" w:hAnsi="Arial"/>
                <w:sz w:val="19"/>
              </w:rPr>
              <w:t>0 / 0</w:t>
            </w:r>
          </w:p>
        </w:tc>
      </w:tr>
      <w:tr>
        <w:tc>
          <w:tcPr>
            <w:tcW w:type="dxa" w:w="5953"/>
          </w:tcPr>
          <w:p>
            <w:r/>
            <w:r>
              <w:rPr>
                <w:rFonts w:ascii="Arial" w:hAnsi="Arial"/>
                <w:sz w:val="19"/>
              </w:rPr>
              <w:t>Invalid Medicine_ID references (ID_Check column)</w:t>
            </w:r>
          </w:p>
        </w:tc>
        <w:tc>
          <w:tcPr>
            <w:tcW w:type="dxa" w:w="3402"/>
          </w:tcPr>
          <w:p>
            <w:r/>
            <w:r>
              <w:rPr>
                <w:rFonts w:ascii="Arial" w:hAnsi="Arial"/>
                <w:sz w:val="19"/>
              </w:rPr>
              <w:t>0</w:t>
            </w:r>
          </w:p>
        </w:tc>
      </w:tr>
      <w:tr>
        <w:tc>
          <w:tcPr>
            <w:tcW w:type="dxa" w:w="5953"/>
          </w:tcPr>
          <w:p>
            <w:r/>
            <w:r>
              <w:rPr>
                <w:rFonts w:ascii="Arial" w:hAnsi="Arial"/>
                <w:sz w:val="19"/>
              </w:rPr>
              <w:t>Invalid quantities, prices, dates or transaction types</w:t>
            </w:r>
          </w:p>
        </w:tc>
        <w:tc>
          <w:tcPr>
            <w:tcW w:type="dxa" w:w="3402"/>
          </w:tcPr>
          <w:p>
            <w:r/>
            <w:r>
              <w:rPr>
                <w:rFonts w:ascii="Arial" w:hAnsi="Arial"/>
                <w:sz w:val="19"/>
              </w:rPr>
              <w:t>0</w:t>
            </w:r>
          </w:p>
        </w:tc>
      </w:tr>
      <w:tr>
        <w:tc>
          <w:tcPr>
            <w:tcW w:type="dxa" w:w="5953"/>
          </w:tcPr>
          <w:p>
            <w:r/>
            <w:r>
              <w:rPr>
                <w:rFonts w:ascii="Arial" w:hAnsi="Arial"/>
                <w:sz w:val="19"/>
              </w:rPr>
              <w:t>Price logic (Purchase_Rate &lt; Selling_Rate ≤ MRP)</w:t>
            </w:r>
          </w:p>
        </w:tc>
        <w:tc>
          <w:tcPr>
            <w:tcW w:type="dxa" w:w="3402"/>
          </w:tcPr>
          <w:p>
            <w:r/>
            <w:r>
              <w:rPr>
                <w:rFonts w:ascii="Arial" w:hAnsi="Arial"/>
                <w:sz w:val="19"/>
              </w:rPr>
              <w:t>0 violations</w:t>
            </w:r>
          </w:p>
        </w:tc>
      </w:tr>
      <w:tr>
        <w:tc>
          <w:tcPr>
            <w:tcW w:type="dxa" w:w="5953"/>
          </w:tcPr>
          <w:p>
            <w:r/>
            <w:r>
              <w:rPr>
                <w:rFonts w:ascii="Arial" w:hAnsi="Arial"/>
                <w:sz w:val="19"/>
              </w:rPr>
              <w:t>Extra spaces / inconsistent category names</w:t>
            </w:r>
          </w:p>
        </w:tc>
        <w:tc>
          <w:tcPr>
            <w:tcW w:type="dxa" w:w="3402"/>
          </w:tcPr>
          <w:p>
            <w:r/>
            <w:r>
              <w:rPr>
                <w:rFonts w:ascii="Arial" w:hAnsi="Arial"/>
                <w:sz w:val="19"/>
              </w:rPr>
              <w:t>0 (10 distinct categories)</w:t>
            </w:r>
          </w:p>
        </w:tc>
      </w:tr>
      <w:tr>
        <w:tc>
          <w:tcPr>
            <w:tcW w:type="dxa" w:w="5953"/>
          </w:tcPr>
          <w:p>
            <w:r/>
            <w:r>
              <w:rPr>
                <w:rFonts w:ascii="Arial" w:hAnsi="Arial"/>
                <w:sz w:val="19"/>
              </w:rPr>
              <w:t>Revenue and cost totals vs the combined source file</w:t>
            </w:r>
          </w:p>
        </w:tc>
        <w:tc>
          <w:tcPr>
            <w:tcW w:type="dxa" w:w="3402"/>
          </w:tcPr>
          <w:p>
            <w:r/>
            <w:r>
              <w:rPr>
                <w:rFonts w:ascii="Arial" w:hAnsi="Arial"/>
                <w:sz w:val="19"/>
              </w:rPr>
              <w:t>Match exactly (₹1,811,440 / ₹1,272,520)</w:t>
            </w:r>
          </w:p>
        </w:tc>
      </w:tr>
      <w:tr>
        <w:tc>
          <w:tcPr>
            <w:tcW w:type="dxa" w:w="5953"/>
          </w:tcPr>
          <w:p>
            <w:r/>
            <w:r>
              <w:rPr>
                <w:rFonts w:ascii="Arial" w:hAnsi="Arial"/>
                <w:sz w:val="19"/>
              </w:rPr>
              <w:t>Transactions dated after the analysis date (5 Oct 2026)</w:t>
            </w:r>
          </w:p>
        </w:tc>
        <w:tc>
          <w:tcPr>
            <w:tcW w:type="dxa" w:w="3402"/>
          </w:tcPr>
          <w:p>
            <w:r/>
            <w:r>
              <w:rPr>
                <w:rFonts w:ascii="Arial" w:hAnsi="Arial"/>
                <w:sz w:val="19"/>
              </w:rPr>
              <w:t>609 - REVIEW (kept, not deleted)</w:t>
            </w:r>
          </w:p>
        </w:tc>
      </w:tr>
    </w:tbl>
    <w:p/>
    <w:p>
      <w:r>
        <w:t>Cleaning actions: Date and Expiry_Date were converted from text to real dates; no rows needed to be deleted or corrected. The 609 transactions dated after 5 October 2026 were kept because the file appears to be a full-year dataset; this should be confirmed with the data owner.</w:t>
      </w:r>
    </w:p>
    <w:p>
      <w:r>
        <w:t>Fixing the #REF! error: the Medicine_ID check uses =IF(COUNTIF(medicine_master!$A$2:$A$26, C2)&gt;0, "Valid", "Invalid"). A #REF! error means the formula points to a sheet or range that does not exist (for example a misspelled tab name or a deleted column), so the reference should be created by clicking the cell range instead of typing the sheet name.</w:t>
      </w:r>
    </w:p>
    <w:p>
      <w:pPr>
        <w:pStyle w:val="Heading1"/>
      </w:pPr>
      <w:r>
        <w:t>7. Data Preparation</w:t>
      </w:r>
    </w:p>
    <w:tbl>
      <w:tblPr>
        <w:tblStyle w:val="TableGrid"/>
        <w:tblW w:type="auto" w:w="0"/>
        <w:tblLook w:firstColumn="1" w:firstRow="1" w:lastColumn="0" w:lastRow="0" w:noHBand="0" w:noVBand="1" w:val="04A0"/>
      </w:tblPr>
      <w:tblGrid>
        <w:gridCol w:w="4873"/>
        <w:gridCol w:w="4873"/>
      </w:tblGrid>
      <w:tr>
        <w:tc>
          <w:tcPr>
            <w:tcW w:type="dxa" w:w="3118"/>
            <w:shd w:val="clear" w:color="auto" w:fill="1F3864"/>
          </w:tcPr>
          <w:p>
            <w:r/>
            <w:r>
              <w:rPr>
                <w:rFonts w:ascii="Arial" w:hAnsi="Arial"/>
                <w:b/>
                <w:color w:val="FFFFFF"/>
                <w:sz w:val="19"/>
              </w:rPr>
              <w:t>Calculated column</w:t>
            </w:r>
          </w:p>
        </w:tc>
        <w:tc>
          <w:tcPr>
            <w:tcW w:type="dxa" w:w="6236"/>
            <w:shd w:val="clear" w:color="auto" w:fill="1F3864"/>
          </w:tcPr>
          <w:p>
            <w:r/>
            <w:r>
              <w:rPr>
                <w:rFonts w:ascii="Arial" w:hAnsi="Arial"/>
                <w:b/>
                <w:color w:val="FFFFFF"/>
                <w:sz w:val="19"/>
              </w:rPr>
              <w:t>Formula idea</w:t>
            </w:r>
          </w:p>
        </w:tc>
      </w:tr>
      <w:tr>
        <w:tc>
          <w:tcPr>
            <w:tcW w:type="dxa" w:w="3118"/>
          </w:tcPr>
          <w:p>
            <w:r/>
            <w:r>
              <w:rPr>
                <w:rFonts w:ascii="Arial" w:hAnsi="Arial"/>
                <w:sz w:val="19"/>
              </w:rPr>
              <w:t>Sales_Amount (transactions)</w:t>
            </w:r>
          </w:p>
        </w:tc>
        <w:tc>
          <w:tcPr>
            <w:tcW w:type="dxa" w:w="6236"/>
          </w:tcPr>
          <w:p>
            <w:r/>
            <w:r>
              <w:rPr>
                <w:rFonts w:ascii="Arial" w:hAnsi="Arial"/>
                <w:sz w:val="19"/>
              </w:rPr>
              <w:t>Quantity × Selling_Rate, only when Transaction_Type = Sale</w:t>
            </w:r>
          </w:p>
        </w:tc>
      </w:tr>
      <w:tr>
        <w:tc>
          <w:tcPr>
            <w:tcW w:type="dxa" w:w="3118"/>
          </w:tcPr>
          <w:p>
            <w:r/>
            <w:r>
              <w:rPr>
                <w:rFonts w:ascii="Arial" w:hAnsi="Arial"/>
                <w:sz w:val="19"/>
              </w:rPr>
              <w:t>Cost_of_Goods_Sold, Gross_Profit</w:t>
            </w:r>
          </w:p>
        </w:tc>
        <w:tc>
          <w:tcPr>
            <w:tcW w:type="dxa" w:w="6236"/>
          </w:tcPr>
          <w:p>
            <w:r/>
            <w:r>
              <w:rPr>
                <w:rFonts w:ascii="Arial" w:hAnsi="Arial"/>
                <w:sz w:val="19"/>
              </w:rPr>
              <w:t>Quantity × Purchase_Rate for sales; Sales_Amount − Cost</w:t>
            </w:r>
          </w:p>
        </w:tc>
      </w:tr>
      <w:tr>
        <w:tc>
          <w:tcPr>
            <w:tcW w:type="dxa" w:w="3118"/>
          </w:tcPr>
          <w:p>
            <w:r/>
            <w:r>
              <w:rPr>
                <w:rFonts w:ascii="Arial" w:hAnsi="Arial"/>
                <w:sz w:val="19"/>
              </w:rPr>
              <w:t>Purchase_Spend</w:t>
            </w:r>
          </w:p>
        </w:tc>
        <w:tc>
          <w:tcPr>
            <w:tcW w:type="dxa" w:w="6236"/>
          </w:tcPr>
          <w:p>
            <w:r/>
            <w:r>
              <w:rPr>
                <w:rFonts w:ascii="Arial" w:hAnsi="Arial"/>
                <w:sz w:val="19"/>
              </w:rPr>
              <w:t>Quantity × Purchase_Rate, only for Purchase rows</w:t>
            </w:r>
          </w:p>
        </w:tc>
      </w:tr>
      <w:tr>
        <w:tc>
          <w:tcPr>
            <w:tcW w:type="dxa" w:w="3118"/>
          </w:tcPr>
          <w:p>
            <w:r/>
            <w:r>
              <w:rPr>
                <w:rFonts w:ascii="Arial" w:hAnsi="Arial"/>
                <w:sz w:val="19"/>
              </w:rPr>
              <w:t>Year, Month_Num, Month_Name</w:t>
            </w:r>
          </w:p>
        </w:tc>
        <w:tc>
          <w:tcPr>
            <w:tcW w:type="dxa" w:w="6236"/>
          </w:tcPr>
          <w:p>
            <w:r/>
            <w:r>
              <w:rPr>
                <w:rFonts w:ascii="Arial" w:hAnsi="Arial"/>
                <w:sz w:val="19"/>
              </w:rPr>
              <w:t>YEAR(), MONTH(), TEXT() of Date</w:t>
            </w:r>
          </w:p>
        </w:tc>
      </w:tr>
      <w:tr>
        <w:tc>
          <w:tcPr>
            <w:tcW w:type="dxa" w:w="3118"/>
          </w:tcPr>
          <w:p>
            <w:r/>
            <w:r>
              <w:rPr>
                <w:rFonts w:ascii="Arial" w:hAnsi="Arial"/>
                <w:sz w:val="19"/>
              </w:rPr>
              <w:t>Days_to_Expiry, Expiry_Status</w:t>
            </w:r>
          </w:p>
        </w:tc>
        <w:tc>
          <w:tcPr>
            <w:tcW w:type="dxa" w:w="6236"/>
          </w:tcPr>
          <w:p>
            <w:r/>
            <w:r>
              <w:rPr>
                <w:rFonts w:ascii="Arial" w:hAnsi="Arial"/>
                <w:sz w:val="19"/>
              </w:rPr>
              <w:t>Expiry_Date − Analysis date; Critical ≤ 90, Expiring Soon ≤ 180, Watch ≤ 365, else Safe</w:t>
            </w:r>
          </w:p>
        </w:tc>
      </w:tr>
      <w:tr>
        <w:tc>
          <w:tcPr>
            <w:tcW w:type="dxa" w:w="3118"/>
          </w:tcPr>
          <w:p>
            <w:r/>
            <w:r>
              <w:rPr>
                <w:rFonts w:ascii="Arial" w:hAnsi="Arial"/>
                <w:sz w:val="19"/>
              </w:rPr>
              <w:t>Units_Purchased, Units_Sold, Net_Movement</w:t>
            </w:r>
          </w:p>
        </w:tc>
        <w:tc>
          <w:tcPr>
            <w:tcW w:type="dxa" w:w="6236"/>
          </w:tcPr>
          <w:p>
            <w:r/>
            <w:r>
              <w:rPr>
                <w:rFonts w:ascii="Arial" w:hAnsi="Arial"/>
                <w:sz w:val="19"/>
              </w:rPr>
              <w:t>SUMIFS of Quantity by Medicine_ID and Transaction_Type</w:t>
            </w:r>
          </w:p>
        </w:tc>
      </w:tr>
      <w:tr>
        <w:tc>
          <w:tcPr>
            <w:tcW w:type="dxa" w:w="3118"/>
          </w:tcPr>
          <w:p>
            <w:r/>
            <w:r>
              <w:rPr>
                <w:rFonts w:ascii="Arial" w:hAnsi="Arial"/>
                <w:sz w:val="19"/>
              </w:rPr>
              <w:t>Sold_to_Purchased_Ratio, Restock_Priority</w:t>
            </w:r>
          </w:p>
        </w:tc>
        <w:tc>
          <w:tcPr>
            <w:tcW w:type="dxa" w:w="6236"/>
          </w:tcPr>
          <w:p>
            <w:r/>
            <w:r>
              <w:rPr>
                <w:rFonts w:ascii="Arial" w:hAnsi="Arial"/>
                <w:sz w:val="19"/>
              </w:rPr>
              <w:t>Units sold ÷ units purchased; High ≥ 1.75, Medium ≥ 1.4, else Low (analyst-chosen thresholds)</w:t>
            </w:r>
          </w:p>
        </w:tc>
      </w:tr>
      <w:tr>
        <w:tc>
          <w:tcPr>
            <w:tcW w:type="dxa" w:w="3118"/>
          </w:tcPr>
          <w:p>
            <w:r/>
            <w:r>
              <w:rPr>
                <w:rFonts w:ascii="Arial" w:hAnsi="Arial"/>
                <w:sz w:val="19"/>
              </w:rPr>
              <w:t>Sales_Category</w:t>
            </w:r>
          </w:p>
        </w:tc>
        <w:tc>
          <w:tcPr>
            <w:tcW w:type="dxa" w:w="6236"/>
          </w:tcPr>
          <w:p>
            <w:r/>
            <w:r>
              <w:rPr>
                <w:rFonts w:ascii="Arial" w:hAnsi="Arial"/>
                <w:sz w:val="19"/>
              </w:rPr>
              <w:t>Fast / Medium / Slow using the 75th and 25th percentile of units sold</w:t>
            </w:r>
          </w:p>
        </w:tc>
      </w:tr>
    </w:tbl>
    <w:p/>
    <w:p>
      <w:r>
        <w:t>Not every row is a sale: Sales_Amount is zero for Purchase rows, so purchases never inflate revenue.</w:t>
      </w:r>
    </w:p>
    <w:p>
      <w:pPr>
        <w:pStyle w:val="Heading1"/>
      </w:pPr>
      <w:r>
        <w:t>8. Exploratory Data Analysis</w:t>
      </w:r>
    </w:p>
    <w:tbl>
      <w:tblPr>
        <w:tblStyle w:val="TableGrid"/>
        <w:tblW w:type="auto" w:w="0"/>
        <w:tblLook w:firstColumn="1" w:firstRow="1" w:lastColumn="0" w:lastRow="0" w:noHBand="0" w:noVBand="1" w:val="04A0"/>
      </w:tblPr>
      <w:tblGrid>
        <w:gridCol w:w="4873"/>
        <w:gridCol w:w="4873"/>
      </w:tblGrid>
      <w:tr>
        <w:tc>
          <w:tcPr>
            <w:tcW w:type="dxa" w:w="3969"/>
            <w:shd w:val="clear" w:color="auto" w:fill="1F3864"/>
          </w:tcPr>
          <w:p>
            <w:r/>
            <w:r>
              <w:rPr>
                <w:rFonts w:ascii="Arial" w:hAnsi="Arial"/>
                <w:b/>
                <w:color w:val="FFFFFF"/>
                <w:sz w:val="19"/>
              </w:rPr>
              <w:t>KPI</w:t>
            </w:r>
          </w:p>
        </w:tc>
        <w:tc>
          <w:tcPr>
            <w:tcW w:type="dxa" w:w="5386"/>
            <w:shd w:val="clear" w:color="auto" w:fill="1F3864"/>
          </w:tcPr>
          <w:p>
            <w:r/>
            <w:r>
              <w:rPr>
                <w:rFonts w:ascii="Arial" w:hAnsi="Arial"/>
                <w:b/>
                <w:color w:val="FFFFFF"/>
                <w:sz w:val="19"/>
              </w:rPr>
              <w:t>Value</w:t>
            </w:r>
          </w:p>
        </w:tc>
      </w:tr>
      <w:tr>
        <w:tc>
          <w:tcPr>
            <w:tcW w:type="dxa" w:w="3969"/>
          </w:tcPr>
          <w:p>
            <w:r/>
            <w:r>
              <w:rPr>
                <w:rFonts w:ascii="Arial" w:hAnsi="Arial"/>
                <w:sz w:val="19"/>
              </w:rPr>
              <w:t>Total transactions</w:t>
            </w:r>
          </w:p>
        </w:tc>
        <w:tc>
          <w:tcPr>
            <w:tcW w:type="dxa" w:w="5386"/>
          </w:tcPr>
          <w:p>
            <w:r/>
            <w:r>
              <w:rPr>
                <w:rFonts w:ascii="Arial" w:hAnsi="Arial"/>
                <w:sz w:val="19"/>
              </w:rPr>
              <w:t>2,600 (1,594 sales, 1,006 purchases)</w:t>
            </w:r>
          </w:p>
        </w:tc>
      </w:tr>
      <w:tr>
        <w:tc>
          <w:tcPr>
            <w:tcW w:type="dxa" w:w="3969"/>
          </w:tcPr>
          <w:p>
            <w:r/>
            <w:r>
              <w:rPr>
                <w:rFonts w:ascii="Arial" w:hAnsi="Arial"/>
                <w:sz w:val="19"/>
              </w:rPr>
              <w:t>Units sold / units purchased</w:t>
            </w:r>
          </w:p>
        </w:tc>
        <w:tc>
          <w:tcPr>
            <w:tcW w:type="dxa" w:w="5386"/>
          </w:tcPr>
          <w:p>
            <w:r/>
            <w:r>
              <w:rPr>
                <w:rFonts w:ascii="Arial" w:hAnsi="Arial"/>
                <w:sz w:val="19"/>
              </w:rPr>
              <w:t>37,285 / 23,595</w:t>
            </w:r>
          </w:p>
        </w:tc>
      </w:tr>
      <w:tr>
        <w:tc>
          <w:tcPr>
            <w:tcW w:type="dxa" w:w="3969"/>
          </w:tcPr>
          <w:p>
            <w:r/>
            <w:r>
              <w:rPr>
                <w:rFonts w:ascii="Arial" w:hAnsi="Arial"/>
                <w:sz w:val="19"/>
              </w:rPr>
              <w:t>Total revenue</w:t>
            </w:r>
          </w:p>
        </w:tc>
        <w:tc>
          <w:tcPr>
            <w:tcW w:type="dxa" w:w="5386"/>
          </w:tcPr>
          <w:p>
            <w:r/>
            <w:r>
              <w:rPr>
                <w:rFonts w:ascii="Arial" w:hAnsi="Arial"/>
                <w:sz w:val="19"/>
              </w:rPr>
              <w:t>₹1,811,440</w:t>
            </w:r>
          </w:p>
        </w:tc>
      </w:tr>
      <w:tr>
        <w:tc>
          <w:tcPr>
            <w:tcW w:type="dxa" w:w="3969"/>
          </w:tcPr>
          <w:p>
            <w:r/>
            <w:r>
              <w:rPr>
                <w:rFonts w:ascii="Arial" w:hAnsi="Arial"/>
                <w:sz w:val="19"/>
              </w:rPr>
              <w:t>Gross profit (margin)</w:t>
            </w:r>
          </w:p>
        </w:tc>
        <w:tc>
          <w:tcPr>
            <w:tcW w:type="dxa" w:w="5386"/>
          </w:tcPr>
          <w:p>
            <w:r/>
            <w:r>
              <w:rPr>
                <w:rFonts w:ascii="Arial" w:hAnsi="Arial"/>
                <w:sz w:val="19"/>
              </w:rPr>
              <w:t>₹538,920 (29.8%)</w:t>
            </w:r>
          </w:p>
        </w:tc>
      </w:tr>
      <w:tr>
        <w:tc>
          <w:tcPr>
            <w:tcW w:type="dxa" w:w="3969"/>
          </w:tcPr>
          <w:p>
            <w:r/>
            <w:r>
              <w:rPr>
                <w:rFonts w:ascii="Arial" w:hAnsi="Arial"/>
                <w:sz w:val="19"/>
              </w:rPr>
              <w:t>Average units per transaction</w:t>
            </w:r>
          </w:p>
        </w:tc>
        <w:tc>
          <w:tcPr>
            <w:tcW w:type="dxa" w:w="5386"/>
          </w:tcPr>
          <w:p>
            <w:r/>
            <w:r>
              <w:rPr>
                <w:rFonts w:ascii="Arial" w:hAnsi="Arial"/>
                <w:sz w:val="19"/>
              </w:rPr>
              <w:t>23.4</w:t>
            </w:r>
          </w:p>
        </w:tc>
      </w:tr>
      <w:tr>
        <w:tc>
          <w:tcPr>
            <w:tcW w:type="dxa" w:w="3969"/>
          </w:tcPr>
          <w:p>
            <w:r/>
            <w:r>
              <w:rPr>
                <w:rFonts w:ascii="Arial" w:hAnsi="Arial"/>
                <w:sz w:val="19"/>
              </w:rPr>
              <w:t>Number of medicines / categories</w:t>
            </w:r>
          </w:p>
        </w:tc>
        <w:tc>
          <w:tcPr>
            <w:tcW w:type="dxa" w:w="5386"/>
          </w:tcPr>
          <w:p>
            <w:r/>
            <w:r>
              <w:rPr>
                <w:rFonts w:ascii="Arial" w:hAnsi="Arial"/>
                <w:sz w:val="19"/>
              </w:rPr>
              <w:t>25 / 10</w:t>
            </w:r>
          </w:p>
        </w:tc>
      </w:tr>
      <w:tr>
        <w:tc>
          <w:tcPr>
            <w:tcW w:type="dxa" w:w="3969"/>
          </w:tcPr>
          <w:p>
            <w:r/>
            <w:r>
              <w:rPr>
                <w:rFonts w:ascii="Arial" w:hAnsi="Arial"/>
                <w:sz w:val="19"/>
              </w:rPr>
              <w:t>Best-selling medicine (units)</w:t>
            </w:r>
          </w:p>
        </w:tc>
        <w:tc>
          <w:tcPr>
            <w:tcW w:type="dxa" w:w="5386"/>
          </w:tcPr>
          <w:p>
            <w:r/>
            <w:r>
              <w:rPr>
                <w:rFonts w:ascii="Arial" w:hAnsi="Arial"/>
                <w:sz w:val="19"/>
              </w:rPr>
              <w:t>Glimepiride 2mg (2,050)</w:t>
            </w:r>
          </w:p>
        </w:tc>
      </w:tr>
      <w:tr>
        <w:tc>
          <w:tcPr>
            <w:tcW w:type="dxa" w:w="3969"/>
          </w:tcPr>
          <w:p>
            <w:r/>
            <w:r>
              <w:rPr>
                <w:rFonts w:ascii="Arial" w:hAnsi="Arial"/>
                <w:sz w:val="19"/>
              </w:rPr>
              <w:t>Highest-revenue medicine</w:t>
            </w:r>
          </w:p>
        </w:tc>
        <w:tc>
          <w:tcPr>
            <w:tcW w:type="dxa" w:w="5386"/>
          </w:tcPr>
          <w:p>
            <w:r/>
            <w:r>
              <w:rPr>
                <w:rFonts w:ascii="Arial" w:hAnsi="Arial"/>
                <w:sz w:val="19"/>
              </w:rPr>
              <w:t>Insulin Injection (₹378,000)</w:t>
            </w:r>
          </w:p>
        </w:tc>
      </w:tr>
      <w:tr>
        <w:tc>
          <w:tcPr>
            <w:tcW w:type="dxa" w:w="3969"/>
          </w:tcPr>
          <w:p>
            <w:r/>
            <w:r>
              <w:rPr>
                <w:rFonts w:ascii="Arial" w:hAnsi="Arial"/>
                <w:sz w:val="19"/>
              </w:rPr>
              <w:t>Best category by revenue</w:t>
            </w:r>
          </w:p>
        </w:tc>
        <w:tc>
          <w:tcPr>
            <w:tcW w:type="dxa" w:w="5386"/>
          </w:tcPr>
          <w:p>
            <w:r/>
            <w:r>
              <w:rPr>
                <w:rFonts w:ascii="Arial" w:hAnsi="Arial"/>
                <w:sz w:val="19"/>
              </w:rPr>
              <w:t>Diabetes (₹517,360, 28.6%)</w:t>
            </w:r>
          </w:p>
        </w:tc>
      </w:tr>
      <w:tr>
        <w:tc>
          <w:tcPr>
            <w:tcW w:type="dxa" w:w="3969"/>
          </w:tcPr>
          <w:p>
            <w:r/>
            <w:r>
              <w:rPr>
                <w:rFonts w:ascii="Arial" w:hAnsi="Arial"/>
                <w:sz w:val="19"/>
              </w:rPr>
              <w:t>High-priority restock medicines</w:t>
            </w:r>
          </w:p>
        </w:tc>
        <w:tc>
          <w:tcPr>
            <w:tcW w:type="dxa" w:w="5386"/>
          </w:tcPr>
          <w:p>
            <w:r/>
            <w:r>
              <w:rPr>
                <w:rFonts w:ascii="Arial" w:hAnsi="Arial"/>
                <w:sz w:val="19"/>
              </w:rPr>
              <w:t>9</w:t>
            </w:r>
          </w:p>
        </w:tc>
      </w:tr>
      <w:tr>
        <w:tc>
          <w:tcPr>
            <w:tcW w:type="dxa" w:w="3969"/>
          </w:tcPr>
          <w:p>
            <w:r/>
            <w:r>
              <w:rPr>
                <w:rFonts w:ascii="Arial" w:hAnsi="Arial"/>
                <w:sz w:val="19"/>
              </w:rPr>
              <w:t>Medicines expiring within 1 year</w:t>
            </w:r>
          </w:p>
        </w:tc>
        <w:tc>
          <w:tcPr>
            <w:tcW w:type="dxa" w:w="5386"/>
          </w:tcPr>
          <w:p>
            <w:r/>
            <w:r>
              <w:rPr>
                <w:rFonts w:ascii="Arial" w:hAnsi="Arial"/>
                <w:sz w:val="19"/>
              </w:rPr>
              <w:t>11</w:t>
            </w:r>
          </w:p>
        </w:tc>
      </w:tr>
    </w:tbl>
    <w:p/>
    <w:p>
      <w:pPr>
        <w:pStyle w:val="Heading2"/>
      </w:pPr>
      <w:r>
        <w:t>Revenue by category</w:t>
      </w:r>
    </w:p>
    <w:tbl>
      <w:tblPr>
        <w:tblStyle w:val="TableGrid"/>
        <w:tblW w:type="auto" w:w="0"/>
        <w:tblLook w:firstColumn="1" w:firstRow="1" w:lastColumn="0" w:lastRow="0" w:noHBand="0" w:noVBand="1" w:val="04A0"/>
      </w:tblPr>
      <w:tblGrid>
        <w:gridCol w:w="2436"/>
        <w:gridCol w:w="2436"/>
        <w:gridCol w:w="2436"/>
        <w:gridCol w:w="2436"/>
      </w:tblGrid>
      <w:tr>
        <w:tc>
          <w:tcPr>
            <w:tcW w:type="dxa" w:w="2551"/>
            <w:shd w:val="clear" w:color="auto" w:fill="1F3864"/>
          </w:tcPr>
          <w:p>
            <w:r/>
            <w:r>
              <w:rPr>
                <w:rFonts w:ascii="Arial" w:hAnsi="Arial"/>
                <w:b/>
                <w:color w:val="FFFFFF"/>
                <w:sz w:val="19"/>
              </w:rPr>
              <w:t>Category</w:t>
            </w:r>
          </w:p>
        </w:tc>
        <w:tc>
          <w:tcPr>
            <w:tcW w:type="dxa" w:w="2268"/>
            <w:shd w:val="clear" w:color="auto" w:fill="1F3864"/>
          </w:tcPr>
          <w:p>
            <w:r/>
            <w:r>
              <w:rPr>
                <w:rFonts w:ascii="Arial" w:hAnsi="Arial"/>
                <w:b/>
                <w:color w:val="FFFFFF"/>
                <w:sz w:val="19"/>
              </w:rPr>
              <w:t>Revenue</w:t>
            </w:r>
          </w:p>
        </w:tc>
        <w:tc>
          <w:tcPr>
            <w:tcW w:type="dxa" w:w="2268"/>
            <w:shd w:val="clear" w:color="auto" w:fill="1F3864"/>
          </w:tcPr>
          <w:p>
            <w:r/>
            <w:r>
              <w:rPr>
                <w:rFonts w:ascii="Arial" w:hAnsi="Arial"/>
                <w:b/>
                <w:color w:val="FFFFFF"/>
                <w:sz w:val="19"/>
              </w:rPr>
              <w:t>% of revenue</w:t>
            </w:r>
          </w:p>
        </w:tc>
        <w:tc>
          <w:tcPr>
            <w:tcW w:type="dxa" w:w="2268"/>
            <w:shd w:val="clear" w:color="auto" w:fill="1F3864"/>
          </w:tcPr>
          <w:p>
            <w:r/>
            <w:r>
              <w:rPr>
                <w:rFonts w:ascii="Arial" w:hAnsi="Arial"/>
                <w:b/>
                <w:color w:val="FFFFFF"/>
                <w:sz w:val="19"/>
              </w:rPr>
              <w:t>Units sold</w:t>
            </w:r>
          </w:p>
        </w:tc>
      </w:tr>
      <w:tr>
        <w:tc>
          <w:tcPr>
            <w:tcW w:type="dxa" w:w="2551"/>
          </w:tcPr>
          <w:p>
            <w:r/>
            <w:r>
              <w:rPr>
                <w:rFonts w:ascii="Arial" w:hAnsi="Arial"/>
                <w:sz w:val="19"/>
              </w:rPr>
              <w:t>Diabetes</w:t>
            </w:r>
          </w:p>
        </w:tc>
        <w:tc>
          <w:tcPr>
            <w:tcW w:type="dxa" w:w="2268"/>
          </w:tcPr>
          <w:p>
            <w:r/>
            <w:r>
              <w:rPr>
                <w:rFonts w:ascii="Arial" w:hAnsi="Arial"/>
                <w:sz w:val="19"/>
              </w:rPr>
              <w:t>₹517,360</w:t>
            </w:r>
          </w:p>
        </w:tc>
        <w:tc>
          <w:tcPr>
            <w:tcW w:type="dxa" w:w="2268"/>
          </w:tcPr>
          <w:p>
            <w:r/>
            <w:r>
              <w:rPr>
                <w:rFonts w:ascii="Arial" w:hAnsi="Arial"/>
                <w:sz w:val="19"/>
              </w:rPr>
              <w:t>28.6%</w:t>
            </w:r>
          </w:p>
        </w:tc>
        <w:tc>
          <w:tcPr>
            <w:tcW w:type="dxa" w:w="2268"/>
          </w:tcPr>
          <w:p>
            <w:r/>
            <w:r>
              <w:rPr>
                <w:rFonts w:ascii="Arial" w:hAnsi="Arial"/>
                <w:sz w:val="19"/>
              </w:rPr>
              <w:t>5,095</w:t>
            </w:r>
          </w:p>
        </w:tc>
      </w:tr>
      <w:tr>
        <w:tc>
          <w:tcPr>
            <w:tcW w:type="dxa" w:w="2551"/>
          </w:tcPr>
          <w:p>
            <w:r/>
            <w:r>
              <w:rPr>
                <w:rFonts w:ascii="Arial" w:hAnsi="Arial"/>
                <w:sz w:val="19"/>
              </w:rPr>
              <w:t>Cold &amp; Cough</w:t>
            </w:r>
          </w:p>
        </w:tc>
        <w:tc>
          <w:tcPr>
            <w:tcW w:type="dxa" w:w="2268"/>
          </w:tcPr>
          <w:p>
            <w:r/>
            <w:r>
              <w:rPr>
                <w:rFonts w:ascii="Arial" w:hAnsi="Arial"/>
                <w:sz w:val="19"/>
              </w:rPr>
              <w:t>₹232,760</w:t>
            </w:r>
          </w:p>
        </w:tc>
        <w:tc>
          <w:tcPr>
            <w:tcW w:type="dxa" w:w="2268"/>
          </w:tcPr>
          <w:p>
            <w:r/>
            <w:r>
              <w:rPr>
                <w:rFonts w:ascii="Arial" w:hAnsi="Arial"/>
                <w:sz w:val="19"/>
              </w:rPr>
              <w:t>12.8%</w:t>
            </w:r>
          </w:p>
        </w:tc>
        <w:tc>
          <w:tcPr>
            <w:tcW w:type="dxa" w:w="2268"/>
          </w:tcPr>
          <w:p>
            <w:r/>
            <w:r>
              <w:rPr>
                <w:rFonts w:ascii="Arial" w:hAnsi="Arial"/>
                <w:sz w:val="19"/>
              </w:rPr>
              <w:t>3,055</w:t>
            </w:r>
          </w:p>
        </w:tc>
      </w:tr>
      <w:tr>
        <w:tc>
          <w:tcPr>
            <w:tcW w:type="dxa" w:w="2551"/>
          </w:tcPr>
          <w:p>
            <w:r/>
            <w:r>
              <w:rPr>
                <w:rFonts w:ascii="Arial" w:hAnsi="Arial"/>
                <w:sz w:val="19"/>
              </w:rPr>
              <w:t>Vitamin</w:t>
            </w:r>
          </w:p>
        </w:tc>
        <w:tc>
          <w:tcPr>
            <w:tcW w:type="dxa" w:w="2268"/>
          </w:tcPr>
          <w:p>
            <w:r/>
            <w:r>
              <w:rPr>
                <w:rFonts w:ascii="Arial" w:hAnsi="Arial"/>
                <w:sz w:val="19"/>
              </w:rPr>
              <w:t>₹171,340</w:t>
            </w:r>
          </w:p>
        </w:tc>
        <w:tc>
          <w:tcPr>
            <w:tcW w:type="dxa" w:w="2268"/>
          </w:tcPr>
          <w:p>
            <w:r/>
            <w:r>
              <w:rPr>
                <w:rFonts w:ascii="Arial" w:hAnsi="Arial"/>
                <w:sz w:val="19"/>
              </w:rPr>
              <w:t>9.5%</w:t>
            </w:r>
          </w:p>
        </w:tc>
        <w:tc>
          <w:tcPr>
            <w:tcW w:type="dxa" w:w="2268"/>
          </w:tcPr>
          <w:p>
            <w:r/>
            <w:r>
              <w:rPr>
                <w:rFonts w:ascii="Arial" w:hAnsi="Arial"/>
                <w:sz w:val="19"/>
              </w:rPr>
              <w:t>2,695</w:t>
            </w:r>
          </w:p>
        </w:tc>
      </w:tr>
      <w:tr>
        <w:tc>
          <w:tcPr>
            <w:tcW w:type="dxa" w:w="2551"/>
          </w:tcPr>
          <w:p>
            <w:r/>
            <w:r>
              <w:rPr>
                <w:rFonts w:ascii="Arial" w:hAnsi="Arial"/>
                <w:sz w:val="19"/>
              </w:rPr>
              <w:t>Pain Relief</w:t>
            </w:r>
          </w:p>
        </w:tc>
        <w:tc>
          <w:tcPr>
            <w:tcW w:type="dxa" w:w="2268"/>
          </w:tcPr>
          <w:p>
            <w:r/>
            <w:r>
              <w:rPr>
                <w:rFonts w:ascii="Arial" w:hAnsi="Arial"/>
                <w:sz w:val="19"/>
              </w:rPr>
              <w:t>₹168,520</w:t>
            </w:r>
          </w:p>
        </w:tc>
        <w:tc>
          <w:tcPr>
            <w:tcW w:type="dxa" w:w="2268"/>
          </w:tcPr>
          <w:p>
            <w:r/>
            <w:r>
              <w:rPr>
                <w:rFonts w:ascii="Arial" w:hAnsi="Arial"/>
                <w:sz w:val="19"/>
              </w:rPr>
              <w:t>9.3%</w:t>
            </w:r>
          </w:p>
        </w:tc>
        <w:tc>
          <w:tcPr>
            <w:tcW w:type="dxa" w:w="2268"/>
          </w:tcPr>
          <w:p>
            <w:r/>
            <w:r>
              <w:rPr>
                <w:rFonts w:ascii="Arial" w:hAnsi="Arial"/>
                <w:sz w:val="19"/>
              </w:rPr>
              <w:t>4,600</w:t>
            </w:r>
          </w:p>
        </w:tc>
      </w:tr>
      <w:tr>
        <w:tc>
          <w:tcPr>
            <w:tcW w:type="dxa" w:w="2551"/>
          </w:tcPr>
          <w:p>
            <w:r/>
            <w:r>
              <w:rPr>
                <w:rFonts w:ascii="Arial" w:hAnsi="Arial"/>
                <w:sz w:val="19"/>
              </w:rPr>
              <w:t>Dermatology</w:t>
            </w:r>
          </w:p>
        </w:tc>
        <w:tc>
          <w:tcPr>
            <w:tcW w:type="dxa" w:w="2268"/>
          </w:tcPr>
          <w:p>
            <w:r/>
            <w:r>
              <w:rPr>
                <w:rFonts w:ascii="Arial" w:hAnsi="Arial"/>
                <w:sz w:val="19"/>
              </w:rPr>
              <w:t>₹162,960</w:t>
            </w:r>
          </w:p>
        </w:tc>
        <w:tc>
          <w:tcPr>
            <w:tcW w:type="dxa" w:w="2268"/>
          </w:tcPr>
          <w:p>
            <w:r/>
            <w:r>
              <w:rPr>
                <w:rFonts w:ascii="Arial" w:hAnsi="Arial"/>
                <w:sz w:val="19"/>
              </w:rPr>
              <w:t>9.0%</w:t>
            </w:r>
          </w:p>
        </w:tc>
        <w:tc>
          <w:tcPr>
            <w:tcW w:type="dxa" w:w="2268"/>
          </w:tcPr>
          <w:p>
            <w:r/>
            <w:r>
              <w:rPr>
                <w:rFonts w:ascii="Arial" w:hAnsi="Arial"/>
                <w:sz w:val="19"/>
              </w:rPr>
              <w:t>3,105</w:t>
            </w:r>
          </w:p>
        </w:tc>
      </w:tr>
      <w:tr>
        <w:tc>
          <w:tcPr>
            <w:tcW w:type="dxa" w:w="2551"/>
          </w:tcPr>
          <w:p>
            <w:r/>
            <w:r>
              <w:rPr>
                <w:rFonts w:ascii="Arial" w:hAnsi="Arial"/>
                <w:sz w:val="19"/>
              </w:rPr>
              <w:t>Antibiotic</w:t>
            </w:r>
          </w:p>
        </w:tc>
        <w:tc>
          <w:tcPr>
            <w:tcW w:type="dxa" w:w="2268"/>
          </w:tcPr>
          <w:p>
            <w:r/>
            <w:r>
              <w:rPr>
                <w:rFonts w:ascii="Arial" w:hAnsi="Arial"/>
                <w:sz w:val="19"/>
              </w:rPr>
              <w:t>₹138,000</w:t>
            </w:r>
          </w:p>
        </w:tc>
        <w:tc>
          <w:tcPr>
            <w:tcW w:type="dxa" w:w="2268"/>
          </w:tcPr>
          <w:p>
            <w:r/>
            <w:r>
              <w:rPr>
                <w:rFonts w:ascii="Arial" w:hAnsi="Arial"/>
                <w:sz w:val="19"/>
              </w:rPr>
              <w:t>7.6%</w:t>
            </w:r>
          </w:p>
        </w:tc>
        <w:tc>
          <w:tcPr>
            <w:tcW w:type="dxa" w:w="2268"/>
          </w:tcPr>
          <w:p>
            <w:r/>
            <w:r>
              <w:rPr>
                <w:rFonts w:ascii="Arial" w:hAnsi="Arial"/>
                <w:sz w:val="19"/>
              </w:rPr>
              <w:t>3,060</w:t>
            </w:r>
          </w:p>
        </w:tc>
      </w:tr>
      <w:tr>
        <w:tc>
          <w:tcPr>
            <w:tcW w:type="dxa" w:w="2551"/>
          </w:tcPr>
          <w:p>
            <w:r/>
            <w:r>
              <w:rPr>
                <w:rFonts w:ascii="Arial" w:hAnsi="Arial"/>
                <w:sz w:val="19"/>
              </w:rPr>
              <w:t>First Aid</w:t>
            </w:r>
          </w:p>
        </w:tc>
        <w:tc>
          <w:tcPr>
            <w:tcW w:type="dxa" w:w="2268"/>
          </w:tcPr>
          <w:p>
            <w:r/>
            <w:r>
              <w:rPr>
                <w:rFonts w:ascii="Arial" w:hAnsi="Arial"/>
                <w:sz w:val="19"/>
              </w:rPr>
              <w:t>₹132,900</w:t>
            </w:r>
          </w:p>
        </w:tc>
        <w:tc>
          <w:tcPr>
            <w:tcW w:type="dxa" w:w="2268"/>
          </w:tcPr>
          <w:p>
            <w:r/>
            <w:r>
              <w:rPr>
                <w:rFonts w:ascii="Arial" w:hAnsi="Arial"/>
                <w:sz w:val="19"/>
              </w:rPr>
              <w:t>7.3%</w:t>
            </w:r>
          </w:p>
        </w:tc>
        <w:tc>
          <w:tcPr>
            <w:tcW w:type="dxa" w:w="2268"/>
          </w:tcPr>
          <w:p>
            <w:r/>
            <w:r>
              <w:rPr>
                <w:rFonts w:ascii="Arial" w:hAnsi="Arial"/>
                <w:sz w:val="19"/>
              </w:rPr>
              <w:t>4,025</w:t>
            </w:r>
          </w:p>
        </w:tc>
      </w:tr>
      <w:tr>
        <w:tc>
          <w:tcPr>
            <w:tcW w:type="dxa" w:w="2551"/>
          </w:tcPr>
          <w:p>
            <w:r/>
            <w:r>
              <w:rPr>
                <w:rFonts w:ascii="Arial" w:hAnsi="Arial"/>
                <w:sz w:val="19"/>
              </w:rPr>
              <w:t>Allergy</w:t>
            </w:r>
          </w:p>
        </w:tc>
        <w:tc>
          <w:tcPr>
            <w:tcW w:type="dxa" w:w="2268"/>
          </w:tcPr>
          <w:p>
            <w:r/>
            <w:r>
              <w:rPr>
                <w:rFonts w:ascii="Arial" w:hAnsi="Arial"/>
                <w:sz w:val="19"/>
              </w:rPr>
              <w:t>₹107,350</w:t>
            </w:r>
          </w:p>
        </w:tc>
        <w:tc>
          <w:tcPr>
            <w:tcW w:type="dxa" w:w="2268"/>
          </w:tcPr>
          <w:p>
            <w:r/>
            <w:r>
              <w:rPr>
                <w:rFonts w:ascii="Arial" w:hAnsi="Arial"/>
                <w:sz w:val="19"/>
              </w:rPr>
              <w:t>5.9%</w:t>
            </w:r>
          </w:p>
        </w:tc>
        <w:tc>
          <w:tcPr>
            <w:tcW w:type="dxa" w:w="2268"/>
          </w:tcPr>
          <w:p>
            <w:r/>
            <w:r>
              <w:rPr>
                <w:rFonts w:ascii="Arial" w:hAnsi="Arial"/>
                <w:sz w:val="19"/>
              </w:rPr>
              <w:t>4,420</w:t>
            </w:r>
          </w:p>
        </w:tc>
      </w:tr>
      <w:tr>
        <w:tc>
          <w:tcPr>
            <w:tcW w:type="dxa" w:w="2551"/>
          </w:tcPr>
          <w:p>
            <w:r/>
            <w:r>
              <w:rPr>
                <w:rFonts w:ascii="Arial" w:hAnsi="Arial"/>
                <w:sz w:val="19"/>
              </w:rPr>
              <w:t>Gastric</w:t>
            </w:r>
          </w:p>
        </w:tc>
        <w:tc>
          <w:tcPr>
            <w:tcW w:type="dxa" w:w="2268"/>
          </w:tcPr>
          <w:p>
            <w:r/>
            <w:r>
              <w:rPr>
                <w:rFonts w:ascii="Arial" w:hAnsi="Arial"/>
                <w:sz w:val="19"/>
              </w:rPr>
              <w:t>₹90,475</w:t>
            </w:r>
          </w:p>
        </w:tc>
        <w:tc>
          <w:tcPr>
            <w:tcW w:type="dxa" w:w="2268"/>
          </w:tcPr>
          <w:p>
            <w:r/>
            <w:r>
              <w:rPr>
                <w:rFonts w:ascii="Arial" w:hAnsi="Arial"/>
                <w:sz w:val="19"/>
              </w:rPr>
              <w:t>5.0%</w:t>
            </w:r>
          </w:p>
        </w:tc>
        <w:tc>
          <w:tcPr>
            <w:tcW w:type="dxa" w:w="2268"/>
          </w:tcPr>
          <w:p>
            <w:r/>
            <w:r>
              <w:rPr>
                <w:rFonts w:ascii="Arial" w:hAnsi="Arial"/>
                <w:sz w:val="19"/>
              </w:rPr>
              <w:t>2,945</w:t>
            </w:r>
          </w:p>
        </w:tc>
      </w:tr>
      <w:tr>
        <w:tc>
          <w:tcPr>
            <w:tcW w:type="dxa" w:w="2551"/>
          </w:tcPr>
          <w:p>
            <w:r/>
            <w:r>
              <w:rPr>
                <w:rFonts w:ascii="Arial" w:hAnsi="Arial"/>
                <w:sz w:val="19"/>
              </w:rPr>
              <w:t>Cardiac</w:t>
            </w:r>
          </w:p>
        </w:tc>
        <w:tc>
          <w:tcPr>
            <w:tcW w:type="dxa" w:w="2268"/>
          </w:tcPr>
          <w:p>
            <w:r/>
            <w:r>
              <w:rPr>
                <w:rFonts w:ascii="Arial" w:hAnsi="Arial"/>
                <w:sz w:val="19"/>
              </w:rPr>
              <w:t>₹89,775</w:t>
            </w:r>
          </w:p>
        </w:tc>
        <w:tc>
          <w:tcPr>
            <w:tcW w:type="dxa" w:w="2268"/>
          </w:tcPr>
          <w:p>
            <w:r/>
            <w:r>
              <w:rPr>
                <w:rFonts w:ascii="Arial" w:hAnsi="Arial"/>
                <w:sz w:val="19"/>
              </w:rPr>
              <w:t>5.0%</w:t>
            </w:r>
          </w:p>
        </w:tc>
        <w:tc>
          <w:tcPr>
            <w:tcW w:type="dxa" w:w="2268"/>
          </w:tcPr>
          <w:p>
            <w:r/>
            <w:r>
              <w:rPr>
                <w:rFonts w:ascii="Arial" w:hAnsi="Arial"/>
                <w:sz w:val="19"/>
              </w:rPr>
              <w:t>4,285</w:t>
            </w:r>
          </w:p>
        </w:tc>
      </w:tr>
    </w:tbl>
    <w:p/>
    <w:p>
      <w:pPr>
        <w:pStyle w:val="Heading1"/>
      </w:pPr>
      <w:r>
        <w:t>9. Pivot Tables</w:t>
      </w:r>
    </w:p>
    <w:p>
      <w:r>
        <w:t>The workbook contains pivot-style summary tables built with SUMIFS/COUNTIF so they update automatically. To build real Google Sheets Pivot Tables, copy the transactions sheet range A1:Q2601, then: Insert → Pivot table → choose the range → New sheet → Create. In the pivot editor set:</w:t>
      </w:r>
    </w:p>
    <w:tbl>
      <w:tblPr>
        <w:tblStyle w:val="TableGrid"/>
        <w:tblW w:type="auto" w:w="0"/>
        <w:tblLook w:firstColumn="1" w:firstRow="1" w:lastColumn="0" w:lastRow="0" w:noHBand="0" w:noVBand="1" w:val="04A0"/>
      </w:tblPr>
      <w:tblGrid>
        <w:gridCol w:w="2436"/>
        <w:gridCol w:w="2436"/>
        <w:gridCol w:w="2436"/>
        <w:gridCol w:w="2436"/>
      </w:tblGrid>
      <w:tr>
        <w:tc>
          <w:tcPr>
            <w:tcW w:type="dxa" w:w="2268"/>
            <w:shd w:val="clear" w:color="auto" w:fill="1F3864"/>
          </w:tcPr>
          <w:p>
            <w:r/>
            <w:r>
              <w:rPr>
                <w:rFonts w:ascii="Arial" w:hAnsi="Arial"/>
                <w:b/>
                <w:color w:val="FFFFFF"/>
                <w:sz w:val="19"/>
              </w:rPr>
              <w:t>Pivot table</w:t>
            </w:r>
          </w:p>
        </w:tc>
        <w:tc>
          <w:tcPr>
            <w:tcW w:type="dxa" w:w="2381"/>
            <w:shd w:val="clear" w:color="auto" w:fill="1F3864"/>
          </w:tcPr>
          <w:p>
            <w:r/>
            <w:r>
              <w:rPr>
                <w:rFonts w:ascii="Arial" w:hAnsi="Arial"/>
                <w:b/>
                <w:color w:val="FFFFFF"/>
                <w:sz w:val="19"/>
              </w:rPr>
              <w:t>Rows</w:t>
            </w:r>
          </w:p>
        </w:tc>
        <w:tc>
          <w:tcPr>
            <w:tcW w:type="dxa" w:w="2948"/>
            <w:shd w:val="clear" w:color="auto" w:fill="1F3864"/>
          </w:tcPr>
          <w:p>
            <w:r/>
            <w:r>
              <w:rPr>
                <w:rFonts w:ascii="Arial" w:hAnsi="Arial"/>
                <w:b/>
                <w:color w:val="FFFFFF"/>
                <w:sz w:val="19"/>
              </w:rPr>
              <w:t>Values</w:t>
            </w:r>
          </w:p>
        </w:tc>
        <w:tc>
          <w:tcPr>
            <w:tcW w:type="dxa" w:w="1701"/>
            <w:shd w:val="clear" w:color="auto" w:fill="1F3864"/>
          </w:tcPr>
          <w:p>
            <w:r/>
            <w:r>
              <w:rPr>
                <w:rFonts w:ascii="Arial" w:hAnsi="Arial"/>
                <w:b/>
                <w:color w:val="FFFFFF"/>
                <w:sz w:val="19"/>
              </w:rPr>
              <w:t>Filter</w:t>
            </w:r>
          </w:p>
        </w:tc>
      </w:tr>
      <w:tr>
        <w:tc>
          <w:tcPr>
            <w:tcW w:type="dxa" w:w="2268"/>
          </w:tcPr>
          <w:p>
            <w:r/>
            <w:r>
              <w:rPr>
                <w:rFonts w:ascii="Arial" w:hAnsi="Arial"/>
                <w:sz w:val="19"/>
              </w:rPr>
              <w:t>Sales by Medicine</w:t>
            </w:r>
          </w:p>
        </w:tc>
        <w:tc>
          <w:tcPr>
            <w:tcW w:type="dxa" w:w="2381"/>
          </w:tcPr>
          <w:p>
            <w:r/>
            <w:r>
              <w:rPr>
                <w:rFonts w:ascii="Arial" w:hAnsi="Arial"/>
                <w:sz w:val="19"/>
              </w:rPr>
              <w:t>Medicine_Name</w:t>
            </w:r>
          </w:p>
        </w:tc>
        <w:tc>
          <w:tcPr>
            <w:tcW w:type="dxa" w:w="2948"/>
          </w:tcPr>
          <w:p>
            <w:r/>
            <w:r>
              <w:rPr>
                <w:rFonts w:ascii="Arial" w:hAnsi="Arial"/>
                <w:sz w:val="19"/>
              </w:rPr>
              <w:t>SUM of Sales_Amount</w:t>
            </w:r>
          </w:p>
        </w:tc>
        <w:tc>
          <w:tcPr>
            <w:tcW w:type="dxa" w:w="1701"/>
          </w:tcPr>
          <w:p>
            <w:r/>
            <w:r>
              <w:rPr>
                <w:rFonts w:ascii="Arial" w:hAnsi="Arial"/>
                <w:sz w:val="19"/>
              </w:rPr>
            </w:r>
          </w:p>
        </w:tc>
      </w:tr>
      <w:tr>
        <w:tc>
          <w:tcPr>
            <w:tcW w:type="dxa" w:w="2268"/>
          </w:tcPr>
          <w:p>
            <w:r/>
            <w:r>
              <w:rPr>
                <w:rFonts w:ascii="Arial" w:hAnsi="Arial"/>
                <w:sz w:val="19"/>
              </w:rPr>
              <w:t>Sales by Category</w:t>
            </w:r>
          </w:p>
        </w:tc>
        <w:tc>
          <w:tcPr>
            <w:tcW w:type="dxa" w:w="2381"/>
          </w:tcPr>
          <w:p>
            <w:r/>
            <w:r>
              <w:rPr>
                <w:rFonts w:ascii="Arial" w:hAnsi="Arial"/>
                <w:sz w:val="19"/>
              </w:rPr>
              <w:t>Category</w:t>
            </w:r>
          </w:p>
        </w:tc>
        <w:tc>
          <w:tcPr>
            <w:tcW w:type="dxa" w:w="2948"/>
          </w:tcPr>
          <w:p>
            <w:r/>
            <w:r>
              <w:rPr>
                <w:rFonts w:ascii="Arial" w:hAnsi="Arial"/>
                <w:sz w:val="19"/>
              </w:rPr>
              <w:t>SUM of Sales_Amount</w:t>
            </w:r>
          </w:p>
        </w:tc>
        <w:tc>
          <w:tcPr>
            <w:tcW w:type="dxa" w:w="1701"/>
          </w:tcPr>
          <w:p>
            <w:r/>
            <w:r>
              <w:rPr>
                <w:rFonts w:ascii="Arial" w:hAnsi="Arial"/>
                <w:sz w:val="19"/>
              </w:rPr>
            </w:r>
          </w:p>
        </w:tc>
      </w:tr>
      <w:tr>
        <w:tc>
          <w:tcPr>
            <w:tcW w:type="dxa" w:w="2268"/>
          </w:tcPr>
          <w:p>
            <w:r/>
            <w:r>
              <w:rPr>
                <w:rFonts w:ascii="Arial" w:hAnsi="Arial"/>
                <w:sz w:val="19"/>
              </w:rPr>
              <w:t>Quantity by Medicine</w:t>
            </w:r>
          </w:p>
        </w:tc>
        <w:tc>
          <w:tcPr>
            <w:tcW w:type="dxa" w:w="2381"/>
          </w:tcPr>
          <w:p>
            <w:r/>
            <w:r>
              <w:rPr>
                <w:rFonts w:ascii="Arial" w:hAnsi="Arial"/>
                <w:sz w:val="19"/>
              </w:rPr>
              <w:t>Medicine_Name</w:t>
            </w:r>
          </w:p>
        </w:tc>
        <w:tc>
          <w:tcPr>
            <w:tcW w:type="dxa" w:w="2948"/>
          </w:tcPr>
          <w:p>
            <w:r/>
            <w:r>
              <w:rPr>
                <w:rFonts w:ascii="Arial" w:hAnsi="Arial"/>
                <w:sz w:val="19"/>
              </w:rPr>
              <w:t>SUM of Quantity</w:t>
            </w:r>
          </w:p>
        </w:tc>
        <w:tc>
          <w:tcPr>
            <w:tcW w:type="dxa" w:w="1701"/>
          </w:tcPr>
          <w:p>
            <w:r/>
            <w:r>
              <w:rPr>
                <w:rFonts w:ascii="Arial" w:hAnsi="Arial"/>
                <w:sz w:val="19"/>
              </w:rPr>
              <w:t>Transaction_Type = Sale</w:t>
            </w:r>
          </w:p>
        </w:tc>
      </w:tr>
      <w:tr>
        <w:tc>
          <w:tcPr>
            <w:tcW w:type="dxa" w:w="2268"/>
          </w:tcPr>
          <w:p>
            <w:r/>
            <w:r>
              <w:rPr>
                <w:rFonts w:ascii="Arial" w:hAnsi="Arial"/>
                <w:sz w:val="19"/>
              </w:rPr>
              <w:t>Monthly Sales</w:t>
            </w:r>
          </w:p>
        </w:tc>
        <w:tc>
          <w:tcPr>
            <w:tcW w:type="dxa" w:w="2381"/>
          </w:tcPr>
          <w:p>
            <w:r/>
            <w:r>
              <w:rPr>
                <w:rFonts w:ascii="Arial" w:hAnsi="Arial"/>
                <w:sz w:val="19"/>
              </w:rPr>
              <w:t>Month_Num</w:t>
            </w:r>
          </w:p>
        </w:tc>
        <w:tc>
          <w:tcPr>
            <w:tcW w:type="dxa" w:w="2948"/>
          </w:tcPr>
          <w:p>
            <w:r/>
            <w:r>
              <w:rPr>
                <w:rFonts w:ascii="Arial" w:hAnsi="Arial"/>
                <w:sz w:val="19"/>
              </w:rPr>
              <w:t>SUM of Sales_Amount</w:t>
            </w:r>
          </w:p>
        </w:tc>
        <w:tc>
          <w:tcPr>
            <w:tcW w:type="dxa" w:w="1701"/>
          </w:tcPr>
          <w:p>
            <w:r/>
            <w:r>
              <w:rPr>
                <w:rFonts w:ascii="Arial" w:hAnsi="Arial"/>
                <w:sz w:val="19"/>
              </w:rPr>
            </w:r>
          </w:p>
        </w:tc>
      </w:tr>
      <w:tr>
        <w:tc>
          <w:tcPr>
            <w:tcW w:type="dxa" w:w="2268"/>
          </w:tcPr>
          <w:p>
            <w:r/>
            <w:r>
              <w:rPr>
                <w:rFonts w:ascii="Arial" w:hAnsi="Arial"/>
                <w:sz w:val="19"/>
              </w:rPr>
              <w:t>Transaction Type Analysis</w:t>
            </w:r>
          </w:p>
        </w:tc>
        <w:tc>
          <w:tcPr>
            <w:tcW w:type="dxa" w:w="2381"/>
          </w:tcPr>
          <w:p>
            <w:r/>
            <w:r>
              <w:rPr>
                <w:rFonts w:ascii="Arial" w:hAnsi="Arial"/>
                <w:sz w:val="19"/>
              </w:rPr>
              <w:t>Transaction_Type</w:t>
            </w:r>
          </w:p>
        </w:tc>
        <w:tc>
          <w:tcPr>
            <w:tcW w:type="dxa" w:w="2948"/>
          </w:tcPr>
          <w:p>
            <w:r/>
            <w:r>
              <w:rPr>
                <w:rFonts w:ascii="Arial" w:hAnsi="Arial"/>
                <w:sz w:val="19"/>
              </w:rPr>
              <w:t>COUNTA of Transaction_ID; SUM of Quantity</w:t>
            </w:r>
          </w:p>
        </w:tc>
        <w:tc>
          <w:tcPr>
            <w:tcW w:type="dxa" w:w="1701"/>
          </w:tcPr>
          <w:p>
            <w:r/>
            <w:r>
              <w:rPr>
                <w:rFonts w:ascii="Arial" w:hAnsi="Arial"/>
                <w:sz w:val="19"/>
              </w:rPr>
            </w:r>
          </w:p>
        </w:tc>
      </w:tr>
      <w:tr>
        <w:tc>
          <w:tcPr>
            <w:tcW w:type="dxa" w:w="2268"/>
          </w:tcPr>
          <w:p>
            <w:r/>
            <w:r>
              <w:rPr>
                <w:rFonts w:ascii="Arial" w:hAnsi="Arial"/>
                <w:sz w:val="19"/>
              </w:rPr>
              <w:t>Stock (restock) status</w:t>
            </w:r>
          </w:p>
        </w:tc>
        <w:tc>
          <w:tcPr>
            <w:tcW w:type="dxa" w:w="2381"/>
          </w:tcPr>
          <w:p>
            <w:r/>
            <w:r>
              <w:rPr>
                <w:rFonts w:ascii="Arial" w:hAnsi="Arial"/>
                <w:sz w:val="19"/>
              </w:rPr>
              <w:t>Restock_Priority (medicine_master range)</w:t>
            </w:r>
          </w:p>
        </w:tc>
        <w:tc>
          <w:tcPr>
            <w:tcW w:type="dxa" w:w="2948"/>
          </w:tcPr>
          <w:p>
            <w:r/>
            <w:r>
              <w:rPr>
                <w:rFonts w:ascii="Arial" w:hAnsi="Arial"/>
                <w:sz w:val="19"/>
              </w:rPr>
              <w:t>COUNTA of Medicine_ID</w:t>
            </w:r>
          </w:p>
        </w:tc>
        <w:tc>
          <w:tcPr>
            <w:tcW w:type="dxa" w:w="1701"/>
          </w:tcPr>
          <w:p>
            <w:r/>
            <w:r>
              <w:rPr>
                <w:rFonts w:ascii="Arial" w:hAnsi="Arial"/>
                <w:sz w:val="19"/>
              </w:rPr>
            </w:r>
          </w:p>
        </w:tc>
      </w:tr>
      <w:tr>
        <w:tc>
          <w:tcPr>
            <w:tcW w:type="dxa" w:w="2268"/>
          </w:tcPr>
          <w:p>
            <w:r/>
            <w:r>
              <w:rPr>
                <w:rFonts w:ascii="Arial" w:hAnsi="Arial"/>
                <w:sz w:val="19"/>
              </w:rPr>
              <w:t>Expiry Status</w:t>
            </w:r>
          </w:p>
        </w:tc>
        <w:tc>
          <w:tcPr>
            <w:tcW w:type="dxa" w:w="2381"/>
          </w:tcPr>
          <w:p>
            <w:r/>
            <w:r>
              <w:rPr>
                <w:rFonts w:ascii="Arial" w:hAnsi="Arial"/>
                <w:sz w:val="19"/>
              </w:rPr>
              <w:t>Expiry_Status (medicine_master range)</w:t>
            </w:r>
          </w:p>
        </w:tc>
        <w:tc>
          <w:tcPr>
            <w:tcW w:type="dxa" w:w="2948"/>
          </w:tcPr>
          <w:p>
            <w:r/>
            <w:r>
              <w:rPr>
                <w:rFonts w:ascii="Arial" w:hAnsi="Arial"/>
                <w:sz w:val="19"/>
              </w:rPr>
              <w:t>COUNTA of Medicine_ID</w:t>
            </w:r>
          </w:p>
        </w:tc>
        <w:tc>
          <w:tcPr>
            <w:tcW w:type="dxa" w:w="1701"/>
          </w:tcPr>
          <w:p>
            <w:r/>
            <w:r>
              <w:rPr>
                <w:rFonts w:ascii="Arial" w:hAnsi="Arial"/>
                <w:sz w:val="19"/>
              </w:rPr>
            </w:r>
          </w:p>
        </w:tc>
      </w:tr>
      <w:tr>
        <w:tc>
          <w:tcPr>
            <w:tcW w:type="dxa" w:w="2268"/>
          </w:tcPr>
          <w:p>
            <w:r/>
            <w:r>
              <w:rPr>
                <w:rFonts w:ascii="Arial" w:hAnsi="Arial"/>
                <w:sz w:val="19"/>
              </w:rPr>
              <w:t>Top 10 Medicines</w:t>
            </w:r>
          </w:p>
        </w:tc>
        <w:tc>
          <w:tcPr>
            <w:tcW w:type="dxa" w:w="2381"/>
          </w:tcPr>
          <w:p>
            <w:r/>
            <w:r>
              <w:rPr>
                <w:rFonts w:ascii="Arial" w:hAnsi="Arial"/>
                <w:sz w:val="19"/>
              </w:rPr>
              <w:t>Medicine_Name</w:t>
            </w:r>
          </w:p>
        </w:tc>
        <w:tc>
          <w:tcPr>
            <w:tcW w:type="dxa" w:w="2948"/>
          </w:tcPr>
          <w:p>
            <w:r/>
            <w:r>
              <w:rPr>
                <w:rFonts w:ascii="Arial" w:hAnsi="Arial"/>
                <w:sz w:val="19"/>
              </w:rPr>
              <w:t>SUM of Sales_Amount, sorted descending</w:t>
            </w:r>
          </w:p>
        </w:tc>
        <w:tc>
          <w:tcPr>
            <w:tcW w:type="dxa" w:w="1701"/>
          </w:tcPr>
          <w:p>
            <w:r/>
            <w:r>
              <w:rPr>
                <w:rFonts w:ascii="Arial" w:hAnsi="Arial"/>
                <w:sz w:val="19"/>
              </w:rPr>
              <w:t>Show first 10 rows</w:t>
            </w:r>
          </w:p>
        </w:tc>
      </w:tr>
    </w:tbl>
    <w:p/>
    <w:p>
      <w:pPr>
        <w:pStyle w:val="Heading1"/>
      </w:pPr>
      <w:r>
        <w:t>10. Dashboard</w:t>
      </w:r>
    </w:p>
    <w:p>
      <w:r>
        <w:t>The Dashboard sheet shows six KPI cards (Total Revenue, Total Transactions, Units Sold, Medicines, High-Priority Restock, Medicines Expiring within 1 Year) and six charts, each chosen for the question it answers:</w:t>
      </w:r>
    </w:p>
    <w:tbl>
      <w:tblPr>
        <w:tblStyle w:val="TableGrid"/>
        <w:tblW w:type="auto" w:w="0"/>
        <w:tblLook w:firstColumn="1" w:firstRow="1" w:lastColumn="0" w:lastRow="0" w:noHBand="0" w:noVBand="1" w:val="04A0"/>
      </w:tblPr>
      <w:tblGrid>
        <w:gridCol w:w="3249"/>
        <w:gridCol w:w="3249"/>
        <w:gridCol w:w="3249"/>
      </w:tblGrid>
      <w:tr>
        <w:tc>
          <w:tcPr>
            <w:tcW w:type="dxa" w:w="2948"/>
            <w:shd w:val="clear" w:color="auto" w:fill="1F3864"/>
          </w:tcPr>
          <w:p>
            <w:r/>
            <w:r>
              <w:rPr>
                <w:rFonts w:ascii="Arial" w:hAnsi="Arial"/>
                <w:b/>
                <w:color w:val="FFFFFF"/>
                <w:sz w:val="19"/>
              </w:rPr>
              <w:t>Chart</w:t>
            </w:r>
          </w:p>
        </w:tc>
        <w:tc>
          <w:tcPr>
            <w:tcW w:type="dxa" w:w="1701"/>
            <w:shd w:val="clear" w:color="auto" w:fill="1F3864"/>
          </w:tcPr>
          <w:p>
            <w:r/>
            <w:r>
              <w:rPr>
                <w:rFonts w:ascii="Arial" w:hAnsi="Arial"/>
                <w:b/>
                <w:color w:val="FFFFFF"/>
                <w:sz w:val="19"/>
              </w:rPr>
              <w:t>Type</w:t>
            </w:r>
          </w:p>
        </w:tc>
        <w:tc>
          <w:tcPr>
            <w:tcW w:type="dxa" w:w="4706"/>
            <w:shd w:val="clear" w:color="auto" w:fill="1F3864"/>
          </w:tcPr>
          <w:p>
            <w:r/>
            <w:r>
              <w:rPr>
                <w:rFonts w:ascii="Arial" w:hAnsi="Arial"/>
                <w:b/>
                <w:color w:val="FFFFFF"/>
                <w:sz w:val="19"/>
              </w:rPr>
              <w:t>Why this type</w:t>
            </w:r>
          </w:p>
        </w:tc>
      </w:tr>
      <w:tr>
        <w:tc>
          <w:tcPr>
            <w:tcW w:type="dxa" w:w="2948"/>
          </w:tcPr>
          <w:p>
            <w:r/>
            <w:r>
              <w:rPr>
                <w:rFonts w:ascii="Arial" w:hAnsi="Arial"/>
                <w:sz w:val="19"/>
              </w:rPr>
              <w:t>Top 10 Medicines by Units Sold</w:t>
            </w:r>
          </w:p>
        </w:tc>
        <w:tc>
          <w:tcPr>
            <w:tcW w:type="dxa" w:w="1701"/>
          </w:tcPr>
          <w:p>
            <w:r/>
            <w:r>
              <w:rPr>
                <w:rFonts w:ascii="Arial" w:hAnsi="Arial"/>
                <w:sz w:val="19"/>
              </w:rPr>
              <w:t>Horizontal bar</w:t>
            </w:r>
          </w:p>
        </w:tc>
        <w:tc>
          <w:tcPr>
            <w:tcW w:type="dxa" w:w="4706"/>
          </w:tcPr>
          <w:p>
            <w:r/>
            <w:r>
              <w:rPr>
                <w:rFonts w:ascii="Arial" w:hAnsi="Arial"/>
                <w:sz w:val="19"/>
              </w:rPr>
              <w:t>Long medicine names stay readable and ranks are easy to compare</w:t>
            </w:r>
          </w:p>
        </w:tc>
      </w:tr>
      <w:tr>
        <w:tc>
          <w:tcPr>
            <w:tcW w:type="dxa" w:w="2948"/>
          </w:tcPr>
          <w:p>
            <w:r/>
            <w:r>
              <w:rPr>
                <w:rFonts w:ascii="Arial" w:hAnsi="Arial"/>
                <w:sz w:val="19"/>
              </w:rPr>
              <w:t>Revenue by Category</w:t>
            </w:r>
          </w:p>
        </w:tc>
        <w:tc>
          <w:tcPr>
            <w:tcW w:type="dxa" w:w="1701"/>
          </w:tcPr>
          <w:p>
            <w:r/>
            <w:r>
              <w:rPr>
                <w:rFonts w:ascii="Arial" w:hAnsi="Arial"/>
                <w:sz w:val="19"/>
              </w:rPr>
              <w:t>Column</w:t>
            </w:r>
          </w:p>
        </w:tc>
        <w:tc>
          <w:tcPr>
            <w:tcW w:type="dxa" w:w="4706"/>
          </w:tcPr>
          <w:p>
            <w:r/>
            <w:r>
              <w:rPr>
                <w:rFonts w:ascii="Arial" w:hAnsi="Arial"/>
                <w:sz w:val="19"/>
              </w:rPr>
              <w:t>Compares separate categories side by side</w:t>
            </w:r>
          </w:p>
        </w:tc>
      </w:tr>
      <w:tr>
        <w:tc>
          <w:tcPr>
            <w:tcW w:type="dxa" w:w="2948"/>
          </w:tcPr>
          <w:p>
            <w:r/>
            <w:r>
              <w:rPr>
                <w:rFonts w:ascii="Arial" w:hAnsi="Arial"/>
                <w:sz w:val="19"/>
              </w:rPr>
              <w:t>Monthly Revenue Trend</w:t>
            </w:r>
          </w:p>
        </w:tc>
        <w:tc>
          <w:tcPr>
            <w:tcW w:type="dxa" w:w="1701"/>
          </w:tcPr>
          <w:p>
            <w:r/>
            <w:r>
              <w:rPr>
                <w:rFonts w:ascii="Arial" w:hAnsi="Arial"/>
                <w:sz w:val="19"/>
              </w:rPr>
              <w:t>Line</w:t>
            </w:r>
          </w:p>
        </w:tc>
        <w:tc>
          <w:tcPr>
            <w:tcW w:type="dxa" w:w="4706"/>
          </w:tcPr>
          <w:p>
            <w:r/>
            <w:r>
              <w:rPr>
                <w:rFonts w:ascii="Arial" w:hAnsi="Arial"/>
                <w:sz w:val="19"/>
              </w:rPr>
              <w:t>A line shows change over time</w:t>
            </w:r>
          </w:p>
        </w:tc>
      </w:tr>
      <w:tr>
        <w:tc>
          <w:tcPr>
            <w:tcW w:type="dxa" w:w="2948"/>
          </w:tcPr>
          <w:p>
            <w:r/>
            <w:r>
              <w:rPr>
                <w:rFonts w:ascii="Arial" w:hAnsi="Arial"/>
                <w:sz w:val="19"/>
              </w:rPr>
              <w:t>Transaction Type Distribution</w:t>
            </w:r>
          </w:p>
        </w:tc>
        <w:tc>
          <w:tcPr>
            <w:tcW w:type="dxa" w:w="1701"/>
          </w:tcPr>
          <w:p>
            <w:r/>
            <w:r>
              <w:rPr>
                <w:rFonts w:ascii="Arial" w:hAnsi="Arial"/>
                <w:sz w:val="19"/>
              </w:rPr>
              <w:t>Doughnut</w:t>
            </w:r>
          </w:p>
        </w:tc>
        <w:tc>
          <w:tcPr>
            <w:tcW w:type="dxa" w:w="4706"/>
          </w:tcPr>
          <w:p>
            <w:r/>
            <w:r>
              <w:rPr>
                <w:rFonts w:ascii="Arial" w:hAnsi="Arial"/>
                <w:sz w:val="19"/>
              </w:rPr>
              <w:t>Only two parts of one whole (sales vs purchases)</w:t>
            </w:r>
          </w:p>
        </w:tc>
      </w:tr>
      <w:tr>
        <w:tc>
          <w:tcPr>
            <w:tcW w:type="dxa" w:w="2948"/>
          </w:tcPr>
          <w:p>
            <w:r/>
            <w:r>
              <w:rPr>
                <w:rFonts w:ascii="Arial" w:hAnsi="Arial"/>
                <w:sz w:val="19"/>
              </w:rPr>
              <w:t>Restock Candidates (Sold ÷ Purchased)</w:t>
            </w:r>
          </w:p>
        </w:tc>
        <w:tc>
          <w:tcPr>
            <w:tcW w:type="dxa" w:w="1701"/>
          </w:tcPr>
          <w:p>
            <w:r/>
            <w:r>
              <w:rPr>
                <w:rFonts w:ascii="Arial" w:hAnsi="Arial"/>
                <w:sz w:val="19"/>
              </w:rPr>
              <w:t>Horizontal bar</w:t>
            </w:r>
          </w:p>
        </w:tc>
        <w:tc>
          <w:tcPr>
            <w:tcW w:type="dxa" w:w="4706"/>
          </w:tcPr>
          <w:p>
            <w:r/>
            <w:r>
              <w:rPr>
                <w:rFonts w:ascii="Arial" w:hAnsi="Arial"/>
                <w:sz w:val="19"/>
              </w:rPr>
              <w:t>Ranks medicines by how far sales outran purchases (used because no stock column exists)</w:t>
            </w:r>
          </w:p>
        </w:tc>
      </w:tr>
      <w:tr>
        <w:tc>
          <w:tcPr>
            <w:tcW w:type="dxa" w:w="2948"/>
          </w:tcPr>
          <w:p>
            <w:r/>
            <w:r>
              <w:rPr>
                <w:rFonts w:ascii="Arial" w:hAnsi="Arial"/>
                <w:sz w:val="19"/>
              </w:rPr>
              <w:t>Medicines by Expiry Status</w:t>
            </w:r>
          </w:p>
        </w:tc>
        <w:tc>
          <w:tcPr>
            <w:tcW w:type="dxa" w:w="1701"/>
          </w:tcPr>
          <w:p>
            <w:r/>
            <w:r>
              <w:rPr>
                <w:rFonts w:ascii="Arial" w:hAnsi="Arial"/>
                <w:sz w:val="19"/>
              </w:rPr>
              <w:t>Column</w:t>
            </w:r>
          </w:p>
        </w:tc>
        <w:tc>
          <w:tcPr>
            <w:tcW w:type="dxa" w:w="4706"/>
          </w:tcPr>
          <w:p>
            <w:r/>
            <w:r>
              <w:rPr>
                <w:rFonts w:ascii="Arial" w:hAnsi="Arial"/>
                <w:sz w:val="19"/>
              </w:rPr>
              <w:t>Counts medicines in each expiry group</w:t>
            </w:r>
          </w:p>
        </w:tc>
      </w:tr>
    </w:tbl>
    <w:p/>
    <w:p>
      <w:pPr>
        <w:pStyle w:val="Heading1"/>
      </w:pPr>
      <w:r>
        <w:t>11. Key Insights</w:t>
      </w:r>
    </w:p>
    <w:p>
      <w:pPr>
        <w:pStyle w:val="ListBullet"/>
      </w:pPr>
      <w:r>
        <w:t>Glimepiride 2mg is the volume leader with 2,050 units (5.5% of units sold).</w:t>
      </w:r>
    </w:p>
    <w:p>
      <w:pPr>
        <w:pStyle w:val="ListBullet"/>
      </w:pPr>
      <w:r>
        <w:t>Insulin Injection earns ₹378,000: 20.9% of revenue from 4.5% of units, and 18.7% of gross profit.</w:t>
      </w:r>
    </w:p>
    <w:p>
      <w:pPr>
        <w:pStyle w:val="ListBullet"/>
      </w:pPr>
      <w:r>
        <w:t>Diabetes is 28.6% of revenue from only 3 of 25 medicines. Cardiac is the lowest (₹89,775, 5.0%) although it sold 4,285 units, so low prices rather than low demand explain its rank.</w:t>
      </w:r>
    </w:p>
    <w:p>
      <w:pPr>
        <w:pStyle w:val="ListBullet"/>
      </w:pPr>
      <w:r>
        <w:t>Monthly revenue is steady between ₹134,650 (December) and ₹168,135 (November). Oct-Dec rows are dated after the analysis date.</w:t>
      </w:r>
    </w:p>
    <w:p>
      <w:pPr>
        <w:pStyle w:val="ListBullet"/>
      </w:pPr>
      <w:r>
        <w:t>All 25 medicines sold more units than were purchased (1.58× overall). Highest ratios: Glimepiride 2mg 2.72, Diclofenac Gel 2.60, Cetirizine 10mg 2.22, Azithromycin 500mg 2.20.</w:t>
      </w:r>
    </w:p>
    <w:p>
      <w:pPr>
        <w:pStyle w:val="ListBullet"/>
      </w:pPr>
      <w:r>
        <w:t>Slowest sellers: Calamine Lotion (1,160 units) and Bandage Roll (1,190 units); none is dead stock.</w:t>
      </w:r>
    </w:p>
    <w:p>
      <w:pPr>
        <w:pStyle w:val="ListBullet"/>
      </w:pPr>
      <w:r>
        <w:t>No medicine is expired. Cough Syrup 100ml is nearest to expiry (20 Feb 2027, 138 days) and is also a top-5 revenue medicine.</w:t>
      </w:r>
    </w:p>
    <w:p>
      <w:pPr>
        <w:pStyle w:val="ListBullet"/>
      </w:pPr>
      <w:r>
        <w:t>All quantities are multiples of 5 (standard lot sizes); no outliers.</w:t>
      </w:r>
    </w:p>
    <w:p>
      <w:pPr>
        <w:pStyle w:val="Heading1"/>
      </w:pPr>
      <w:r>
        <w:t>12. Business Recommendations</w:t>
      </w:r>
    </w:p>
    <w:p>
      <w:pPr>
        <w:pStyle w:val="ListBullet"/>
      </w:pPr>
      <w:r>
        <w:t>Restock the 9 High-priority medicines first, starting with the four named above, and set reorder points once real stock counts exist.</w:t>
      </w:r>
    </w:p>
    <w:p>
      <w:pPr>
        <w:pStyle w:val="ListBullet"/>
      </w:pPr>
      <w:r>
        <w:t>Keep Insulin Injection and the other Diabetes medicines always in stock.</w:t>
      </w:r>
    </w:p>
    <w:p>
      <w:pPr>
        <w:pStyle w:val="ListBullet"/>
      </w:pPr>
      <w:r>
        <w:t>Plan buying by revenue and margin together, not only by unit volume.</w:t>
      </w:r>
    </w:p>
    <w:p>
      <w:pPr>
        <w:pStyle w:val="ListBullet"/>
      </w:pPr>
      <w:r>
        <w:t>Sell the nearest-expiry batches first (Cough Syrup 100ml) and review the 11 medicines expiring within a year every month.</w:t>
      </w:r>
    </w:p>
    <w:p>
      <w:pPr>
        <w:pStyle w:val="ListBullet"/>
      </w:pPr>
      <w:r>
        <w:t>Reduce order sizes for Calamine Lotion and Bandage Roll rather than stopping them.</w:t>
      </w:r>
    </w:p>
    <w:p>
      <w:pPr>
        <w:pStyle w:val="ListBullet"/>
      </w:pPr>
      <w:r>
        <w:t>Keep monthly sales records to detect seasonality once more than one year of data exists.</w:t>
      </w:r>
    </w:p>
    <w:p>
      <w:pPr>
        <w:pStyle w:val="ListBullet"/>
      </w:pPr>
      <w:r>
        <w:t>Add opening stock and current stock to the data so true low-stock alerts can be produced.</w:t>
      </w:r>
    </w:p>
    <w:p>
      <w:pPr>
        <w:pStyle w:val="Heading1"/>
      </w:pPr>
      <w:r>
        <w:t>13. Limitations</w:t>
      </w:r>
    </w:p>
    <w:p>
      <w:pPr>
        <w:pStyle w:val="ListBullet"/>
      </w:pPr>
      <w:r>
        <w:t>No stock column: restock need is estimated from the Sold-to-Purchased ratio, and stock value could not be calculated.</w:t>
      </w:r>
    </w:p>
    <w:p>
      <w:pPr>
        <w:pStyle w:val="ListBullet"/>
      </w:pPr>
      <w:r>
        <w:t>One batch and one expiry date per medicine.</w:t>
      </w:r>
    </w:p>
    <w:p>
      <w:pPr>
        <w:pStyle w:val="ListBullet"/>
      </w:pPr>
      <w:r>
        <w:t>A single year of data; the 609 later-dated rows need confirmation.</w:t>
      </w:r>
    </w:p>
    <w:p>
      <w:pPr>
        <w:pStyle w:val="ListBullet"/>
      </w:pPr>
      <w:r>
        <w:t>Restock thresholds (1.75 and 1.4) are analyst-chosen and can be changed on the Overview sheet.</w:t>
      </w:r>
    </w:p>
    <w:p>
      <w:pPr>
        <w:pStyle w:val="Heading1"/>
      </w:pPr>
      <w:r>
        <w:t>14. Conclusion</w:t>
      </w:r>
    </w:p>
    <w:p>
      <w:r>
        <w:t>The store earned ₹1,811,440 in revenue and ₹538,920 in gross profit (29.8%). Sales are spread evenly across medicines, but value is concentrated in a few products, especially Insulin Injection and the Diabetes category. The clearest actions are to restock high-selling items, protect the diabetes range, watch near-expiry stock, and start recording stock levels so future analysis can measure true shortages.</w:t>
      </w:r>
    </w:p>
    <w:p>
      <w:pPr>
        <w:pStyle w:val="Heading1"/>
      </w:pPr>
      <w:r>
        <w:t>Resume Description</w:t>
      </w:r>
    </w:p>
    <w:p>
      <w:r>
        <w:t>Analyzed 2,600 medical-store sales and purchase transactions across 25 medicines using Google Sheets (INDEX/MATCH, SUMIFS, COUNTIF) with 18 automated data-quality checks and a cross-check against source totals. Calculated revenue (₹18.1 lakh), gross margin (29.8%) and restock and expiry indicators; built a KPI dashboard with six charts that showed the Diabetes category brings 28.6% of revenue and flagged 9 high-priority restock medicines.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