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lineRule="auto" w:line="240"/>
        <w:jc w:val="center"/>
      </w:pPr>
      <w:r>
        <w:drawing>
          <wp:inline xmlns:a="http://schemas.openxmlformats.org/drawingml/2006/main" xmlns:pic="http://schemas.openxmlformats.org/drawingml/2006/picture">
            <wp:extent cx="1225296" cy="1225296"/>
            <wp:docPr id="1" name="Picture 1" descr="Asia Pacific University of Technology and Innovation logo"/>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225296" cy="1225296"/>
                    </a:xfrm>
                    <a:prstGeom prst="rect"/>
                  </pic:spPr>
                </pic:pic>
              </a:graphicData>
            </a:graphic>
          </wp:inline>
        </w:drawing>
      </w:r>
    </w:p>
    <w:p>
      <w:pPr>
        <w:spacing w:before="0" w:after="200" w:lineRule="auto" w:line="240"/>
        <w:jc w:val="center"/>
      </w:pPr>
      <w:r>
        <w:rPr>
          <w:rFonts w:ascii="Times New Roman" w:hAnsi="Times New Roman" w:eastAsia="Times New Roman"/>
          <w:b/>
          <w:color w:val="000000"/>
          <w:sz w:val="28"/>
        </w:rPr>
        <w:t>ASIA PACIFIC UNIVERSITY OF TECHNOLOGY &amp; INNOVATION</w:t>
      </w:r>
    </w:p>
    <w:p>
      <w:pPr>
        <w:spacing w:before="0" w:after="360" w:lineRule="auto" w:line="240"/>
        <w:jc w:val="center"/>
      </w:pPr>
      <w:r>
        <w:rPr>
          <w:rFonts w:ascii="Times New Roman" w:hAnsi="Times New Roman" w:eastAsia="Times New Roman"/>
          <w:b/>
          <w:color w:val="000000"/>
          <w:sz w:val="28"/>
        </w:rPr>
        <w:t>Individual Assignment</w:t>
      </w:r>
    </w:p>
    <w:p>
      <w:pPr>
        <w:tabs>
          <w:tab w:pos="2304" w:val="left"/>
        </w:tabs>
        <w:spacing w:before="0" w:after="60" w:lineRule="auto" w:line="276"/>
      </w:pPr>
      <w:r>
        <w:rPr>
          <w:rFonts w:ascii="Times New Roman" w:hAnsi="Times New Roman" w:eastAsia="Times New Roman"/>
          <w:b/>
          <w:color w:val="000000"/>
          <w:sz w:val="24"/>
        </w:rPr>
        <w:t>Module code</w:t>
      </w:r>
      <w:r>
        <w:rPr>
          <w:rFonts w:ascii="Times New Roman" w:hAnsi="Times New Roman" w:eastAsia="Times New Roman"/>
          <w:color w:val="000000"/>
          <w:sz w:val="24"/>
        </w:rPr>
        <w:tab/>
        <w:t>CT046-3-M</w:t>
      </w:r>
    </w:p>
    <w:p>
      <w:pPr>
        <w:tabs>
          <w:tab w:pos="2304" w:val="left"/>
        </w:tabs>
        <w:spacing w:before="0" w:after="60" w:lineRule="auto" w:line="276"/>
      </w:pPr>
      <w:r>
        <w:rPr>
          <w:rFonts w:ascii="Times New Roman" w:hAnsi="Times New Roman" w:eastAsia="Times New Roman"/>
          <w:b/>
          <w:color w:val="000000"/>
          <w:sz w:val="24"/>
        </w:rPr>
        <w:t>Module name</w:t>
      </w:r>
      <w:r>
        <w:rPr>
          <w:rFonts w:ascii="Times New Roman" w:hAnsi="Times New Roman" w:eastAsia="Times New Roman"/>
          <w:color w:val="000000"/>
          <w:sz w:val="24"/>
        </w:rPr>
        <w:tab/>
        <w:t>Applied Machine Learning</w:t>
      </w:r>
    </w:p>
    <w:p>
      <w:pPr>
        <w:tabs>
          <w:tab w:pos="2304" w:val="left"/>
        </w:tabs>
        <w:spacing w:before="0" w:after="60" w:lineRule="auto" w:line="276"/>
      </w:pPr>
      <w:r>
        <w:rPr>
          <w:rFonts w:ascii="Times New Roman" w:hAnsi="Times New Roman" w:eastAsia="Times New Roman"/>
          <w:b/>
          <w:color w:val="000000"/>
          <w:sz w:val="24"/>
        </w:rPr>
        <w:t>Intake code</w:t>
      </w:r>
      <w:r>
        <w:rPr>
          <w:rFonts w:ascii="Times New Roman" w:hAnsi="Times New Roman" w:eastAsia="Times New Roman"/>
          <w:color w:val="000000"/>
          <w:sz w:val="24"/>
        </w:rPr>
        <w:tab/>
        <w:t>CSSE / CT046-3-M-AML-L-1 / 2026-01-26</w:t>
      </w:r>
    </w:p>
    <w:p>
      <w:pPr>
        <w:tabs>
          <w:tab w:pos="2304" w:val="left"/>
        </w:tabs>
        <w:spacing w:before="0" w:after="60" w:lineRule="auto" w:line="276"/>
      </w:pPr>
      <w:r>
        <w:rPr>
          <w:rFonts w:ascii="Times New Roman" w:hAnsi="Times New Roman" w:eastAsia="Times New Roman"/>
          <w:b/>
          <w:color w:val="000000"/>
          <w:sz w:val="24"/>
        </w:rPr>
        <w:t>Hand-out date</w:t>
      </w:r>
      <w:r>
        <w:rPr>
          <w:rFonts w:ascii="Times New Roman" w:hAnsi="Times New Roman" w:eastAsia="Times New Roman"/>
          <w:color w:val="000000"/>
          <w:sz w:val="24"/>
        </w:rPr>
        <w:tab/>
        <w:t>25 May 2026</w:t>
      </w:r>
    </w:p>
    <w:p>
      <w:pPr>
        <w:tabs>
          <w:tab w:pos="2304" w:val="left"/>
        </w:tabs>
        <w:spacing w:before="0" w:after="60" w:lineRule="auto" w:line="276"/>
      </w:pPr>
      <w:r>
        <w:rPr>
          <w:rFonts w:ascii="Times New Roman" w:hAnsi="Times New Roman" w:eastAsia="Times New Roman"/>
          <w:b/>
          <w:color w:val="000000"/>
          <w:sz w:val="24"/>
        </w:rPr>
        <w:t>Hand-in date</w:t>
      </w:r>
      <w:r>
        <w:rPr>
          <w:rFonts w:ascii="Times New Roman" w:hAnsi="Times New Roman" w:eastAsia="Times New Roman"/>
          <w:color w:val="000000"/>
          <w:sz w:val="24"/>
        </w:rPr>
        <w:tab/>
        <w:t>24 July 2026</w:t>
      </w:r>
    </w:p>
    <w:p>
      <w:pPr>
        <w:tabs>
          <w:tab w:pos="2304" w:val="left"/>
        </w:tabs>
        <w:spacing w:before="0" w:after="60" w:lineRule="auto" w:line="276"/>
      </w:pPr>
      <w:r>
        <w:rPr>
          <w:rFonts w:ascii="Times New Roman" w:hAnsi="Times New Roman" w:eastAsia="Times New Roman"/>
          <w:b/>
          <w:color w:val="000000"/>
          <w:sz w:val="24"/>
        </w:rPr>
        <w:t>Weightage</w:t>
      </w:r>
      <w:r>
        <w:rPr>
          <w:rFonts w:ascii="Times New Roman" w:hAnsi="Times New Roman" w:eastAsia="Times New Roman"/>
          <w:color w:val="000000"/>
          <w:sz w:val="24"/>
        </w:rPr>
        <w:tab/>
        <w:t>100%</w:t>
      </w:r>
    </w:p>
    <w:p>
      <w:pPr>
        <w:tabs>
          <w:tab w:pos="2304" w:val="left"/>
        </w:tabs>
        <w:spacing w:before="0" w:after="60" w:lineRule="auto" w:line="276"/>
      </w:pPr>
      <w:r>
        <w:rPr>
          <w:rFonts w:ascii="Times New Roman" w:hAnsi="Times New Roman" w:eastAsia="Times New Roman"/>
          <w:b/>
          <w:color w:val="000000"/>
          <w:sz w:val="24"/>
        </w:rPr>
        <w:t>Student name</w:t>
      </w:r>
      <w:r>
        <w:rPr>
          <w:rFonts w:ascii="Times New Roman" w:hAnsi="Times New Roman" w:eastAsia="Times New Roman"/>
          <w:color w:val="000000"/>
          <w:sz w:val="24"/>
        </w:rPr>
        <w:tab/>
        <w:t>Tanjim Noor</w:t>
      </w:r>
    </w:p>
    <w:p>
      <w:pPr>
        <w:tabs>
          <w:tab w:pos="2304" w:val="left"/>
        </w:tabs>
        <w:spacing w:before="0" w:after="60" w:lineRule="auto" w:line="276"/>
      </w:pPr>
      <w:r>
        <w:rPr>
          <w:rFonts w:ascii="Times New Roman" w:hAnsi="Times New Roman" w:eastAsia="Times New Roman"/>
          <w:b/>
          <w:color w:val="000000"/>
          <w:sz w:val="24"/>
        </w:rPr>
        <w:t>Student ID</w:t>
      </w:r>
      <w:r>
        <w:rPr>
          <w:rFonts w:ascii="Times New Roman" w:hAnsi="Times New Roman" w:eastAsia="Times New Roman"/>
          <w:color w:val="000000"/>
          <w:sz w:val="24"/>
        </w:rPr>
        <w:tab/>
        <w:t>TP166089</w:t>
      </w:r>
    </w:p>
    <w:p>
      <w:pPr>
        <w:spacing w:before="240" w:after="160" w:lineRule="auto" w:line="240"/>
        <w:jc w:val="center"/>
      </w:pPr>
      <w:r>
        <w:rPr>
          <w:rFonts w:ascii="Times New Roman" w:hAnsi="Times New Roman" w:eastAsia="Times New Roman"/>
          <w:b/>
          <w:color w:val="000000"/>
          <w:sz w:val="28"/>
        </w:rPr>
        <w:t>Declaration</w:t>
      </w:r>
    </w:p>
    <w:p>
      <w:pPr>
        <w:spacing w:before="0" w:after="120" w:lineRule="auto" w:line="276"/>
      </w:pPr>
      <w:r>
        <w:rPr>
          <w:rFonts w:ascii="Times New Roman" w:hAnsi="Times New Roman" w:eastAsia="Times New Roman"/>
          <w:color w:val="000000"/>
          <w:sz w:val="24"/>
        </w:rPr>
        <w:t>I declare that this work is my own except where the work of others is clearly acknowledged and cited. I have not presented it, in whole or in part, for another academic award.</w:t>
      </w:r>
    </w:p>
    <w:p>
      <w:pPr>
        <w:spacing w:before="0" w:after="120" w:lineRule="auto" w:line="276"/>
      </w:pPr>
      <w:r>
        <w:rPr>
          <w:rFonts w:ascii="Times New Roman" w:hAnsi="Times New Roman" w:eastAsia="Times New Roman"/>
          <w:color w:val="000000"/>
          <w:sz w:val="24"/>
        </w:rPr>
        <w:t>Generative-AI assistance was used for literature organisation, code review, language editing and document preparation. The student verified the sources, numerical results, interpretations and final wording and accepts responsibility for the submitted work.</w:t>
      </w:r>
    </w:p>
    <w:p>
      <w:pPr>
        <w:tabs>
          <w:tab w:pos="2304" w:val="left"/>
        </w:tabs>
        <w:spacing w:before="0" w:after="60" w:lineRule="auto" w:line="276"/>
      </w:pPr>
      <w:r>
        <w:rPr>
          <w:rFonts w:ascii="Times New Roman" w:hAnsi="Times New Roman" w:eastAsia="Times New Roman"/>
          <w:b/>
          <w:color w:val="000000"/>
          <w:sz w:val="24"/>
        </w:rPr>
        <w:t>Student name</w:t>
      </w:r>
      <w:r>
        <w:rPr>
          <w:rFonts w:ascii="Times New Roman" w:hAnsi="Times New Roman" w:eastAsia="Times New Roman"/>
          <w:color w:val="000000"/>
          <w:sz w:val="24"/>
        </w:rPr>
        <w:tab/>
        <w:t>Tanjim Noor</w:t>
      </w:r>
    </w:p>
    <w:p>
      <w:pPr>
        <w:tabs>
          <w:tab w:pos="2304" w:val="left"/>
        </w:tabs>
        <w:spacing w:before="0" w:after="60" w:lineRule="auto" w:line="276"/>
      </w:pPr>
      <w:r>
        <w:rPr>
          <w:rFonts w:ascii="Times New Roman" w:hAnsi="Times New Roman" w:eastAsia="Times New Roman"/>
          <w:b/>
          <w:color w:val="000000"/>
          <w:sz w:val="24"/>
        </w:rPr>
        <w:t>Student ID</w:t>
      </w:r>
      <w:r>
        <w:rPr>
          <w:rFonts w:ascii="Times New Roman" w:hAnsi="Times New Roman" w:eastAsia="Times New Roman"/>
          <w:color w:val="000000"/>
          <w:sz w:val="24"/>
        </w:rPr>
        <w:tab/>
        <w:t>TP166089</w:t>
      </w:r>
    </w:p>
    <w:p>
      <w:pPr>
        <w:sectPr>
          <w:headerReference w:type="default" r:id="rId23"/>
          <w:footerReference w:type="default" r:id="rId24"/>
          <w:headerReference w:type="first" r:id="rId27"/>
          <w:footerReference w:type="first" r:id="rId28"/>
          <w:headerReference w:type="even" r:id="rId44"/>
          <w:footerReference w:type="even" r:id="rId45"/>
          <w:pgSz w:w="11909" w:h="16834"/>
          <w:pgMar w:top="1440" w:right="1440" w:bottom="1440" w:left="2160" w:header="648" w:footer="648" w:gutter="0"/>
          <w:pgNumType w:start="1"/>
          <w:cols w:space="720"/>
          <w:titlePg/>
          <w:docGrid w:linePitch="360"/>
        </w:sectPr>
      </w:pPr>
    </w:p>
    <w:p>
      <w:pPr>
        <w:spacing w:before="1440" w:after="400" w:lineRule="auto" w:line="276"/>
        <w:jc w:val="center"/>
      </w:pPr>
      <w:r>
        <w:rPr>
          <w:rFonts w:ascii="Times New Roman" w:hAnsi="Times New Roman" w:eastAsia="Times New Roman"/>
          <w:b/>
          <w:color w:val="000000"/>
          <w:sz w:val="36"/>
        </w:rPr>
        <w:t>Predicting Semester GPA Change from Student Context and Generative AI Use: A Comparative Machine Learning Study</w:t>
      </w:r>
    </w:p>
    <w:p>
      <w:pPr>
        <w:spacing w:before="0" w:after="360" w:lineRule="auto" w:line="276"/>
        <w:jc w:val="center"/>
      </w:pPr>
      <w:r>
        <w:rPr>
          <w:rFonts w:ascii="Times New Roman" w:hAnsi="Times New Roman" w:eastAsia="Times New Roman"/>
          <w:b/>
          <w:color w:val="000000"/>
          <w:sz w:val="24"/>
        </w:rPr>
        <w:t>CT046-3-M: Applied Machine Learning</w:t>
      </w:r>
    </w:p>
    <w:p>
      <w:pPr>
        <w:spacing w:before="0" w:after="200" w:lineRule="auto" w:line="276"/>
        <w:jc w:val="center"/>
      </w:pPr>
      <w:r>
        <w:rPr>
          <w:rFonts w:ascii="Times New Roman" w:hAnsi="Times New Roman" w:eastAsia="Times New Roman"/>
          <w:b w:val="0"/>
          <w:color w:val="000000"/>
          <w:sz w:val="24"/>
        </w:rPr>
        <w:t>Submitted by</w:t>
      </w:r>
    </w:p>
    <w:p>
      <w:pPr>
        <w:spacing w:before="0" w:after="60" w:lineRule="auto" w:line="276"/>
        <w:jc w:val="center"/>
      </w:pPr>
      <w:r>
        <w:rPr>
          <w:rFonts w:ascii="Times New Roman" w:hAnsi="Times New Roman" w:eastAsia="Times New Roman"/>
          <w:b/>
          <w:color w:val="000000"/>
          <w:sz w:val="24"/>
        </w:rPr>
        <w:t>Tanjim Noor</w:t>
      </w:r>
    </w:p>
    <w:p>
      <w:pPr>
        <w:spacing w:before="0" w:after="240" w:lineRule="auto" w:line="276"/>
        <w:jc w:val="center"/>
      </w:pPr>
      <w:r>
        <w:rPr>
          <w:rFonts w:ascii="Times New Roman" w:hAnsi="Times New Roman" w:eastAsia="Times New Roman"/>
          <w:b w:val="0"/>
          <w:color w:val="000000"/>
          <w:sz w:val="24"/>
        </w:rPr>
        <w:t>TP166089</w:t>
      </w:r>
    </w:p>
    <w:p>
      <w:pPr>
        <w:spacing w:before="0" w:after="240" w:lineRule="auto" w:line="276"/>
        <w:jc w:val="center"/>
      </w:pPr>
      <w:r>
        <w:rPr>
          <w:rFonts w:ascii="Times New Roman" w:hAnsi="Times New Roman" w:eastAsia="Times New Roman"/>
          <w:b w:val="0"/>
          <w:color w:val="000000"/>
          <w:sz w:val="24"/>
        </w:rPr>
        <w:t>Asia Pacific University of Technology &amp; Innovation</w:t>
      </w:r>
    </w:p>
    <w:p>
      <w:pPr>
        <w:spacing w:before="0" w:after="0" w:lineRule="auto" w:line="276"/>
        <w:jc w:val="center"/>
      </w:pPr>
      <w:r>
        <w:rPr>
          <w:rFonts w:ascii="Times New Roman" w:hAnsi="Times New Roman" w:eastAsia="Times New Roman"/>
          <w:b w:val="0"/>
          <w:color w:val="000000"/>
          <w:sz w:val="24"/>
        </w:rPr>
        <w:t>Submission date: 31 July 2026</w:t>
      </w:r>
    </w:p>
    <w:p>
      <w:r>
        <w:br w:type="page"/>
      </w:r>
    </w:p>
    <w:p>
      <w:pPr>
        <w:spacing w:before="0" w:after="200" w:lineRule="auto" w:line="240"/>
        <w:jc w:val="center"/>
      </w:pPr>
      <w:r>
        <w:rPr>
          <w:rFonts w:ascii="Times New Roman" w:hAnsi="Times New Roman" w:eastAsia="Times New Roman"/>
          <w:b/>
          <w:color w:val="000000"/>
          <w:sz w:val="30"/>
        </w:rPr>
        <w:t>Abstract</w:t>
      </w:r>
    </w:p>
    <w:p>
      <w:pPr>
        <w:spacing w:before="0" w:after="120" w:lineRule="auto" w:line="360"/>
      </w:pPr>
      <w:r>
        <w:rPr>
          <w:rFonts w:ascii="Times New Roman" w:hAnsi="Times New Roman" w:eastAsia="Times New Roman"/>
          <w:color w:val="000000"/>
          <w:sz w:val="24"/>
        </w:rPr>
        <w:t>Generative-AI tools are increasingly used in higher education, yet their relationship with academic performance remains mixed and context-dependent. This study examined whether recorded AI-use variables improved out-of-sample prediction of semester GPA change beyond previous GPA and general study context, and which regression model offered the strongest balance of accuracy, stability and complexity. The Kaggle Impact of AI on Students dataset contained 50,000 records and 16 source variables. Data quality, validity and distributions were examined before modelling; no valid observations were altered. GPA change was defined as post-semester minus pre-semester GPA. The unique student identifier, post-semester GPA and two other post-outcome variables were excluded to prevent meaningless identification and outcome leakage. A mean baseline, Linear Regression, Ridge Regression, Random Forest and Histogram Gradient Boosting (HGB) were compared through an 80/20 development-test split and shuffled five-fold cross-validation. The combined context-and-AI feature set achieved test R² = 0.4170, compared with 0.2382 for context only and 0.1703 for AI variables only. Tuned HGB achieved test MAE 0.1112, RMSE 0.1414 and R² = 0.4185; bootstrap 95% intervals were 0.1095–0.1130, 0.1394–0.1434 and 0.4007–0.4360, respectively. Three neural architectures were also evaluated. FT-Transformer produced the best neural cross-validation RMSE of 0.1440, but its 0.20% improvement over HGB was below a predefined 1% material-improvement threshold. HGB was therefore retained because it provided comparable accuracy with lower complexity. Traditional study hours, primary AI use case and weekly GenAI hours were the three strongest permutation importances. The results show incremental predictive information, not a causal effect of AI use. Undocumented dataset provenance and substantially higher error for GPA decreases preclude individual or policy decisions from this model.</w:t>
      </w:r>
    </w:p>
    <w:p>
      <w:r>
        <w:br w:type="page"/>
      </w:r>
    </w:p>
    <w:p>
      <w:pPr>
        <w:spacing w:before="0" w:after="200" w:lineRule="auto" w:line="240"/>
        <w:jc w:val="center"/>
      </w:pPr>
      <w:r>
        <w:rPr>
          <w:rFonts w:ascii="Times New Roman" w:hAnsi="Times New Roman" w:eastAsia="Times New Roman"/>
          <w:b/>
          <w:color w:val="000000"/>
          <w:sz w:val="30"/>
        </w:rPr>
        <w:t>Table of Contents</w:t>
      </w:r>
    </w:p>
    <w:p>
      <w:pPr>
        <w:tabs>
          <w:tab w:pos="8064" w:val="right"/>
        </w:tabs>
        <w:spacing w:before="0" w:after="60" w:lineRule="auto" w:line="276"/>
        <w:ind w:left="360" w:hanging="360"/>
      </w:pPr>
      <w:r>
        <w:rPr>
          <w:rFonts w:ascii="Times New Roman" w:hAnsi="Times New Roman" w:eastAsia="Times New Roman"/>
          <w:color w:val="000000"/>
          <w:sz w:val="24"/>
        </w:rPr>
        <w:t>1 Introduction, Aim and Objectives</w:t>
      </w:r>
      <w:r>
        <w:rPr>
          <w:rFonts w:ascii="Times New Roman" w:hAnsi="Times New Roman" w:eastAsia="Times New Roman"/>
          <w:color w:val="000000"/>
          <w:sz w:val="24"/>
        </w:rPr>
        <w:tab/>
        <w:t>1</w:t>
      </w:r>
    </w:p>
    <w:p>
      <w:pPr>
        <w:tabs>
          <w:tab w:pos="8064" w:val="right"/>
        </w:tabs>
        <w:spacing w:before="0" w:after="60" w:lineRule="auto" w:line="276"/>
        <w:ind w:left="720" w:hanging="360"/>
      </w:pPr>
      <w:r>
        <w:rPr>
          <w:rFonts w:ascii="Times New Roman" w:hAnsi="Times New Roman" w:eastAsia="Times New Roman"/>
          <w:color w:val="000000"/>
          <w:sz w:val="24"/>
        </w:rPr>
        <w:t>1.1 Problem context</w:t>
      </w:r>
      <w:r>
        <w:rPr>
          <w:rFonts w:ascii="Times New Roman" w:hAnsi="Times New Roman" w:eastAsia="Times New Roman"/>
          <w:color w:val="000000"/>
          <w:sz w:val="24"/>
        </w:rPr>
        <w:tab/>
        <w:t>1</w:t>
      </w:r>
    </w:p>
    <w:p>
      <w:pPr>
        <w:tabs>
          <w:tab w:pos="8064" w:val="right"/>
        </w:tabs>
        <w:spacing w:before="0" w:after="60" w:lineRule="auto" w:line="276"/>
        <w:ind w:left="720" w:hanging="360"/>
      </w:pPr>
      <w:r>
        <w:rPr>
          <w:rFonts w:ascii="Times New Roman" w:hAnsi="Times New Roman" w:eastAsia="Times New Roman"/>
          <w:color w:val="000000"/>
          <w:sz w:val="24"/>
        </w:rPr>
        <w:t>1.2 Dataset and analytical problem</w:t>
      </w:r>
      <w:r>
        <w:rPr>
          <w:rFonts w:ascii="Times New Roman" w:hAnsi="Times New Roman" w:eastAsia="Times New Roman"/>
          <w:color w:val="000000"/>
          <w:sz w:val="24"/>
        </w:rPr>
        <w:tab/>
        <w:t>2</w:t>
      </w:r>
    </w:p>
    <w:p>
      <w:pPr>
        <w:tabs>
          <w:tab w:pos="8064" w:val="right"/>
        </w:tabs>
        <w:spacing w:before="0" w:after="60" w:lineRule="auto" w:line="276"/>
        <w:ind w:left="720" w:hanging="360"/>
      </w:pPr>
      <w:r>
        <w:rPr>
          <w:rFonts w:ascii="Times New Roman" w:hAnsi="Times New Roman" w:eastAsia="Times New Roman"/>
          <w:color w:val="000000"/>
          <w:sz w:val="24"/>
        </w:rPr>
        <w:t>1.3 Research question</w:t>
      </w:r>
      <w:r>
        <w:rPr>
          <w:rFonts w:ascii="Times New Roman" w:hAnsi="Times New Roman" w:eastAsia="Times New Roman"/>
          <w:color w:val="000000"/>
          <w:sz w:val="24"/>
        </w:rPr>
        <w:tab/>
        <w:t>2</w:t>
      </w:r>
    </w:p>
    <w:p>
      <w:pPr>
        <w:tabs>
          <w:tab w:pos="8064" w:val="right"/>
        </w:tabs>
        <w:spacing w:before="0" w:after="60" w:lineRule="auto" w:line="276"/>
        <w:ind w:left="720" w:hanging="360"/>
      </w:pPr>
      <w:r>
        <w:rPr>
          <w:rFonts w:ascii="Times New Roman" w:hAnsi="Times New Roman" w:eastAsia="Times New Roman"/>
          <w:color w:val="000000"/>
          <w:sz w:val="24"/>
        </w:rPr>
        <w:t>1.4 Aim</w:t>
      </w:r>
      <w:r>
        <w:rPr>
          <w:rFonts w:ascii="Times New Roman" w:hAnsi="Times New Roman" w:eastAsia="Times New Roman"/>
          <w:color w:val="000000"/>
          <w:sz w:val="24"/>
        </w:rPr>
        <w:tab/>
        <w:t>2</w:t>
      </w:r>
    </w:p>
    <w:p>
      <w:pPr>
        <w:tabs>
          <w:tab w:pos="8064" w:val="right"/>
        </w:tabs>
        <w:spacing w:before="0" w:after="60" w:lineRule="auto" w:line="276"/>
        <w:ind w:left="720" w:hanging="360"/>
      </w:pPr>
      <w:r>
        <w:rPr>
          <w:rFonts w:ascii="Times New Roman" w:hAnsi="Times New Roman" w:eastAsia="Times New Roman"/>
          <w:color w:val="000000"/>
          <w:sz w:val="24"/>
        </w:rPr>
        <w:t>1.5 Objectives</w:t>
      </w:r>
      <w:r>
        <w:rPr>
          <w:rFonts w:ascii="Times New Roman" w:hAnsi="Times New Roman" w:eastAsia="Times New Roman"/>
          <w:color w:val="000000"/>
          <w:sz w:val="24"/>
        </w:rPr>
        <w:tab/>
        <w:t>3</w:t>
      </w:r>
    </w:p>
    <w:p>
      <w:pPr>
        <w:tabs>
          <w:tab w:pos="8064" w:val="right"/>
        </w:tabs>
        <w:spacing w:before="0" w:after="60" w:lineRule="auto" w:line="276"/>
        <w:ind w:left="720" w:hanging="360"/>
      </w:pPr>
      <w:r>
        <w:rPr>
          <w:rFonts w:ascii="Times New Roman" w:hAnsi="Times New Roman" w:eastAsia="Times New Roman"/>
          <w:color w:val="000000"/>
          <w:sz w:val="24"/>
        </w:rPr>
        <w:t>1.6 Scope and contribution</w:t>
      </w:r>
      <w:r>
        <w:rPr>
          <w:rFonts w:ascii="Times New Roman" w:hAnsi="Times New Roman" w:eastAsia="Times New Roman"/>
          <w:color w:val="000000"/>
          <w:sz w:val="24"/>
        </w:rPr>
        <w:tab/>
        <w:t>3</w:t>
      </w:r>
    </w:p>
    <w:p>
      <w:pPr>
        <w:tabs>
          <w:tab w:pos="8064" w:val="right"/>
        </w:tabs>
        <w:spacing w:before="0" w:after="60" w:lineRule="auto" w:line="276"/>
        <w:ind w:left="360" w:hanging="360"/>
      </w:pPr>
      <w:r>
        <w:rPr>
          <w:rFonts w:ascii="Times New Roman" w:hAnsi="Times New Roman" w:eastAsia="Times New Roman"/>
          <w:color w:val="000000"/>
          <w:sz w:val="24"/>
        </w:rPr>
        <w:t>2 Related Works</w:t>
      </w:r>
      <w:r>
        <w:rPr>
          <w:rFonts w:ascii="Times New Roman" w:hAnsi="Times New Roman" w:eastAsia="Times New Roman"/>
          <w:color w:val="000000"/>
          <w:sz w:val="24"/>
        </w:rPr>
        <w:tab/>
        <w:t>4</w:t>
      </w:r>
    </w:p>
    <w:p>
      <w:pPr>
        <w:tabs>
          <w:tab w:pos="8064" w:val="right"/>
        </w:tabs>
        <w:spacing w:before="0" w:after="60" w:lineRule="auto" w:line="276"/>
        <w:ind w:left="720" w:hanging="360"/>
      </w:pPr>
      <w:r>
        <w:rPr>
          <w:rFonts w:ascii="Times New Roman" w:hAnsi="Times New Roman" w:eastAsia="Times New Roman"/>
          <w:color w:val="000000"/>
          <w:sz w:val="24"/>
        </w:rPr>
        <w:t>2.1 Review method</w:t>
      </w:r>
      <w:r>
        <w:rPr>
          <w:rFonts w:ascii="Times New Roman" w:hAnsi="Times New Roman" w:eastAsia="Times New Roman"/>
          <w:color w:val="000000"/>
          <w:sz w:val="24"/>
        </w:rPr>
        <w:tab/>
        <w:t>4</w:t>
      </w:r>
    </w:p>
    <w:p>
      <w:pPr>
        <w:tabs>
          <w:tab w:pos="8064" w:val="right"/>
        </w:tabs>
        <w:spacing w:before="0" w:after="60" w:lineRule="auto" w:line="276"/>
        <w:ind w:left="720" w:hanging="360"/>
      </w:pPr>
      <w:r>
        <w:rPr>
          <w:rFonts w:ascii="Times New Roman" w:hAnsi="Times New Roman" w:eastAsia="Times New Roman"/>
          <w:color w:val="000000"/>
          <w:sz w:val="24"/>
        </w:rPr>
        <w:t>2.2 AI in higher education</w:t>
      </w:r>
      <w:r>
        <w:rPr>
          <w:rFonts w:ascii="Times New Roman" w:hAnsi="Times New Roman" w:eastAsia="Times New Roman"/>
          <w:color w:val="000000"/>
          <w:sz w:val="24"/>
        </w:rPr>
        <w:tab/>
        <w:t>5</w:t>
      </w:r>
    </w:p>
    <w:p>
      <w:pPr>
        <w:tabs>
          <w:tab w:pos="8064" w:val="right"/>
        </w:tabs>
        <w:spacing w:before="0" w:after="60" w:lineRule="auto" w:line="276"/>
        <w:ind w:left="720" w:hanging="360"/>
      </w:pPr>
      <w:r>
        <w:rPr>
          <w:rFonts w:ascii="Times New Roman" w:hAnsi="Times New Roman" w:eastAsia="Times New Roman"/>
          <w:color w:val="000000"/>
          <w:sz w:val="24"/>
        </w:rPr>
        <w:t>2.3 Mixed evidence on academic outcomes</w:t>
      </w:r>
      <w:r>
        <w:rPr>
          <w:rFonts w:ascii="Times New Roman" w:hAnsi="Times New Roman" w:eastAsia="Times New Roman"/>
          <w:color w:val="000000"/>
          <w:sz w:val="24"/>
        </w:rPr>
        <w:tab/>
        <w:t>5</w:t>
      </w:r>
    </w:p>
    <w:p>
      <w:pPr>
        <w:tabs>
          <w:tab w:pos="8064" w:val="right"/>
        </w:tabs>
        <w:spacing w:before="0" w:after="60" w:lineRule="auto" w:line="276"/>
        <w:ind w:left="720" w:hanging="360"/>
      </w:pPr>
      <w:r>
        <w:rPr>
          <w:rFonts w:ascii="Times New Roman" w:hAnsi="Times New Roman" w:eastAsia="Times New Roman"/>
          <w:color w:val="000000"/>
          <w:sz w:val="24"/>
        </w:rPr>
        <w:t>2.4 AI literacy and prompt skill</w:t>
      </w:r>
      <w:r>
        <w:rPr>
          <w:rFonts w:ascii="Times New Roman" w:hAnsi="Times New Roman" w:eastAsia="Times New Roman"/>
          <w:color w:val="000000"/>
          <w:sz w:val="24"/>
        </w:rPr>
        <w:tab/>
        <w:t>6</w:t>
      </w:r>
    </w:p>
    <w:p>
      <w:pPr>
        <w:tabs>
          <w:tab w:pos="8064" w:val="right"/>
        </w:tabs>
        <w:spacing w:before="0" w:after="60" w:lineRule="auto" w:line="276"/>
        <w:ind w:left="720" w:hanging="360"/>
      </w:pPr>
      <w:r>
        <w:rPr>
          <w:rFonts w:ascii="Times New Roman" w:hAnsi="Times New Roman" w:eastAsia="Times New Roman"/>
          <w:color w:val="000000"/>
          <w:sz w:val="24"/>
        </w:rPr>
        <w:t>2.5 Predicting academic performance</w:t>
      </w:r>
      <w:r>
        <w:rPr>
          <w:rFonts w:ascii="Times New Roman" w:hAnsi="Times New Roman" w:eastAsia="Times New Roman"/>
          <w:color w:val="000000"/>
          <w:sz w:val="24"/>
        </w:rPr>
        <w:tab/>
        <w:t>6</w:t>
      </w:r>
    </w:p>
    <w:p>
      <w:pPr>
        <w:tabs>
          <w:tab w:pos="8064" w:val="right"/>
        </w:tabs>
        <w:spacing w:before="0" w:after="60" w:lineRule="auto" w:line="276"/>
        <w:ind w:left="720" w:hanging="360"/>
      </w:pPr>
      <w:r>
        <w:rPr>
          <w:rFonts w:ascii="Times New Roman" w:hAnsi="Times New Roman" w:eastAsia="Times New Roman"/>
          <w:color w:val="000000"/>
          <w:sz w:val="24"/>
        </w:rPr>
        <w:t>2.6 Methodological and software foundations</w:t>
      </w:r>
      <w:r>
        <w:rPr>
          <w:rFonts w:ascii="Times New Roman" w:hAnsi="Times New Roman" w:eastAsia="Times New Roman"/>
          <w:color w:val="000000"/>
          <w:sz w:val="24"/>
        </w:rPr>
        <w:tab/>
        <w:t>6</w:t>
      </w:r>
    </w:p>
    <w:p>
      <w:pPr>
        <w:tabs>
          <w:tab w:pos="8064" w:val="right"/>
        </w:tabs>
        <w:spacing w:before="0" w:after="60" w:lineRule="auto" w:line="276"/>
        <w:ind w:left="720" w:hanging="360"/>
      </w:pPr>
      <w:r>
        <w:rPr>
          <w:rFonts w:ascii="Times New Roman" w:hAnsi="Times New Roman" w:eastAsia="Times New Roman"/>
          <w:color w:val="000000"/>
          <w:sz w:val="24"/>
        </w:rPr>
        <w:t>2.7 Comparative synthesis and research gap</w:t>
      </w:r>
      <w:r>
        <w:rPr>
          <w:rFonts w:ascii="Times New Roman" w:hAnsi="Times New Roman" w:eastAsia="Times New Roman"/>
          <w:color w:val="000000"/>
          <w:sz w:val="24"/>
        </w:rPr>
        <w:tab/>
        <w:t>7</w:t>
      </w:r>
    </w:p>
    <w:p>
      <w:pPr>
        <w:tabs>
          <w:tab w:pos="8064" w:val="right"/>
        </w:tabs>
        <w:spacing w:before="0" w:after="60" w:lineRule="auto" w:line="276"/>
        <w:ind w:left="360" w:hanging="360"/>
      </w:pPr>
      <w:r>
        <w:rPr>
          <w:rFonts w:ascii="Times New Roman" w:hAnsi="Times New Roman" w:eastAsia="Times New Roman"/>
          <w:color w:val="000000"/>
          <w:sz w:val="24"/>
        </w:rPr>
        <w:t>3 Methods</w:t>
      </w:r>
      <w:r>
        <w:rPr>
          <w:rFonts w:ascii="Times New Roman" w:hAnsi="Times New Roman" w:eastAsia="Times New Roman"/>
          <w:color w:val="000000"/>
          <w:sz w:val="24"/>
        </w:rPr>
        <w:tab/>
        <w:t>9</w:t>
      </w:r>
    </w:p>
    <w:p>
      <w:pPr>
        <w:tabs>
          <w:tab w:pos="8064" w:val="right"/>
        </w:tabs>
        <w:spacing w:before="0" w:after="60" w:lineRule="auto" w:line="276"/>
        <w:ind w:left="720" w:hanging="360"/>
      </w:pPr>
      <w:r>
        <w:rPr>
          <w:rFonts w:ascii="Times New Roman" w:hAnsi="Times New Roman" w:eastAsia="Times New Roman"/>
          <w:color w:val="000000"/>
          <w:sz w:val="24"/>
        </w:rPr>
        <w:t>3.1 Research design</w:t>
      </w:r>
      <w:r>
        <w:rPr>
          <w:rFonts w:ascii="Times New Roman" w:hAnsi="Times New Roman" w:eastAsia="Times New Roman"/>
          <w:color w:val="000000"/>
          <w:sz w:val="24"/>
        </w:rPr>
        <w:tab/>
        <w:t>9</w:t>
      </w:r>
    </w:p>
    <w:p>
      <w:pPr>
        <w:tabs>
          <w:tab w:pos="8064" w:val="right"/>
        </w:tabs>
        <w:spacing w:before="0" w:after="60" w:lineRule="auto" w:line="276"/>
        <w:ind w:left="720" w:hanging="360"/>
      </w:pPr>
      <w:r>
        <w:rPr>
          <w:rFonts w:ascii="Times New Roman" w:hAnsi="Times New Roman" w:eastAsia="Times New Roman"/>
          <w:color w:val="000000"/>
          <w:sz w:val="24"/>
        </w:rPr>
        <w:t>3.2 Data and feature groups</w:t>
      </w:r>
      <w:r>
        <w:rPr>
          <w:rFonts w:ascii="Times New Roman" w:hAnsi="Times New Roman" w:eastAsia="Times New Roman"/>
          <w:color w:val="000000"/>
          <w:sz w:val="24"/>
        </w:rPr>
        <w:tab/>
        <w:t>9</w:t>
      </w:r>
    </w:p>
    <w:p>
      <w:pPr>
        <w:tabs>
          <w:tab w:pos="8064" w:val="right"/>
        </w:tabs>
        <w:spacing w:before="0" w:after="60" w:lineRule="auto" w:line="276"/>
        <w:ind w:left="720" w:hanging="360"/>
      </w:pPr>
      <w:r>
        <w:rPr>
          <w:rFonts w:ascii="Times New Roman" w:hAnsi="Times New Roman" w:eastAsia="Times New Roman"/>
          <w:color w:val="000000"/>
          <w:sz w:val="24"/>
        </w:rPr>
        <w:t>3.3 Experimental procedure</w:t>
      </w:r>
      <w:r>
        <w:rPr>
          <w:rFonts w:ascii="Times New Roman" w:hAnsi="Times New Roman" w:eastAsia="Times New Roman"/>
          <w:color w:val="000000"/>
          <w:sz w:val="24"/>
        </w:rPr>
        <w:tab/>
        <w:t>10</w:t>
      </w:r>
    </w:p>
    <w:p>
      <w:pPr>
        <w:tabs>
          <w:tab w:pos="8064" w:val="right"/>
        </w:tabs>
        <w:spacing w:before="0" w:after="60" w:lineRule="auto" w:line="276"/>
        <w:ind w:left="360" w:hanging="360"/>
      </w:pPr>
      <w:r>
        <w:rPr>
          <w:rFonts w:ascii="Times New Roman" w:hAnsi="Times New Roman" w:eastAsia="Times New Roman"/>
          <w:color w:val="000000"/>
          <w:sz w:val="24"/>
        </w:rPr>
        <w:t>4 Dataset Preparation</w:t>
      </w:r>
      <w:r>
        <w:rPr>
          <w:rFonts w:ascii="Times New Roman" w:hAnsi="Times New Roman" w:eastAsia="Times New Roman"/>
          <w:color w:val="000000"/>
          <w:sz w:val="24"/>
        </w:rPr>
        <w:tab/>
        <w:t>12</w:t>
      </w:r>
    </w:p>
    <w:p>
      <w:pPr>
        <w:tabs>
          <w:tab w:pos="8064" w:val="right"/>
        </w:tabs>
        <w:spacing w:before="0" w:after="60" w:lineRule="auto" w:line="276"/>
        <w:ind w:left="720" w:hanging="360"/>
      </w:pPr>
      <w:r>
        <w:rPr>
          <w:rFonts w:ascii="Times New Roman" w:hAnsi="Times New Roman" w:eastAsia="Times New Roman"/>
          <w:color w:val="000000"/>
          <w:sz w:val="24"/>
        </w:rPr>
        <w:t>4.1 Data understanding, audit and target construction</w:t>
      </w:r>
      <w:r>
        <w:rPr>
          <w:rFonts w:ascii="Times New Roman" w:hAnsi="Times New Roman" w:eastAsia="Times New Roman"/>
          <w:color w:val="000000"/>
          <w:sz w:val="24"/>
        </w:rPr>
        <w:tab/>
        <w:t>12</w:t>
      </w:r>
    </w:p>
    <w:p>
      <w:pPr>
        <w:tabs>
          <w:tab w:pos="8064" w:val="right"/>
        </w:tabs>
        <w:spacing w:before="0" w:after="60" w:lineRule="auto" w:line="276"/>
        <w:ind w:left="720" w:hanging="360"/>
      </w:pPr>
      <w:r>
        <w:rPr>
          <w:rFonts w:ascii="Times New Roman" w:hAnsi="Times New Roman" w:eastAsia="Times New Roman"/>
          <w:color w:val="000000"/>
          <w:sz w:val="24"/>
        </w:rPr>
        <w:t>4.2 Preparation and leakage control</w:t>
      </w:r>
      <w:r>
        <w:rPr>
          <w:rFonts w:ascii="Times New Roman" w:hAnsi="Times New Roman" w:eastAsia="Times New Roman"/>
          <w:color w:val="000000"/>
          <w:sz w:val="24"/>
        </w:rPr>
        <w:tab/>
        <w:t>15</w:t>
      </w:r>
    </w:p>
    <w:p>
      <w:pPr>
        <w:tabs>
          <w:tab w:pos="8064" w:val="right"/>
        </w:tabs>
        <w:spacing w:before="0" w:after="60" w:lineRule="auto" w:line="276"/>
        <w:ind w:left="360" w:hanging="360"/>
      </w:pPr>
      <w:r>
        <w:rPr>
          <w:rFonts w:ascii="Times New Roman" w:hAnsi="Times New Roman" w:eastAsia="Times New Roman"/>
          <w:color w:val="000000"/>
          <w:sz w:val="24"/>
        </w:rPr>
        <w:t>5 Model Implementation</w:t>
      </w:r>
      <w:r>
        <w:rPr>
          <w:rFonts w:ascii="Times New Roman" w:hAnsi="Times New Roman" w:eastAsia="Times New Roman"/>
          <w:color w:val="000000"/>
          <w:sz w:val="24"/>
        </w:rPr>
        <w:tab/>
        <w:t>17</w:t>
      </w:r>
    </w:p>
    <w:p>
      <w:pPr>
        <w:tabs>
          <w:tab w:pos="8064" w:val="right"/>
        </w:tabs>
        <w:spacing w:before="0" w:after="60" w:lineRule="auto" w:line="276"/>
        <w:ind w:left="720" w:hanging="360"/>
      </w:pPr>
      <w:r>
        <w:rPr>
          <w:rFonts w:ascii="Times New Roman" w:hAnsi="Times New Roman" w:eastAsia="Times New Roman"/>
          <w:color w:val="000000"/>
          <w:sz w:val="24"/>
        </w:rPr>
        <w:t>5.1 Common pipeline</w:t>
      </w:r>
      <w:r>
        <w:rPr>
          <w:rFonts w:ascii="Times New Roman" w:hAnsi="Times New Roman" w:eastAsia="Times New Roman"/>
          <w:color w:val="000000"/>
          <w:sz w:val="24"/>
        </w:rPr>
        <w:tab/>
        <w:t>17</w:t>
      </w:r>
    </w:p>
    <w:p>
      <w:pPr>
        <w:tabs>
          <w:tab w:pos="8064" w:val="right"/>
        </w:tabs>
        <w:spacing w:before="0" w:after="60" w:lineRule="auto" w:line="276"/>
        <w:ind w:left="720" w:hanging="360"/>
      </w:pPr>
      <w:r>
        <w:rPr>
          <w:rFonts w:ascii="Times New Roman" w:hAnsi="Times New Roman" w:eastAsia="Times New Roman"/>
          <w:color w:val="000000"/>
          <w:sz w:val="24"/>
        </w:rPr>
        <w:t>5.2 Candidate regressors</w:t>
      </w:r>
      <w:r>
        <w:rPr>
          <w:rFonts w:ascii="Times New Roman" w:hAnsi="Times New Roman" w:eastAsia="Times New Roman"/>
          <w:color w:val="000000"/>
          <w:sz w:val="24"/>
        </w:rPr>
        <w:tab/>
        <w:t>17</w:t>
      </w:r>
    </w:p>
    <w:p>
      <w:pPr>
        <w:tabs>
          <w:tab w:pos="8064" w:val="right"/>
        </w:tabs>
        <w:spacing w:before="0" w:after="60" w:lineRule="auto" w:line="276"/>
        <w:ind w:left="720" w:hanging="360"/>
      </w:pPr>
      <w:r>
        <w:rPr>
          <w:rFonts w:ascii="Times New Roman" w:hAnsi="Times New Roman" w:eastAsia="Times New Roman"/>
          <w:color w:val="000000"/>
          <w:sz w:val="24"/>
        </w:rPr>
        <w:t>5.3 Feature-set ablation</w:t>
      </w:r>
      <w:r>
        <w:rPr>
          <w:rFonts w:ascii="Times New Roman" w:hAnsi="Times New Roman" w:eastAsia="Times New Roman"/>
          <w:color w:val="000000"/>
          <w:sz w:val="24"/>
        </w:rPr>
        <w:tab/>
        <w:t>18</w:t>
      </w:r>
    </w:p>
    <w:p>
      <w:pPr>
        <w:tabs>
          <w:tab w:pos="8064" w:val="right"/>
        </w:tabs>
        <w:spacing w:before="0" w:after="60" w:lineRule="auto" w:line="276"/>
        <w:ind w:left="720" w:hanging="360"/>
      </w:pPr>
      <w:r>
        <w:rPr>
          <w:rFonts w:ascii="Times New Roman" w:hAnsi="Times New Roman" w:eastAsia="Times New Roman"/>
          <w:color w:val="000000"/>
          <w:sz w:val="24"/>
        </w:rPr>
        <w:t>5.4 Hyperparameter optimisation</w:t>
      </w:r>
      <w:r>
        <w:rPr>
          <w:rFonts w:ascii="Times New Roman" w:hAnsi="Times New Roman" w:eastAsia="Times New Roman"/>
          <w:color w:val="000000"/>
          <w:sz w:val="24"/>
        </w:rPr>
        <w:tab/>
        <w:t>19</w:t>
      </w:r>
    </w:p>
    <w:p>
      <w:pPr>
        <w:tabs>
          <w:tab w:pos="8064" w:val="right"/>
        </w:tabs>
        <w:spacing w:before="0" w:after="60" w:lineRule="auto" w:line="276"/>
        <w:ind w:left="720" w:hanging="360"/>
      </w:pPr>
      <w:r>
        <w:rPr>
          <w:rFonts w:ascii="Times New Roman" w:hAnsi="Times New Roman" w:eastAsia="Times New Roman"/>
          <w:color w:val="000000"/>
          <w:sz w:val="24"/>
        </w:rPr>
        <w:t>5.5 Neural-model comparison and selection decision</w:t>
      </w:r>
      <w:r>
        <w:rPr>
          <w:rFonts w:ascii="Times New Roman" w:hAnsi="Times New Roman" w:eastAsia="Times New Roman"/>
          <w:color w:val="000000"/>
          <w:sz w:val="24"/>
        </w:rPr>
        <w:tab/>
        <w:t>20</w:t>
      </w:r>
    </w:p>
    <w:p>
      <w:pPr>
        <w:tabs>
          <w:tab w:pos="8064" w:val="right"/>
        </w:tabs>
        <w:spacing w:before="0" w:after="60" w:lineRule="auto" w:line="276"/>
        <w:ind w:left="720" w:hanging="360"/>
      </w:pPr>
      <w:r>
        <w:rPr>
          <w:rFonts w:ascii="Times New Roman" w:hAnsi="Times New Roman" w:eastAsia="Times New Roman"/>
          <w:color w:val="000000"/>
          <w:sz w:val="24"/>
        </w:rPr>
        <w:t>5.6 Final fitting and interpretation outputs</w:t>
      </w:r>
      <w:r>
        <w:rPr>
          <w:rFonts w:ascii="Times New Roman" w:hAnsi="Times New Roman" w:eastAsia="Times New Roman"/>
          <w:color w:val="000000"/>
          <w:sz w:val="24"/>
        </w:rPr>
        <w:tab/>
        <w:t>21</w:t>
      </w:r>
    </w:p>
    <w:p>
      <w:pPr>
        <w:tabs>
          <w:tab w:pos="8064" w:val="right"/>
        </w:tabs>
        <w:spacing w:before="0" w:after="60" w:lineRule="auto" w:line="276"/>
        <w:ind w:left="360" w:hanging="360"/>
      </w:pPr>
      <w:r>
        <w:rPr>
          <w:rFonts w:ascii="Times New Roman" w:hAnsi="Times New Roman" w:eastAsia="Times New Roman"/>
          <w:color w:val="000000"/>
          <w:sz w:val="24"/>
        </w:rPr>
        <w:t>6 Model Validation</w:t>
      </w:r>
      <w:r>
        <w:rPr>
          <w:rFonts w:ascii="Times New Roman" w:hAnsi="Times New Roman" w:eastAsia="Times New Roman"/>
          <w:color w:val="000000"/>
          <w:sz w:val="24"/>
        </w:rPr>
        <w:tab/>
        <w:t>22</w:t>
      </w:r>
    </w:p>
    <w:p>
      <w:pPr>
        <w:tabs>
          <w:tab w:pos="8064" w:val="right"/>
        </w:tabs>
        <w:spacing w:before="0" w:after="60" w:lineRule="auto" w:line="276"/>
        <w:ind w:left="720" w:hanging="360"/>
      </w:pPr>
      <w:r>
        <w:rPr>
          <w:rFonts w:ascii="Times New Roman" w:hAnsi="Times New Roman" w:eastAsia="Times New Roman"/>
          <w:color w:val="000000"/>
          <w:sz w:val="24"/>
        </w:rPr>
        <w:t>6.1 Cross-validation and model selection</w:t>
      </w:r>
      <w:r>
        <w:rPr>
          <w:rFonts w:ascii="Times New Roman" w:hAnsi="Times New Roman" w:eastAsia="Times New Roman"/>
          <w:color w:val="000000"/>
          <w:sz w:val="24"/>
        </w:rPr>
        <w:tab/>
        <w:t>22</w:t>
      </w:r>
    </w:p>
    <w:p>
      <w:pPr>
        <w:tabs>
          <w:tab w:pos="8064" w:val="right"/>
        </w:tabs>
        <w:spacing w:before="0" w:after="60" w:lineRule="auto" w:line="276"/>
        <w:ind w:left="720" w:hanging="360"/>
      </w:pPr>
      <w:r>
        <w:rPr>
          <w:rFonts w:ascii="Times New Roman" w:hAnsi="Times New Roman" w:eastAsia="Times New Roman"/>
          <w:color w:val="000000"/>
          <w:sz w:val="24"/>
        </w:rPr>
        <w:t>6.2 Test confirmation</w:t>
      </w:r>
      <w:r>
        <w:rPr>
          <w:rFonts w:ascii="Times New Roman" w:hAnsi="Times New Roman" w:eastAsia="Times New Roman"/>
          <w:color w:val="000000"/>
          <w:sz w:val="24"/>
        </w:rPr>
        <w:tab/>
        <w:t>23</w:t>
      </w:r>
    </w:p>
    <w:p>
      <w:pPr>
        <w:tabs>
          <w:tab w:pos="8064" w:val="right"/>
        </w:tabs>
        <w:spacing w:before="0" w:after="60" w:lineRule="auto" w:line="276"/>
        <w:ind w:left="720" w:hanging="360"/>
      </w:pPr>
      <w:r>
        <w:rPr>
          <w:rFonts w:ascii="Times New Roman" w:hAnsi="Times New Roman" w:eastAsia="Times New Roman"/>
          <w:color w:val="000000"/>
          <w:sz w:val="24"/>
        </w:rPr>
        <w:t>6.3 Residual behaviour</w:t>
      </w:r>
      <w:r>
        <w:rPr>
          <w:rFonts w:ascii="Times New Roman" w:hAnsi="Times New Roman" w:eastAsia="Times New Roman"/>
          <w:color w:val="000000"/>
          <w:sz w:val="24"/>
        </w:rPr>
        <w:tab/>
        <w:t>24</w:t>
      </w:r>
    </w:p>
    <w:p>
      <w:pPr>
        <w:tabs>
          <w:tab w:pos="8064" w:val="right"/>
        </w:tabs>
        <w:spacing w:before="0" w:after="60" w:lineRule="auto" w:line="276"/>
        <w:ind w:left="720" w:hanging="360"/>
      </w:pPr>
      <w:r>
        <w:rPr>
          <w:rFonts w:ascii="Times New Roman" w:hAnsi="Times New Roman" w:eastAsia="Times New Roman"/>
          <w:color w:val="000000"/>
          <w:sz w:val="24"/>
        </w:rPr>
        <w:t>6.4 Direction-specific error and bias risk</w:t>
      </w:r>
      <w:r>
        <w:rPr>
          <w:rFonts w:ascii="Times New Roman" w:hAnsi="Times New Roman" w:eastAsia="Times New Roman"/>
          <w:color w:val="000000"/>
          <w:sz w:val="24"/>
        </w:rPr>
        <w:tab/>
        <w:t>25</w:t>
      </w:r>
    </w:p>
    <w:p>
      <w:pPr>
        <w:tabs>
          <w:tab w:pos="8064" w:val="right"/>
        </w:tabs>
        <w:spacing w:before="0" w:after="60" w:lineRule="auto" w:line="276"/>
        <w:ind w:left="360" w:hanging="360"/>
      </w:pPr>
      <w:r>
        <w:rPr>
          <w:rFonts w:ascii="Times New Roman" w:hAnsi="Times New Roman" w:eastAsia="Times New Roman"/>
          <w:color w:val="000000"/>
          <w:sz w:val="24"/>
        </w:rPr>
        <w:t>7 Analysis and Recommendations</w:t>
      </w:r>
      <w:r>
        <w:rPr>
          <w:rFonts w:ascii="Times New Roman" w:hAnsi="Times New Roman" w:eastAsia="Times New Roman"/>
          <w:color w:val="000000"/>
          <w:sz w:val="24"/>
        </w:rPr>
        <w:tab/>
        <w:t>26</w:t>
      </w:r>
    </w:p>
    <w:p>
      <w:pPr>
        <w:tabs>
          <w:tab w:pos="8064" w:val="right"/>
        </w:tabs>
        <w:spacing w:before="0" w:after="60" w:lineRule="auto" w:line="276"/>
        <w:ind w:left="720" w:hanging="360"/>
      </w:pPr>
      <w:r>
        <w:rPr>
          <w:rFonts w:ascii="Times New Roman" w:hAnsi="Times New Roman" w:eastAsia="Times New Roman"/>
          <w:color w:val="000000"/>
          <w:sz w:val="24"/>
        </w:rPr>
        <w:t>7.1 Answer to the research question</w:t>
      </w:r>
      <w:r>
        <w:rPr>
          <w:rFonts w:ascii="Times New Roman" w:hAnsi="Times New Roman" w:eastAsia="Times New Roman"/>
          <w:color w:val="000000"/>
          <w:sz w:val="24"/>
        </w:rPr>
        <w:tab/>
        <w:t>26</w:t>
      </w:r>
    </w:p>
    <w:p>
      <w:pPr>
        <w:tabs>
          <w:tab w:pos="8064" w:val="right"/>
        </w:tabs>
        <w:spacing w:before="0" w:after="60" w:lineRule="auto" w:line="276"/>
        <w:ind w:left="720" w:hanging="360"/>
      </w:pPr>
      <w:r>
        <w:rPr>
          <w:rFonts w:ascii="Times New Roman" w:hAnsi="Times New Roman" w:eastAsia="Times New Roman"/>
          <w:color w:val="000000"/>
          <w:sz w:val="24"/>
        </w:rPr>
        <w:t>7.2 Why nonlinear models performed better</w:t>
      </w:r>
      <w:r>
        <w:rPr>
          <w:rFonts w:ascii="Times New Roman" w:hAnsi="Times New Roman" w:eastAsia="Times New Roman"/>
          <w:color w:val="000000"/>
          <w:sz w:val="24"/>
        </w:rPr>
        <w:tab/>
        <w:t>27</w:t>
      </w:r>
    </w:p>
    <w:p>
      <w:pPr>
        <w:tabs>
          <w:tab w:pos="8064" w:val="right"/>
        </w:tabs>
        <w:spacing w:before="0" w:after="60" w:lineRule="auto" w:line="276"/>
        <w:ind w:left="720" w:hanging="360"/>
      </w:pPr>
      <w:r>
        <w:rPr>
          <w:rFonts w:ascii="Times New Roman" w:hAnsi="Times New Roman" w:eastAsia="Times New Roman"/>
          <w:color w:val="000000"/>
          <w:sz w:val="24"/>
        </w:rPr>
        <w:t>7.3 Predictive importance and anomalies</w:t>
      </w:r>
      <w:r>
        <w:rPr>
          <w:rFonts w:ascii="Times New Roman" w:hAnsi="Times New Roman" w:eastAsia="Times New Roman"/>
          <w:color w:val="000000"/>
          <w:sz w:val="24"/>
        </w:rPr>
        <w:tab/>
        <w:t>28</w:t>
      </w:r>
    </w:p>
    <w:p>
      <w:pPr>
        <w:tabs>
          <w:tab w:pos="8064" w:val="right"/>
        </w:tabs>
        <w:spacing w:before="0" w:after="60" w:lineRule="auto" w:line="276"/>
        <w:ind w:left="720" w:hanging="360"/>
      </w:pPr>
      <w:r>
        <w:rPr>
          <w:rFonts w:ascii="Times New Roman" w:hAnsi="Times New Roman" w:eastAsia="Times New Roman"/>
          <w:color w:val="000000"/>
          <w:sz w:val="24"/>
        </w:rPr>
        <w:t>7.4 Relationship to prior evidence</w:t>
      </w:r>
      <w:r>
        <w:rPr>
          <w:rFonts w:ascii="Times New Roman" w:hAnsi="Times New Roman" w:eastAsia="Times New Roman"/>
          <w:color w:val="000000"/>
          <w:sz w:val="24"/>
        </w:rPr>
        <w:tab/>
        <w:t>29</w:t>
      </w:r>
    </w:p>
    <w:p>
      <w:pPr>
        <w:tabs>
          <w:tab w:pos="8064" w:val="right"/>
        </w:tabs>
        <w:spacing w:before="0" w:after="60" w:lineRule="auto" w:line="276"/>
        <w:ind w:left="720" w:hanging="360"/>
      </w:pPr>
      <w:r>
        <w:rPr>
          <w:rFonts w:ascii="Times New Roman" w:hAnsi="Times New Roman" w:eastAsia="Times New Roman"/>
          <w:color w:val="000000"/>
          <w:sz w:val="24"/>
        </w:rPr>
        <w:t>7.5 Recommendations</w:t>
      </w:r>
      <w:r>
        <w:rPr>
          <w:rFonts w:ascii="Times New Roman" w:hAnsi="Times New Roman" w:eastAsia="Times New Roman"/>
          <w:color w:val="000000"/>
          <w:sz w:val="24"/>
        </w:rPr>
        <w:tab/>
        <w:t>30</w:t>
      </w:r>
    </w:p>
    <w:p>
      <w:pPr>
        <w:tabs>
          <w:tab w:pos="8064" w:val="right"/>
        </w:tabs>
        <w:spacing w:before="0" w:after="60" w:lineRule="auto" w:line="276"/>
        <w:ind w:left="360" w:hanging="360"/>
      </w:pPr>
      <w:r>
        <w:rPr>
          <w:rFonts w:ascii="Times New Roman" w:hAnsi="Times New Roman" w:eastAsia="Times New Roman"/>
          <w:color w:val="000000"/>
          <w:sz w:val="24"/>
        </w:rPr>
        <w:t>8 Conclusion</w:t>
      </w:r>
      <w:r>
        <w:rPr>
          <w:rFonts w:ascii="Times New Roman" w:hAnsi="Times New Roman" w:eastAsia="Times New Roman"/>
          <w:color w:val="000000"/>
          <w:sz w:val="24"/>
        </w:rPr>
        <w:tab/>
        <w:t>31</w:t>
      </w:r>
    </w:p>
    <w:p>
      <w:pPr>
        <w:tabs>
          <w:tab w:pos="8064" w:val="right"/>
        </w:tabs>
        <w:spacing w:before="0" w:after="60" w:lineRule="auto" w:line="276"/>
        <w:ind w:left="360" w:hanging="360"/>
      </w:pPr>
      <w:r>
        <w:rPr>
          <w:rFonts w:ascii="Times New Roman" w:hAnsi="Times New Roman" w:eastAsia="Times New Roman"/>
          <w:color w:val="000000"/>
          <w:sz w:val="24"/>
        </w:rPr>
        <w:t>References</w:t>
      </w:r>
      <w:r>
        <w:rPr>
          <w:rFonts w:ascii="Times New Roman" w:hAnsi="Times New Roman" w:eastAsia="Times New Roman"/>
          <w:color w:val="000000"/>
          <w:sz w:val="24"/>
        </w:rPr>
        <w:tab/>
        <w:t>33</w:t>
      </w:r>
    </w:p>
    <w:p>
      <w:pPr>
        <w:tabs>
          <w:tab w:pos="8064" w:val="right"/>
        </w:tabs>
        <w:spacing w:before="0" w:after="60" w:lineRule="auto" w:line="276"/>
        <w:ind w:left="360" w:hanging="360"/>
      </w:pPr>
      <w:r>
        <w:rPr>
          <w:rFonts w:ascii="Times New Roman" w:hAnsi="Times New Roman" w:eastAsia="Times New Roman"/>
          <w:color w:val="000000"/>
          <w:sz w:val="24"/>
        </w:rPr>
        <w:t>Acknowledgements</w:t>
      </w:r>
      <w:r>
        <w:rPr>
          <w:rFonts w:ascii="Times New Roman" w:hAnsi="Times New Roman" w:eastAsia="Times New Roman"/>
          <w:color w:val="000000"/>
          <w:sz w:val="24"/>
        </w:rPr>
        <w:tab/>
        <w:t>36</w:t>
      </w:r>
    </w:p>
    <w:p>
      <w:r>
        <w:br w:type="page"/>
      </w:r>
    </w:p>
    <w:p>
      <w:pPr>
        <w:spacing w:before="0" w:after="200" w:lineRule="auto" w:line="240"/>
        <w:jc w:val="center"/>
      </w:pPr>
      <w:r>
        <w:rPr>
          <w:rFonts w:ascii="Times New Roman" w:hAnsi="Times New Roman" w:eastAsia="Times New Roman"/>
          <w:b/>
          <w:color w:val="000000"/>
          <w:sz w:val="30"/>
        </w:rPr>
        <w:t>List of Figures</w:t>
      </w:r>
    </w:p>
    <w:p>
      <w:pPr>
        <w:tabs>
          <w:tab w:pos="8064" w:val="right"/>
        </w:tabs>
        <w:spacing w:before="0" w:after="60" w:lineRule="auto" w:line="276"/>
        <w:ind w:left="360" w:hanging="360"/>
      </w:pPr>
      <w:r>
        <w:rPr>
          <w:rFonts w:ascii="Times New Roman" w:hAnsi="Times New Roman" w:eastAsia="Times New Roman"/>
          <w:color w:val="000000"/>
          <w:sz w:val="24"/>
        </w:rPr>
        <w:t>Figure 1. Data-quality results and original field-type composition. Zero counts for missing cells, duplicate rows, duplicate identifiers and invalid-range rows document why no corrective cleaning was applied.</w:t>
      </w:r>
      <w:r>
        <w:rPr>
          <w:rFonts w:ascii="Times New Roman" w:hAnsi="Times New Roman" w:eastAsia="Times New Roman"/>
          <w:color w:val="000000"/>
          <w:sz w:val="24"/>
        </w:rPr>
        <w:tab/>
        <w:t>12</w:t>
      </w:r>
    </w:p>
    <w:p>
      <w:pPr>
        <w:tabs>
          <w:tab w:pos="8064" w:val="right"/>
        </w:tabs>
        <w:spacing w:before="0" w:after="60" w:lineRule="auto" w:line="276"/>
        <w:ind w:left="360" w:hanging="360"/>
      </w:pPr>
      <w:r>
        <w:rPr>
          <w:rFonts w:ascii="Times New Roman" w:hAnsi="Times New Roman" w:eastAsia="Times New Roman"/>
          <w:color w:val="000000"/>
          <w:sz w:val="24"/>
        </w:rPr>
        <w:t>Figure 2. Distributions of all original numeric and ordinal measures except the unique student identifier.</w:t>
      </w:r>
      <w:r>
        <w:rPr>
          <w:rFonts w:ascii="Times New Roman" w:hAnsi="Times New Roman" w:eastAsia="Times New Roman"/>
          <w:color w:val="000000"/>
          <w:sz w:val="24"/>
        </w:rPr>
        <w:tab/>
        <w:t>13</w:t>
      </w:r>
    </w:p>
    <w:p>
      <w:pPr>
        <w:tabs>
          <w:tab w:pos="8064" w:val="right"/>
        </w:tabs>
        <w:spacing w:before="0" w:after="60" w:lineRule="auto" w:line="276"/>
        <w:ind w:left="360" w:hanging="360"/>
      </w:pPr>
      <w:r>
        <w:rPr>
          <w:rFonts w:ascii="Times New Roman" w:hAnsi="Times New Roman" w:eastAsia="Times New Roman"/>
          <w:color w:val="000000"/>
          <w:sz w:val="24"/>
        </w:rPr>
        <w:t>Figure 3. Frequency distributions for every categorical and Boolean source field.</w:t>
      </w:r>
      <w:r>
        <w:rPr>
          <w:rFonts w:ascii="Times New Roman" w:hAnsi="Times New Roman" w:eastAsia="Times New Roman"/>
          <w:color w:val="000000"/>
          <w:sz w:val="24"/>
        </w:rPr>
        <w:tab/>
        <w:t>13</w:t>
      </w:r>
    </w:p>
    <w:p>
      <w:pPr>
        <w:tabs>
          <w:tab w:pos="8064" w:val="right"/>
        </w:tabs>
        <w:spacing w:before="0" w:after="60" w:lineRule="auto" w:line="276"/>
        <w:ind w:left="360" w:hanging="360"/>
      </w:pPr>
      <w:r>
        <w:rPr>
          <w:rFonts w:ascii="Times New Roman" w:hAnsi="Times New Roman" w:eastAsia="Times New Roman"/>
          <w:color w:val="000000"/>
          <w:sz w:val="24"/>
        </w:rPr>
        <w:t>Figure 4. Numeric correlation matrix and sampled relationship between previous GPA and GPA change. Post-semester outcomes are excluded from the predictor-focused matrix.</w:t>
      </w:r>
      <w:r>
        <w:rPr>
          <w:rFonts w:ascii="Times New Roman" w:hAnsi="Times New Roman" w:eastAsia="Times New Roman"/>
          <w:color w:val="000000"/>
          <w:sz w:val="24"/>
        </w:rPr>
        <w:tab/>
        <w:t>14</w:t>
      </w:r>
    </w:p>
    <w:p>
      <w:pPr>
        <w:tabs>
          <w:tab w:pos="8064" w:val="right"/>
        </w:tabs>
        <w:spacing w:before="0" w:after="60" w:lineRule="auto" w:line="276"/>
        <w:ind w:left="360" w:hanging="360"/>
      </w:pPr>
      <w:r>
        <w:rPr>
          <w:rFonts w:ascii="Times New Roman" w:hAnsi="Times New Roman" w:eastAsia="Times New Roman"/>
          <w:color w:val="000000"/>
          <w:sz w:val="24"/>
        </w:rPr>
        <w:t>Figure 5. Counts and continuous distributions of GPA decreases, unchanged values and increases. The continuous target was retained without balancing.</w:t>
      </w:r>
      <w:r>
        <w:rPr>
          <w:rFonts w:ascii="Times New Roman" w:hAnsi="Times New Roman" w:eastAsia="Times New Roman"/>
          <w:color w:val="000000"/>
          <w:sz w:val="24"/>
        </w:rPr>
        <w:tab/>
        <w:t>14</w:t>
      </w:r>
    </w:p>
    <w:p>
      <w:pPr>
        <w:tabs>
          <w:tab w:pos="8064" w:val="right"/>
        </w:tabs>
        <w:spacing w:before="0" w:after="60" w:lineRule="auto" w:line="276"/>
        <w:ind w:left="360" w:hanging="360"/>
      </w:pPr>
      <w:r>
        <w:rPr>
          <w:rFonts w:ascii="Times New Roman" w:hAnsi="Times New Roman" w:eastAsia="Times New Roman"/>
          <w:color w:val="000000"/>
          <w:sz w:val="24"/>
        </w:rPr>
        <w:t>Figure 6. Distribution of GPA change and descriptive relationships with previous GPA, prompt-engineering skill and weekly generative-AI hours. Error bars show 95% confidence intervals for group means.</w:t>
      </w:r>
      <w:r>
        <w:rPr>
          <w:rFonts w:ascii="Times New Roman" w:hAnsi="Times New Roman" w:eastAsia="Times New Roman"/>
          <w:color w:val="000000"/>
          <w:sz w:val="24"/>
        </w:rPr>
        <w:tab/>
        <w:t>15</w:t>
      </w:r>
    </w:p>
    <w:p>
      <w:pPr>
        <w:tabs>
          <w:tab w:pos="8064" w:val="right"/>
        </w:tabs>
        <w:spacing w:before="0" w:after="60" w:lineRule="auto" w:line="276"/>
        <w:ind w:left="360" w:hanging="360"/>
      </w:pPr>
      <w:r>
        <w:rPr>
          <w:rFonts w:ascii="Times New Roman" w:hAnsi="Times New Roman" w:eastAsia="Times New Roman"/>
          <w:color w:val="000000"/>
          <w:sz w:val="24"/>
        </w:rPr>
        <w:t>Figure 7. Reserved-test RMSE by model and actual versus predicted GPA change for the selected tuned HGB model. The dashed diagonal represents perfect predictions.</w:t>
      </w:r>
      <w:r>
        <w:rPr>
          <w:rFonts w:ascii="Times New Roman" w:hAnsi="Times New Roman" w:eastAsia="Times New Roman"/>
          <w:color w:val="000000"/>
          <w:sz w:val="24"/>
        </w:rPr>
        <w:tab/>
        <w:t>24</w:t>
      </w:r>
    </w:p>
    <w:p>
      <w:pPr>
        <w:tabs>
          <w:tab w:pos="8064" w:val="right"/>
        </w:tabs>
        <w:spacing w:before="0" w:after="60" w:lineRule="auto" w:line="276"/>
        <w:ind w:left="360" w:hanging="360"/>
      </w:pPr>
      <w:r>
        <w:rPr>
          <w:rFonts w:ascii="Times New Roman" w:hAnsi="Times New Roman" w:eastAsia="Times New Roman"/>
          <w:color w:val="000000"/>
          <w:sz w:val="24"/>
        </w:rPr>
        <w:t>Figure 8. Residuals against predicted GPA change and the residual distribution for tuned HGB.</w:t>
      </w:r>
      <w:r>
        <w:rPr>
          <w:rFonts w:ascii="Times New Roman" w:hAnsi="Times New Roman" w:eastAsia="Times New Roman"/>
          <w:color w:val="000000"/>
          <w:sz w:val="24"/>
        </w:rPr>
        <w:tab/>
        <w:t>24</w:t>
      </w:r>
    </w:p>
    <w:p>
      <w:pPr>
        <w:tabs>
          <w:tab w:pos="8064" w:val="right"/>
        </w:tabs>
        <w:spacing w:before="0" w:after="60" w:lineRule="auto" w:line="276"/>
        <w:ind w:left="360" w:hanging="360"/>
      </w:pPr>
      <w:r>
        <w:rPr>
          <w:rFonts w:ascii="Times New Roman" w:hAnsi="Times New Roman" w:eastAsia="Times New Roman"/>
          <w:color w:val="000000"/>
          <w:sz w:val="24"/>
        </w:rPr>
        <w:t>Figure 9. Test MAE, RMSE and residual distributions separated by observed GPA-change direction. The same tuned model and untouched test set are used for all groups.</w:t>
      </w:r>
      <w:r>
        <w:rPr>
          <w:rFonts w:ascii="Times New Roman" w:hAnsi="Times New Roman" w:eastAsia="Times New Roman"/>
          <w:color w:val="000000"/>
          <w:sz w:val="24"/>
        </w:rPr>
        <w:tab/>
        <w:t>25</w:t>
      </w:r>
    </w:p>
    <w:p>
      <w:pPr>
        <w:tabs>
          <w:tab w:pos="8064" w:val="right"/>
        </w:tabs>
        <w:spacing w:before="0" w:after="60" w:lineRule="auto" w:line="276"/>
        <w:ind w:left="360" w:hanging="360"/>
      </w:pPr>
      <w:r>
        <w:rPr>
          <w:rFonts w:ascii="Times New Roman" w:hAnsi="Times New Roman" w:eastAsia="Times New Roman"/>
          <w:color w:val="000000"/>
          <w:sz w:val="24"/>
        </w:rPr>
        <w:t>Figure 10. Test-set permutation importance for the selected tuned HGB model. Values show the mean deterioration in RMSE-based score after shuffling each source feature across five repetitions.</w:t>
      </w:r>
      <w:r>
        <w:rPr>
          <w:rFonts w:ascii="Times New Roman" w:hAnsi="Times New Roman" w:eastAsia="Times New Roman"/>
          <w:color w:val="000000"/>
          <w:sz w:val="24"/>
        </w:rPr>
        <w:tab/>
        <w:t>28</w:t>
      </w:r>
    </w:p>
    <w:p>
      <w:r>
        <w:br w:type="page"/>
      </w:r>
    </w:p>
    <w:p>
      <w:pPr>
        <w:spacing w:before="0" w:after="200" w:lineRule="auto" w:line="240"/>
        <w:jc w:val="center"/>
      </w:pPr>
      <w:r>
        <w:rPr>
          <w:rFonts w:ascii="Times New Roman" w:hAnsi="Times New Roman" w:eastAsia="Times New Roman"/>
          <w:b/>
          <w:color w:val="000000"/>
          <w:sz w:val="30"/>
        </w:rPr>
        <w:t>List of Tables</w:t>
      </w:r>
    </w:p>
    <w:p>
      <w:pPr>
        <w:tabs>
          <w:tab w:pos="8064" w:val="right"/>
        </w:tabs>
        <w:spacing w:before="0" w:after="60" w:lineRule="auto" w:line="276"/>
        <w:ind w:left="360" w:hanging="360"/>
      </w:pPr>
      <w:r>
        <w:rPr>
          <w:rFonts w:ascii="Times New Roman" w:hAnsi="Times New Roman" w:eastAsia="Times New Roman"/>
          <w:color w:val="000000"/>
          <w:sz w:val="24"/>
        </w:rPr>
        <w:t>Table 1. Search coverage and screening outcome</w:t>
      </w:r>
      <w:r>
        <w:rPr>
          <w:rFonts w:ascii="Times New Roman" w:hAnsi="Times New Roman" w:eastAsia="Times New Roman"/>
          <w:color w:val="000000"/>
          <w:sz w:val="24"/>
        </w:rPr>
        <w:tab/>
        <w:t>4</w:t>
      </w:r>
    </w:p>
    <w:p>
      <w:pPr>
        <w:tabs>
          <w:tab w:pos="8064" w:val="right"/>
        </w:tabs>
        <w:spacing w:before="0" w:after="60" w:lineRule="auto" w:line="276"/>
        <w:ind w:left="360" w:hanging="360"/>
      </w:pPr>
      <w:r>
        <w:rPr>
          <w:rFonts w:ascii="Times New Roman" w:hAnsi="Times New Roman" w:eastAsia="Times New Roman"/>
          <w:color w:val="000000"/>
          <w:sz w:val="24"/>
        </w:rPr>
        <w:t>Table 2. Core literature informing the study</w:t>
      </w:r>
      <w:r>
        <w:rPr>
          <w:rFonts w:ascii="Times New Roman" w:hAnsi="Times New Roman" w:eastAsia="Times New Roman"/>
          <w:color w:val="000000"/>
          <w:sz w:val="24"/>
        </w:rPr>
        <w:tab/>
        <w:t>7</w:t>
      </w:r>
    </w:p>
    <w:p>
      <w:pPr>
        <w:tabs>
          <w:tab w:pos="8064" w:val="right"/>
        </w:tabs>
        <w:spacing w:before="0" w:after="60" w:lineRule="auto" w:line="276"/>
        <w:ind w:left="360" w:hanging="360"/>
      </w:pPr>
      <w:r>
        <w:rPr>
          <w:rFonts w:ascii="Times New Roman" w:hAnsi="Times New Roman" w:eastAsia="Times New Roman"/>
          <w:color w:val="000000"/>
          <w:sz w:val="24"/>
        </w:rPr>
        <w:t>Table 3. Experimental workflow and evidence role</w:t>
      </w:r>
      <w:r>
        <w:rPr>
          <w:rFonts w:ascii="Times New Roman" w:hAnsi="Times New Roman" w:eastAsia="Times New Roman"/>
          <w:color w:val="000000"/>
          <w:sz w:val="24"/>
        </w:rPr>
        <w:tab/>
        <w:t>11</w:t>
      </w:r>
    </w:p>
    <w:p>
      <w:pPr>
        <w:tabs>
          <w:tab w:pos="8064" w:val="right"/>
        </w:tabs>
        <w:spacing w:before="0" w:after="60" w:lineRule="auto" w:line="276"/>
        <w:ind w:left="360" w:hanging="360"/>
      </w:pPr>
      <w:r>
        <w:rPr>
          <w:rFonts w:ascii="Times New Roman" w:hAnsi="Times New Roman" w:eastAsia="Times New Roman"/>
          <w:color w:val="000000"/>
          <w:sz w:val="24"/>
        </w:rPr>
        <w:t>Table 4. Dataset preparation decisions</w:t>
      </w:r>
      <w:r>
        <w:rPr>
          <w:rFonts w:ascii="Times New Roman" w:hAnsi="Times New Roman" w:eastAsia="Times New Roman"/>
          <w:color w:val="000000"/>
          <w:sz w:val="24"/>
        </w:rPr>
        <w:tab/>
        <w:t>16</w:t>
      </w:r>
    </w:p>
    <w:p>
      <w:pPr>
        <w:tabs>
          <w:tab w:pos="8064" w:val="right"/>
        </w:tabs>
        <w:spacing w:before="0" w:after="60" w:lineRule="auto" w:line="276"/>
        <w:ind w:left="360" w:hanging="360"/>
      </w:pPr>
      <w:r>
        <w:rPr>
          <w:rFonts w:ascii="Times New Roman" w:hAnsi="Times New Roman" w:eastAsia="Times New Roman"/>
          <w:color w:val="000000"/>
          <w:sz w:val="24"/>
        </w:rPr>
        <w:t>Table 5. Candidate model specification</w:t>
      </w:r>
      <w:r>
        <w:rPr>
          <w:rFonts w:ascii="Times New Roman" w:hAnsi="Times New Roman" w:eastAsia="Times New Roman"/>
          <w:color w:val="000000"/>
          <w:sz w:val="24"/>
        </w:rPr>
        <w:tab/>
        <w:t>18</w:t>
      </w:r>
    </w:p>
    <w:p>
      <w:pPr>
        <w:tabs>
          <w:tab w:pos="8064" w:val="right"/>
        </w:tabs>
        <w:spacing w:before="0" w:after="60" w:lineRule="auto" w:line="276"/>
        <w:ind w:left="360" w:hanging="360"/>
      </w:pPr>
      <w:r>
        <w:rPr>
          <w:rFonts w:ascii="Times New Roman" w:hAnsi="Times New Roman" w:eastAsia="Times New Roman"/>
          <w:color w:val="000000"/>
          <w:sz w:val="24"/>
        </w:rPr>
        <w:t>Table 6. HGB randomised-search space and selected configuration</w:t>
      </w:r>
      <w:r>
        <w:rPr>
          <w:rFonts w:ascii="Times New Roman" w:hAnsi="Times New Roman" w:eastAsia="Times New Roman"/>
          <w:color w:val="000000"/>
          <w:sz w:val="24"/>
        </w:rPr>
        <w:tab/>
        <w:t>19</w:t>
      </w:r>
    </w:p>
    <w:p>
      <w:pPr>
        <w:tabs>
          <w:tab w:pos="8064" w:val="right"/>
        </w:tabs>
        <w:spacing w:before="0" w:after="60" w:lineRule="auto" w:line="276"/>
        <w:ind w:left="360" w:hanging="360"/>
      </w:pPr>
      <w:r>
        <w:rPr>
          <w:rFonts w:ascii="Times New Roman" w:hAnsi="Times New Roman" w:eastAsia="Times New Roman"/>
          <w:color w:val="000000"/>
          <w:sz w:val="24"/>
        </w:rPr>
        <w:t>Table 7. Neural-model comparison</w:t>
      </w:r>
      <w:r>
        <w:rPr>
          <w:rFonts w:ascii="Times New Roman" w:hAnsi="Times New Roman" w:eastAsia="Times New Roman"/>
          <w:color w:val="000000"/>
          <w:sz w:val="24"/>
        </w:rPr>
        <w:tab/>
        <w:t>20</w:t>
      </w:r>
    </w:p>
    <w:p>
      <w:pPr>
        <w:tabs>
          <w:tab w:pos="8064" w:val="right"/>
        </w:tabs>
        <w:spacing w:before="0" w:after="60" w:lineRule="auto" w:line="276"/>
        <w:ind w:left="360" w:hanging="360"/>
      </w:pPr>
      <w:r>
        <w:rPr>
          <w:rFonts w:ascii="Times New Roman" w:hAnsi="Times New Roman" w:eastAsia="Times New Roman"/>
          <w:color w:val="000000"/>
          <w:sz w:val="24"/>
        </w:rPr>
        <w:t>Table 8. Five-fold cross-validation and reserved-test performance</w:t>
      </w:r>
      <w:r>
        <w:rPr>
          <w:rFonts w:ascii="Times New Roman" w:hAnsi="Times New Roman" w:eastAsia="Times New Roman"/>
          <w:color w:val="000000"/>
          <w:sz w:val="24"/>
        </w:rPr>
        <w:tab/>
        <w:t>22</w:t>
      </w:r>
    </w:p>
    <w:p>
      <w:pPr>
        <w:tabs>
          <w:tab w:pos="8064" w:val="right"/>
        </w:tabs>
        <w:spacing w:before="0" w:after="60" w:lineRule="auto" w:line="276"/>
        <w:ind w:left="360" w:hanging="360"/>
      </w:pPr>
      <w:r>
        <w:rPr>
          <w:rFonts w:ascii="Times New Roman" w:hAnsi="Times New Roman" w:eastAsia="Times New Roman"/>
          <w:color w:val="000000"/>
          <w:sz w:val="24"/>
        </w:rPr>
        <w:t>Table 9. Bootstrap uncertainty for selected-model test performance</w:t>
      </w:r>
      <w:r>
        <w:rPr>
          <w:rFonts w:ascii="Times New Roman" w:hAnsi="Times New Roman" w:eastAsia="Times New Roman"/>
          <w:color w:val="000000"/>
          <w:sz w:val="24"/>
        </w:rPr>
        <w:tab/>
        <w:t>23</w:t>
      </w:r>
    </w:p>
    <w:p>
      <w:pPr>
        <w:tabs>
          <w:tab w:pos="8064" w:val="right"/>
        </w:tabs>
        <w:spacing w:before="0" w:after="60" w:lineRule="auto" w:line="276"/>
        <w:ind w:left="360" w:hanging="360"/>
      </w:pPr>
      <w:r>
        <w:rPr>
          <w:rFonts w:ascii="Times New Roman" w:hAnsi="Times New Roman" w:eastAsia="Times New Roman"/>
          <w:color w:val="000000"/>
          <w:sz w:val="24"/>
        </w:rPr>
        <w:t>Table 10. HGB feature-set comparison</w:t>
      </w:r>
      <w:r>
        <w:rPr>
          <w:rFonts w:ascii="Times New Roman" w:hAnsi="Times New Roman" w:eastAsia="Times New Roman"/>
          <w:color w:val="000000"/>
          <w:sz w:val="24"/>
        </w:rPr>
        <w:tab/>
        <w:t>26</w:t>
      </w:r>
    </w:p>
    <w:p>
      <w:pPr>
        <w:sectPr>
          <w:headerReference w:type="default" r:id="rId30"/>
          <w:footerReference w:type="default" r:id="rId31"/>
          <w:pgSz w:w="11909" w:h="16834"/>
          <w:pgMar w:top="1440" w:right="1440" w:bottom="1440" w:left="2160" w:header="648" w:footer="648" w:gutter="0"/>
          <w:pgNumType w:start="1" w:fmt="lowerRoman"/>
          <w:cols w:space="720"/>
          <w:docGrid w:linePitch="360"/>
        </w:sectPr>
      </w:pPr>
    </w:p>
    <w:p>
      <w:pPr>
        <w:pStyle w:val="Heading1"/>
        <w:keepNext/>
        <w:keepLines/>
      </w:pPr>
      <w:r>
        <w:rPr>
          <w:rFonts w:ascii="Times New Roman" w:hAnsi="Times New Roman" w:eastAsia="Times New Roman"/>
          <w:color w:val="000000"/>
          <w:sz w:val="24"/>
        </w:rPr>
        <w:t>1 Introduction, Aim and Objectives</w:t>
      </w:r>
    </w:p>
    <w:p>
      <w:pPr>
        <w:pStyle w:val="Heading2"/>
        <w:keepNext/>
        <w:keepLines/>
      </w:pPr>
      <w:r>
        <w:rPr>
          <w:rFonts w:ascii="Times New Roman" w:hAnsi="Times New Roman" w:eastAsia="Times New Roman"/>
          <w:color w:val="000000"/>
          <w:sz w:val="24"/>
        </w:rPr>
        <w:t>1.1 Problem context</w:t>
      </w:r>
    </w:p>
    <w:p>
      <w:pPr>
        <w:spacing w:before="0" w:after="120" w:lineRule="auto" w:line="360"/>
        <w:keepLines/>
      </w:pPr>
      <w:r>
        <w:rPr>
          <w:rFonts w:ascii="Times New Roman" w:hAnsi="Times New Roman" w:eastAsia="Times New Roman"/>
          <w:color w:val="000000"/>
          <w:sz w:val="24"/>
        </w:rPr>
        <w:t>Generative artificial intelligence (GenAI) tools can produce explanations, drafts, summaries, code and feedback in response to natural-language prompts. Their rapid adoption has moved educational AI beyond systems selected by an institution: students can now decide whether, why and how intensively to use such tools. Earlier higher-education research already treated profiling and prediction as major AI applications (Zawacki-Richter et al., 2019), while more recent reviews identify prediction, assessment, tutoring and AI assistance across the field (Crompton &amp; Burke, 2023). GenAI adds a difficult question to this landscape: do recorded differences in student use help explain or predict academic outcomes after conventional study context is considered?</w:t>
      </w:r>
    </w:p>
    <w:p>
      <w:pPr>
        <w:spacing w:before="0" w:after="120" w:lineRule="auto" w:line="360"/>
        <w:keepLines/>
      </w:pPr>
      <w:r>
        <w:rPr>
          <w:rFonts w:ascii="Times New Roman" w:hAnsi="Times New Roman" w:eastAsia="Times New Roman"/>
          <w:color w:val="000000"/>
          <w:sz w:val="24"/>
        </w:rPr>
        <w:t>Academic performance is often represented by grade point average (GPA). Raw post-semester GPA, however, is strongly related to previous GPA and can make a model appear successful without explaining academic change. Semester GPA change is defined here as post-semester GPA minus pre-semester GPA. A positive number indicates improvement and a negative number indicates decline. Predicting this continuous difference retains both direction and magnitude, whereas a binary “improved/not improved” label would treat a change of 0.02 as equivalent to a change of 0.80.</w:t>
      </w:r>
    </w:p>
    <w:p>
      <w:pPr>
        <w:spacing w:before="0" w:after="120" w:lineRule="auto" w:line="360"/>
        <w:keepLines/>
      </w:pPr>
      <w:r>
        <w:rPr>
          <w:rFonts w:ascii="Times New Roman" w:hAnsi="Times New Roman" w:eastAsia="Times New Roman"/>
          <w:color w:val="000000"/>
          <w:sz w:val="24"/>
        </w:rPr>
        <w:t>The educational literature does not justify assuming that greater AI exposure will improve performance. Early reviews describe opportunities for tutoring, feedback and independent study but also identify inaccuracy, over-reliance and academic-integrity risks (Kasneci et al., 2023; Lo, 2023). Empirical results also depend on how use and performance are measured. It is therefore more defensible to ask whether AI-related fields contain predictive information than whether AI use caused GPA change.</w:t>
      </w:r>
    </w:p>
    <w:p>
      <w:pPr>
        <w:pStyle w:val="Heading2"/>
        <w:keepNext/>
        <w:keepLines/>
      </w:pPr>
      <w:r>
        <w:rPr>
          <w:rFonts w:ascii="Times New Roman" w:hAnsi="Times New Roman" w:eastAsia="Times New Roman"/>
          <w:color w:val="000000"/>
          <w:sz w:val="24"/>
        </w:rPr>
        <w:t>1.2 Dataset and analytical problem</w:t>
      </w:r>
    </w:p>
    <w:p>
      <w:pPr>
        <w:spacing w:before="0" w:after="120" w:lineRule="auto" w:line="360"/>
        <w:keepLines/>
      </w:pPr>
      <w:r>
        <w:rPr>
          <w:rFonts w:ascii="Times New Roman" w:hAnsi="Times New Roman" w:eastAsia="Times New Roman"/>
          <w:color w:val="000000"/>
          <w:sz w:val="24"/>
        </w:rPr>
        <w:t>The analysis used the Kaggle Impact of AI on Students dataset (Nagi sisiro, 2026). It contains 50,000 student records and 16 source variables covering major, year of study, previous GPA, conventional study hours, exam anxiety, weekly GenAI hours, use case, prompt skill, tool diversity, subscription, perceived dependency, institutional policy and post-semester outcomes. Its scale and mixture of numeric and categorical variables support a controlled comparison of regression algorithms.</w:t>
      </w:r>
    </w:p>
    <w:p>
      <w:pPr>
        <w:spacing w:before="0" w:after="120" w:lineRule="auto" w:line="360"/>
        <w:keepLines/>
      </w:pPr>
      <w:r>
        <w:rPr>
          <w:rFonts w:ascii="Times New Roman" w:hAnsi="Times New Roman" w:eastAsia="Times New Roman"/>
          <w:color w:val="000000"/>
          <w:sz w:val="24"/>
        </w:rPr>
        <w:t>Its strengths are accompanied by substantial limitations. Kaggle does not document the institution, country, sampling design, collection instrument, observation period, ethics procedure or whether the records are observed or synthetic. The data also contain no missing values or duplicate rows. These conditions permit a rigorous machine-learning comparison but do not support population prevalence estimates or recommendations that students change AI use to alter GPA.</w:t>
      </w:r>
    </w:p>
    <w:p>
      <w:pPr>
        <w:spacing w:before="0" w:after="120" w:lineRule="auto" w:line="360"/>
        <w:keepLines/>
      </w:pPr>
      <w:r>
        <w:rPr>
          <w:rFonts w:ascii="Times New Roman" w:hAnsi="Times New Roman" w:eastAsia="Times New Roman"/>
          <w:color w:val="000000"/>
          <w:sz w:val="24"/>
        </w:rPr>
        <w:t>The modelling problem was designed around leakage control. The derived GPA-change target could be reconstructed if post-semester GPA were retained as a predictor, so that variable was excluded. The student identifier and the separate post-semester outcomes of skill retention and burnout risk were also removed. Context variables and AI variables were compared separately and together, then five candidate regressors were evaluated using a common development-test split and five-fold cross-validation.</w:t>
      </w:r>
    </w:p>
    <w:p>
      <w:pPr>
        <w:pStyle w:val="Heading2"/>
        <w:keepNext/>
        <w:keepLines/>
      </w:pPr>
      <w:r>
        <w:rPr>
          <w:rFonts w:ascii="Times New Roman" w:hAnsi="Times New Roman" w:eastAsia="Times New Roman"/>
          <w:color w:val="000000"/>
          <w:sz w:val="24"/>
        </w:rPr>
        <w:t>1.3 Research question</w:t>
      </w:r>
    </w:p>
    <w:p>
      <w:pPr>
        <w:spacing w:before="0" w:after="120" w:lineRule="auto" w:line="360"/>
        <w:keepLines/>
      </w:pPr>
      <w:r>
        <w:rPr>
          <w:rFonts w:ascii="Times New Roman" w:hAnsi="Times New Roman" w:eastAsia="Times New Roman"/>
          <w:color w:val="000000"/>
          <w:sz w:val="24"/>
        </w:rPr>
        <w:t>To what extent do AI-usage variables improve out-of-sample prediction of semester GPA change beyond previous GPA and general study context, and which regression model provides the strongest validated performance?</w:t>
      </w:r>
    </w:p>
    <w:p>
      <w:pPr>
        <w:spacing w:before="0" w:after="120" w:lineRule="auto" w:line="360"/>
        <w:keepLines/>
      </w:pPr>
      <w:r>
        <w:rPr>
          <w:rFonts w:ascii="Times New Roman" w:hAnsi="Times New Roman" w:eastAsia="Times New Roman"/>
          <w:color w:val="000000"/>
          <w:sz w:val="24"/>
        </w:rPr>
        <w:t>This wording sets two boundaries. “Out-of-sample” requires evaluation on rows not used to fit the corresponding model. “Prediction” limits the conclusion to associations within the supplied data.</w:t>
      </w:r>
    </w:p>
    <w:p>
      <w:pPr>
        <w:pStyle w:val="Heading2"/>
        <w:keepNext/>
        <w:keepLines/>
      </w:pPr>
      <w:r>
        <w:rPr>
          <w:rFonts w:ascii="Times New Roman" w:hAnsi="Times New Roman" w:eastAsia="Times New Roman"/>
          <w:color w:val="000000"/>
          <w:sz w:val="24"/>
        </w:rPr>
        <w:t>1.4 Aim</w:t>
      </w:r>
    </w:p>
    <w:p>
      <w:pPr>
        <w:spacing w:before="0" w:after="120" w:lineRule="auto" w:line="360"/>
        <w:keepLines/>
      </w:pPr>
      <w:r>
        <w:rPr>
          <w:rFonts w:ascii="Times New Roman" w:hAnsi="Times New Roman" w:eastAsia="Times New Roman"/>
          <w:color w:val="000000"/>
          <w:sz w:val="24"/>
        </w:rPr>
        <w:t>The primary aim of this study was to build and critically evaluate leakage-controlled regression models for semester GPA change, with particular attention to the incremental predictive value of AI-usage variables.</w:t>
      </w:r>
    </w:p>
    <w:p>
      <w:pPr>
        <w:pStyle w:val="Heading2"/>
        <w:keepNext/>
        <w:keepLines/>
      </w:pPr>
      <w:r>
        <w:rPr>
          <w:rFonts w:ascii="Times New Roman" w:hAnsi="Times New Roman" w:eastAsia="Times New Roman"/>
          <w:color w:val="000000"/>
          <w:sz w:val="24"/>
        </w:rPr>
        <w:t>1.5 Objectives</w:t>
      </w:r>
    </w:p>
    <w:p>
      <w:pPr>
        <w:pStyle w:val="ListNumber"/>
      </w:pPr>
      <w:r>
        <w:rPr>
          <w:rFonts w:ascii="Times New Roman" w:hAnsi="Times New Roman" w:eastAsia="Times New Roman"/>
          <w:color w:val="000000"/>
          <w:sz w:val="24"/>
        </w:rPr>
        <w:t>Examine the dataset's structure, integrity and GPA-change distribution without modifying the raw CSV or manufacturing data-quality problems.</w:t>
      </w:r>
    </w:p>
    <w:p>
      <w:pPr>
        <w:pStyle w:val="ListNumber"/>
      </w:pPr>
      <w:r>
        <w:rPr>
          <w:rFonts w:ascii="Times New Roman" w:hAnsi="Times New Roman" w:eastAsia="Times New Roman"/>
          <w:color w:val="000000"/>
          <w:sz w:val="24"/>
        </w:rPr>
        <w:t>Construct a defensible continuous GPA-change target and define separate context, AI-only and combined predictor groups.</w:t>
      </w:r>
    </w:p>
    <w:p>
      <w:pPr>
        <w:pStyle w:val="ListNumber"/>
      </w:pPr>
      <w:r>
        <w:rPr>
          <w:rFonts w:ascii="Times New Roman" w:hAnsi="Times New Roman" w:eastAsia="Times New Roman"/>
          <w:color w:val="000000"/>
          <w:sz w:val="24"/>
        </w:rPr>
        <w:t>Prevent identifier and post-outcome leakage through explicit feature exclusions and fold-local preprocessing.</w:t>
      </w:r>
    </w:p>
    <w:p>
      <w:pPr>
        <w:pStyle w:val="ListNumber"/>
      </w:pPr>
      <w:r>
        <w:rPr>
          <w:rFonts w:ascii="Times New Roman" w:hAnsi="Times New Roman" w:eastAsia="Times New Roman"/>
          <w:color w:val="000000"/>
          <w:sz w:val="24"/>
        </w:rPr>
        <w:t>Compare a mean baseline, Linear Regression, Ridge Regression, Random Forest and Histogram Gradient Boosting using consistent five-fold cross-validation.</w:t>
      </w:r>
    </w:p>
    <w:p>
      <w:pPr>
        <w:pStyle w:val="ListNumber"/>
      </w:pPr>
      <w:r>
        <w:rPr>
          <w:rFonts w:ascii="Times New Roman" w:hAnsi="Times New Roman" w:eastAsia="Times New Roman"/>
          <w:color w:val="000000"/>
          <w:sz w:val="24"/>
        </w:rPr>
        <w:t>Tune the strongest nonlinear model using development data only and confirm performance on a reserved 20% test set.</w:t>
      </w:r>
    </w:p>
    <w:p>
      <w:pPr>
        <w:pStyle w:val="ListNumber"/>
      </w:pPr>
      <w:r>
        <w:rPr>
          <w:rFonts w:ascii="Times New Roman" w:hAnsi="Times New Roman" w:eastAsia="Times New Roman"/>
          <w:color w:val="000000"/>
          <w:sz w:val="24"/>
        </w:rPr>
        <w:t>Interpret residuals, error tolerances and permutation importance against the literature, then make recommendations proportionate to the evidence.</w:t>
      </w:r>
    </w:p>
    <w:p>
      <w:pPr>
        <w:pStyle w:val="Heading2"/>
        <w:keepNext/>
        <w:keepLines/>
      </w:pPr>
      <w:r>
        <w:rPr>
          <w:rFonts w:ascii="Times New Roman" w:hAnsi="Times New Roman" w:eastAsia="Times New Roman"/>
          <w:color w:val="000000"/>
          <w:sz w:val="24"/>
        </w:rPr>
        <w:t>1.6 Scope and contribution</w:t>
      </w:r>
    </w:p>
    <w:p>
      <w:pPr>
        <w:spacing w:before="0" w:after="120" w:lineRule="auto" w:line="360"/>
        <w:keepLines/>
      </w:pPr>
      <w:r>
        <w:rPr>
          <w:rFonts w:ascii="Times New Roman" w:hAnsi="Times New Roman" w:eastAsia="Times New Roman"/>
          <w:color w:val="000000"/>
          <w:sz w:val="24"/>
        </w:rPr>
        <w:t>The study contributes a reproducible comparison of linear, tree-ensemble and neural models, an explicit context-versus-AI feature ablation, and a validation hierarchy that uses cross-validation for selection and the test set for confirmation. The analysis also connects predictive findings to a structured literature review while distinguishing association from causal explanation. The sequence moves from the research evidence and analytical design to data preparation, model construction, validation, interpretation and practical limits.</w:t>
      </w:r>
    </w:p>
    <w:p>
      <w:pPr>
        <w:pStyle w:val="Heading1"/>
        <w:pageBreakBefore/>
        <w:keepNext/>
        <w:keepLines/>
      </w:pPr>
      <w:r>
        <w:rPr>
          <w:rFonts w:ascii="Times New Roman" w:hAnsi="Times New Roman" w:eastAsia="Times New Roman"/>
          <w:color w:val="000000"/>
          <w:sz w:val="24"/>
        </w:rPr>
        <w:t>2 Related Works</w:t>
      </w:r>
    </w:p>
    <w:p>
      <w:pPr>
        <w:pStyle w:val="Heading2"/>
        <w:keepNext/>
        <w:keepLines/>
      </w:pPr>
      <w:r>
        <w:rPr>
          <w:rFonts w:ascii="Times New Roman" w:hAnsi="Times New Roman" w:eastAsia="Times New Roman"/>
          <w:color w:val="000000"/>
          <w:sz w:val="24"/>
        </w:rPr>
        <w:t>2.1 Review method</w:t>
      </w:r>
    </w:p>
    <w:p>
      <w:pPr>
        <w:spacing w:before="0" w:after="120" w:lineRule="auto" w:line="360"/>
        <w:keepLines/>
      </w:pPr>
      <w:r>
        <w:rPr>
          <w:rFonts w:ascii="Times New Roman" w:hAnsi="Times New Roman" w:eastAsia="Times New Roman"/>
          <w:color w:val="000000"/>
          <w:sz w:val="24"/>
        </w:rPr>
        <w:t>A structured search on 1 July 2026 covered generative-AI use and academic performance, AI literacy and prompting, student-performance prediction, and the exact Kaggle dataset. ERIC and Crossref were supplemented by Semantic Scholar and publisher or DOI records. OpenAlex was unavailable because anonymous access required credentials or returned a rate limit; this was recorded as missing coverage rather than negative evidence.</w:t>
      </w:r>
    </w:p>
    <w:p>
      <w:pPr>
        <w:spacing w:before="0" w:after="120" w:lineRule="auto" w:line="360"/>
        <w:keepLines/>
      </w:pPr>
      <w:r>
        <w:rPr>
          <w:rFonts w:ascii="Times New Roman" w:hAnsi="Times New Roman" w:eastAsia="Times New Roman"/>
          <w:color w:val="000000"/>
          <w:sz w:val="24"/>
        </w:rPr>
        <w:t>English work from 2016–2026 was prioritised, with post-2022 emphasis for GenAI. Eligible records were empirical higher-education studies, relevant reviews and primary methodological sources. Promotional, unverifiable, school-only, outcome-irrelevant and duplicate records were excluded. Fifty discovery records were inspected; 15 domain records were verified by DOI, title, author and year, alongside ten methodological or software publications. No inspectable peer-reviewed benchmark using the exact dataset was located. The process was systematic and reproducible but was not a complete PRISMA review.</w:t>
      </w:r>
    </w:p>
    <w:p>
      <w:pPr>
        <w:pStyle w:val="Caption"/>
        <w:keepNext/>
        <w:keepLines/>
      </w:pPr>
      <w:r>
        <w:rPr>
          <w:rFonts w:ascii="Times New Roman" w:hAnsi="Times New Roman" w:eastAsia="Times New Roman"/>
          <w:color w:val="000000"/>
          <w:sz w:val="24"/>
        </w:rPr>
        <w:t>Table 1. Search coverage and screening outcome</w:t>
      </w:r>
    </w:p>
    <w:tbl>
      <w:tblPr>
        <w:tblStyle w:val="TableGrid"/>
        <w:tblW w:type="dxa" w:w="8310"/>
        <w:jc w:val="left"/>
        <w:tblLayout w:type="fixed"/>
        <w:tblLook w:firstColumn="1" w:firstRow="1" w:lastColumn="0" w:lastRow="0" w:noHBand="0" w:noVBand="1" w:val="04A0"/>
        <w:tblInd w:w="120" w:type="dxa"/>
      </w:tblPr>
      <w:tblGrid>
        <w:gridCol w:w="1619"/>
        <w:gridCol w:w="2379"/>
        <w:gridCol w:w="2117"/>
        <w:gridCol w:w="2195"/>
      </w:tblGrid>
      <w:tr>
        <w:trPr>
          <w:tblHeader w:val="true"/>
        </w:trPr>
        <w:tc>
          <w:tcPr>
            <w:tcW w:type="dxa" w:w="161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Source</w:t>
            </w:r>
          </w:p>
        </w:tc>
        <w:tc>
          <w:tcPr>
            <w:tcW w:type="dxa" w:w="237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Search role</w:t>
            </w:r>
          </w:p>
        </w:tc>
        <w:tc>
          <w:tcPr>
            <w:tcW w:type="dxa" w:w="211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Records inspected</w:t>
            </w:r>
          </w:p>
        </w:tc>
        <w:tc>
          <w:tcPr>
            <w:tcW w:type="dxa" w:w="219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Core records retained</w:t>
            </w:r>
          </w:p>
        </w:tc>
      </w:tr>
      <w:tr>
        <w:tc>
          <w:tcPr>
            <w:tcW w:type="dxa" w:w="161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ERIC</w:t>
            </w:r>
          </w:p>
        </w:tc>
        <w:tc>
          <w:tcPr>
            <w:tcW w:type="dxa" w:w="237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All four query families</w:t>
            </w:r>
          </w:p>
        </w:tc>
        <w:tc>
          <w:tcPr>
            <w:tcW w:type="dxa" w:w="21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17</w:t>
            </w:r>
          </w:p>
        </w:tc>
        <w:tc>
          <w:tcPr>
            <w:tcW w:type="dxa" w:w="219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10 before cross-database deduplication</w:t>
            </w:r>
          </w:p>
        </w:tc>
      </w:tr>
      <w:tr>
        <w:tc>
          <w:tcPr>
            <w:tcW w:type="dxa" w:w="161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Crossref</w:t>
            </w:r>
          </w:p>
        </w:tc>
        <w:tc>
          <w:tcPr>
            <w:tcW w:type="dxa" w:w="237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Broad discovery and targeted DOI verification</w:t>
            </w:r>
          </w:p>
        </w:tc>
        <w:tc>
          <w:tcPr>
            <w:tcW w:type="dxa" w:w="21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20 broad results plus 15 DOI checks</w:t>
            </w:r>
          </w:p>
        </w:tc>
        <w:tc>
          <w:tcPr>
            <w:tcW w:type="dxa" w:w="219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15 verified DOI records</w:t>
            </w:r>
          </w:p>
        </w:tc>
      </w:tr>
      <w:tr>
        <w:tc>
          <w:tcPr>
            <w:tcW w:type="dxa" w:w="161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Semantic Scholar</w:t>
            </w:r>
          </w:p>
        </w:tc>
        <w:tc>
          <w:tcPr>
            <w:tcW w:type="dxa" w:w="237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Supplementary public-result discovery</w:t>
            </w:r>
          </w:p>
        </w:tc>
        <w:tc>
          <w:tcPr>
            <w:tcW w:type="dxa" w:w="21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13</w:t>
            </w:r>
          </w:p>
        </w:tc>
        <w:tc>
          <w:tcPr>
            <w:tcW w:type="dxa" w:w="219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3 before deduplication</w:t>
            </w:r>
          </w:p>
        </w:tc>
      </w:tr>
      <w:tr>
        <w:tc>
          <w:tcPr>
            <w:tcW w:type="dxa" w:w="161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OpenAlex</w:t>
            </w:r>
          </w:p>
        </w:tc>
        <w:tc>
          <w:tcPr>
            <w:tcW w:type="dxa" w:w="237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Planned discovery source</w:t>
            </w:r>
          </w:p>
        </w:tc>
        <w:tc>
          <w:tcPr>
            <w:tcW w:type="dxa" w:w="21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w:t>
            </w:r>
          </w:p>
        </w:tc>
        <w:tc>
          <w:tcPr>
            <w:tcW w:type="dxa" w:w="219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 access unavailable</w:t>
            </w:r>
          </w:p>
        </w:tc>
      </w:tr>
      <w:tr>
        <w:tc>
          <w:tcPr>
            <w:tcW w:type="dxa" w:w="161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Kaggle</w:t>
            </w:r>
          </w:p>
        </w:tc>
        <w:tc>
          <w:tcPr>
            <w:tcW w:type="dxa" w:w="237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Exact-dataset search</w:t>
            </w:r>
          </w:p>
        </w:tc>
        <w:tc>
          <w:tcPr>
            <w:tcW w:type="dxa" w:w="211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Dataset metadata only</w:t>
            </w:r>
          </w:p>
        </w:tc>
        <w:tc>
          <w:tcPr>
            <w:tcW w:type="dxa" w:w="219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Dataset source; no comparative study</w:t>
            </w:r>
          </w:p>
        </w:tc>
      </w:tr>
    </w:tbl>
    <w:p>
      <w:pPr>
        <w:spacing w:before="0" w:after="120" w:lineRule="auto" w:line="360"/>
        <w:keepLines/>
      </w:pPr>
      <w:r>
        <w:rPr>
          <w:rFonts w:ascii="Times New Roman" w:hAnsi="Times New Roman" w:eastAsia="Times New Roman"/>
          <w:color w:val="000000"/>
          <w:sz w:val="24"/>
        </w:rPr>
        <w:t>Counts overlap because studies appeared through several routes. Degraded database access was recorded rather than interpreted as negative evidence, and no unverified comparative analysis was admitted.</w:t>
      </w:r>
    </w:p>
    <w:p>
      <w:pPr>
        <w:spacing w:before="0" w:after="120" w:lineRule="auto" w:line="360"/>
        <w:keepLines/>
      </w:pPr>
      <w:r>
        <w:rPr>
          <w:rFonts w:ascii="Times New Roman" w:hAnsi="Times New Roman" w:eastAsia="Times New Roman"/>
          <w:color w:val="000000"/>
          <w:sz w:val="24"/>
        </w:rPr>
        <w:t>Quality appraisal covered design, sample, outcome, validation, leakage, self-reporting and causal overreach. It prevented pooled effects, classification accuracy and observational associations from being transferred uncritically to this regression.</w:t>
      </w:r>
    </w:p>
    <w:p>
      <w:pPr>
        <w:pStyle w:val="Heading2"/>
        <w:keepNext/>
        <w:keepLines/>
      </w:pPr>
      <w:r>
        <w:rPr>
          <w:rFonts w:ascii="Times New Roman" w:hAnsi="Times New Roman" w:eastAsia="Times New Roman"/>
          <w:color w:val="000000"/>
          <w:sz w:val="24"/>
        </w:rPr>
        <w:t>2.2 AI in higher education</w:t>
      </w:r>
    </w:p>
    <w:p>
      <w:pPr>
        <w:spacing w:before="0" w:after="120" w:lineRule="auto" w:line="360"/>
        <w:keepLines/>
      </w:pPr>
      <w:r>
        <w:rPr>
          <w:rFonts w:ascii="Times New Roman" w:hAnsi="Times New Roman" w:eastAsia="Times New Roman"/>
          <w:color w:val="000000"/>
          <w:sz w:val="24"/>
        </w:rPr>
        <w:t>Zawacki-Richter et al. (2019) reviewed 146 higher-education studies and identified prediction, assessment, personalisation and tutoring as major AI applications, while noting limited educator involvement and ethical attention. Crompton and Burke (2023) found similar uses across 138 later studies. These reviews establish prediction as a longstanding application but largely precede widespread student-controlled GenAI.</w:t>
      </w:r>
    </w:p>
    <w:p>
      <w:pPr>
        <w:spacing w:before="0" w:after="120" w:lineRule="auto" w:line="360"/>
        <w:keepLines/>
      </w:pPr>
      <w:r>
        <w:rPr>
          <w:rFonts w:ascii="Times New Roman" w:hAnsi="Times New Roman" w:eastAsia="Times New Roman"/>
          <w:color w:val="000000"/>
          <w:sz w:val="24"/>
        </w:rPr>
        <w:t>Conversational systems shifted the question from institution-selected analytics to student-controlled use. Lo (2023) and Kasneci et al. (2023) connected tutoring, feedback and personalisation opportunities with accuracy, integrity, bias and dependency risks. Their early evidence was more developed conceptually than empirically, supporting a multidimensional treatment of use rather than a presumption of uniform benefit or harm.</w:t>
      </w:r>
    </w:p>
    <w:p>
      <w:pPr>
        <w:pStyle w:val="Heading2"/>
        <w:keepNext/>
        <w:keepLines/>
      </w:pPr>
      <w:r>
        <w:rPr>
          <w:rFonts w:ascii="Times New Roman" w:hAnsi="Times New Roman" w:eastAsia="Times New Roman"/>
          <w:color w:val="000000"/>
          <w:sz w:val="24"/>
        </w:rPr>
        <w:t>2.3 Mixed evidence on academic outcomes</w:t>
      </w:r>
    </w:p>
    <w:p>
      <w:pPr>
        <w:spacing w:before="0" w:after="120" w:lineRule="auto" w:line="360"/>
        <w:keepLines/>
      </w:pPr>
      <w:r>
        <w:rPr>
          <w:rFonts w:ascii="Times New Roman" w:hAnsi="Times New Roman" w:eastAsia="Times New Roman"/>
          <w:color w:val="000000"/>
          <w:sz w:val="24"/>
        </w:rPr>
        <w:t>Empirical findings reject a simple “more AI means better performance” relationship. Sun and Zhou's (2024) meta-analysis of 65 studies reported a medium positive pooled achievement effect (g = 0.533), but effects varied by activity, content and sample, and mainly concerned structured interventions. The result does not imply a universal benefit from usage hours.</w:t>
      </w:r>
    </w:p>
    <w:p>
      <w:pPr>
        <w:spacing w:before="0" w:after="120" w:lineRule="auto" w:line="360"/>
        <w:keepLines/>
      </w:pPr>
      <w:r>
        <w:rPr>
          <w:rFonts w:ascii="Times New Roman" w:hAnsi="Times New Roman" w:eastAsia="Times New Roman"/>
          <w:color w:val="000000"/>
          <w:sz w:val="24"/>
        </w:rPr>
        <w:t>Abbas et al. (2024), using a three-wave survey of 494 Pakistani students, associated greater reported use with procrastination, memory loss and lower reported performance. Molerov et al. (2026) found that German chatbot users completed reasoning tasks faster but not more accurately; frequent users passed more examinations without better grades. Self-reporting, self-selection and contextual specificity limit causal interpretation. Together, the studies indicate that purpose, quality and context must accompany quantity.</w:t>
      </w:r>
    </w:p>
    <w:p>
      <w:pPr>
        <w:pStyle w:val="Heading2"/>
        <w:keepNext/>
        <w:keepLines/>
      </w:pPr>
      <w:r>
        <w:rPr>
          <w:rFonts w:ascii="Times New Roman" w:hAnsi="Times New Roman" w:eastAsia="Times New Roman"/>
          <w:color w:val="000000"/>
          <w:sz w:val="24"/>
        </w:rPr>
        <w:t>2.4 AI literacy and prompt skill</w:t>
      </w:r>
    </w:p>
    <w:p>
      <w:pPr>
        <w:spacing w:before="0" w:after="120" w:lineRule="auto" w:line="360"/>
        <w:keepLines/>
      </w:pPr>
      <w:r>
        <w:rPr>
          <w:rFonts w:ascii="Times New Roman" w:hAnsi="Times New Roman" w:eastAsia="Times New Roman"/>
          <w:color w:val="000000"/>
          <w:sz w:val="24"/>
        </w:rPr>
        <w:t>Ng et al. (2021) organised AI literacy around understanding, application, evaluation, creation and ethics. Laupichler et al. (2022) similarly found that definitions and assessment instruments remained immature. Lee and Palmer's (2025) review showed that prompting can be learnt but also depends on domain knowledge, critical evaluation and iteration. Prompt-engineering skill is therefore a plausible predictor, not a validated measure of complete AI literacy. Purpose, hours, tool diversity, access, dependency and policy provide additional context.</w:t>
      </w:r>
    </w:p>
    <w:p>
      <w:pPr>
        <w:pStyle w:val="Heading2"/>
        <w:keepNext/>
        <w:keepLines/>
      </w:pPr>
      <w:r>
        <w:rPr>
          <w:rFonts w:ascii="Times New Roman" w:hAnsi="Times New Roman" w:eastAsia="Times New Roman"/>
          <w:color w:val="000000"/>
          <w:sz w:val="24"/>
        </w:rPr>
        <w:t>2.5 Predicting academic performance</w:t>
      </w:r>
    </w:p>
    <w:p>
      <w:pPr>
        <w:spacing w:before="0" w:after="120" w:lineRule="auto" w:line="360"/>
        <w:keepLines/>
      </w:pPr>
      <w:r>
        <w:rPr>
          <w:rFonts w:ascii="Times New Roman" w:hAnsi="Times New Roman" w:eastAsia="Times New Roman"/>
          <w:color w:val="000000"/>
          <w:sz w:val="24"/>
        </w:rPr>
        <w:t>Alyahyan and Düştegör (2020) emphasised alignment among outcome definition, features, preprocessing, algorithms and evaluation. Hellas et al. (2018) found recurring validation and reporting weaknesses across 357 student-prediction studies. These findings support a specific GPA-change outcome and fold-local preprocessing.</w:t>
      </w:r>
    </w:p>
    <w:p>
      <w:pPr>
        <w:spacing w:before="0" w:after="120" w:lineRule="auto" w:line="360"/>
        <w:keepLines/>
      </w:pPr>
      <w:r>
        <w:rPr>
          <w:rFonts w:ascii="Times New Roman" w:hAnsi="Times New Roman" w:eastAsia="Times New Roman"/>
          <w:color w:val="000000"/>
          <w:sz w:val="24"/>
        </w:rPr>
        <w:t>Waheed et al. (2020) found deep models effective with demographics, assessment and clickstream data, while Yağcı (2022) found Random Forest, neural networks and support vector machines competitive for examination classification. Their institutions, inputs, targets and accuracy metrics differ from GPA-change regression, so they inform model choice rather than provide numerical benchmarks. Probst et al. (2019) further showed that ensemble behaviour depends on configuration, supporting explicit tuning and identical-fold comparison.</w:t>
      </w:r>
    </w:p>
    <w:p>
      <w:pPr>
        <w:pStyle w:val="Heading2"/>
        <w:keepNext/>
        <w:keepLines/>
      </w:pPr>
      <w:r>
        <w:rPr>
          <w:rFonts w:ascii="Times New Roman" w:hAnsi="Times New Roman" w:eastAsia="Times New Roman"/>
          <w:color w:val="000000"/>
          <w:sz w:val="24"/>
        </w:rPr>
        <w:t>2.6 Methodological and software foundations</w:t>
      </w:r>
    </w:p>
    <w:p>
      <w:pPr>
        <w:spacing w:before="0" w:after="120" w:lineRule="auto" w:line="360"/>
        <w:keepLines/>
      </w:pPr>
      <w:r>
        <w:rPr>
          <w:rFonts w:ascii="Times New Roman" w:hAnsi="Times New Roman" w:eastAsia="Times New Roman"/>
          <w:color w:val="000000"/>
          <w:sz w:val="24"/>
        </w:rPr>
        <w:t>The technical design followed primary sources for Ridge shrinkage (Hoerl &amp; Kennard, 1970), Random Forest (Breiman, 2001), gradient boosting (Friedman, 2001), cross-validation (Arlot &amp; Celisse, 2010), random search (Bergstra &amp; Bengio, 2012) and permutation-based model reliance (Fisher et al., 2019). Software sources are cited in Methods, where the corresponding tools are used.</w:t>
      </w:r>
    </w:p>
    <w:p>
      <w:pPr>
        <w:pStyle w:val="Heading2"/>
        <w:keepNext/>
        <w:keepLines/>
      </w:pPr>
      <w:r>
        <w:rPr>
          <w:rFonts w:ascii="Times New Roman" w:hAnsi="Times New Roman" w:eastAsia="Times New Roman"/>
          <w:color w:val="000000"/>
          <w:sz w:val="24"/>
        </w:rPr>
        <w:t>2.7 Comparative synthesis and research gap</w:t>
      </w:r>
    </w:p>
    <w:p>
      <w:pPr>
        <w:pStyle w:val="Caption"/>
        <w:keepNext/>
        <w:keepLines/>
      </w:pPr>
      <w:r>
        <w:rPr>
          <w:rFonts w:ascii="Times New Roman" w:hAnsi="Times New Roman" w:eastAsia="Times New Roman"/>
          <w:color w:val="000000"/>
          <w:sz w:val="24"/>
        </w:rPr>
        <w:t>Table 2. Core literature informing the study</w:t>
      </w:r>
    </w:p>
    <w:tbl>
      <w:tblPr>
        <w:tblStyle w:val="TableGrid"/>
        <w:tblW w:type="dxa" w:w="8310"/>
        <w:jc w:val="left"/>
        <w:tblLayout w:type="fixed"/>
        <w:tblLook w:firstColumn="1" w:firstRow="1" w:lastColumn="0" w:lastRow="0" w:noHBand="0" w:noVBand="1" w:val="04A0"/>
        <w:tblInd w:w="120" w:type="dxa"/>
      </w:tblPr>
      <w:tblGrid>
        <w:gridCol w:w="2078"/>
        <w:gridCol w:w="2078"/>
        <w:gridCol w:w="2078"/>
        <w:gridCol w:w="2076"/>
      </w:tblGrid>
      <w:tr>
        <w:trPr>
          <w:tblHeader w:val="true"/>
        </w:trPr>
        <w:tc>
          <w:tcPr>
            <w:tcW w:type="dxa" w:w="207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Source</w:t>
            </w:r>
          </w:p>
        </w:tc>
        <w:tc>
          <w:tcPr>
            <w:tcW w:type="dxa" w:w="207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Design and context</w:t>
            </w:r>
          </w:p>
        </w:tc>
        <w:tc>
          <w:tcPr>
            <w:tcW w:type="dxa" w:w="207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Main contribution</w:t>
            </w:r>
          </w:p>
        </w:tc>
        <w:tc>
          <w:tcPr>
            <w:tcW w:type="dxa" w:w="207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Limitation and relevance</w:t>
            </w:r>
          </w:p>
        </w:tc>
      </w:tr>
      <w:tr>
        <w:tc>
          <w:tcPr>
            <w:tcW w:type="dxa" w:w="207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Higher-education AI reviews (Zawacki-Richter et al., 2019; Crompton &amp; Burke, 2023)</w:t>
            </w:r>
          </w:p>
        </w:tc>
        <w:tc>
          <w:tcPr>
            <w:tcW w:type="dxa" w:w="207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Systematic reviews covering 284 studies</w:t>
            </w:r>
          </w:p>
        </w:tc>
        <w:tc>
          <w:tcPr>
            <w:tcW w:type="dxa" w:w="207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Established prediction, assessment, assistance and tutoring as major applications</w:t>
            </w:r>
          </w:p>
        </w:tc>
        <w:tc>
          <w:tcPr>
            <w:tcW w:type="dxa" w:w="207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Much of the evidence predates widespread student-controlled GenAI</w:t>
            </w:r>
          </w:p>
        </w:tc>
      </w:tr>
      <w:tr>
        <w:tc>
          <w:tcPr>
            <w:tcW w:type="dxa" w:w="207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GenAI opportunities and risks (Lo, 2023; Kasneci et al., 2023)</w:t>
            </w:r>
          </w:p>
        </w:tc>
        <w:tc>
          <w:tcPr>
            <w:tcW w:type="dxa" w:w="207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Rapid review and multidisciplinary synthesis</w:t>
            </w:r>
          </w:p>
        </w:tc>
        <w:tc>
          <w:tcPr>
            <w:tcW w:type="dxa" w:w="207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Connected tutoring and feedback opportunities with reliability, integrity and dependency risks</w:t>
            </w:r>
          </w:p>
        </w:tc>
        <w:tc>
          <w:tcPr>
            <w:tcW w:type="dxa" w:w="207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Early evidence was often conceptual and did not estimate performance effects</w:t>
            </w:r>
          </w:p>
        </w:tc>
      </w:tr>
      <w:tr>
        <w:tc>
          <w:tcPr>
            <w:tcW w:type="dxa" w:w="207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Academic-outcome evidence (Abbas et al., 2024; Sun &amp; Zhou, 2024; Molerov et al., 2026)</w:t>
            </w:r>
          </w:p>
        </w:tc>
        <w:tc>
          <w:tcPr>
            <w:tcW w:type="dxa" w:w="207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Survey, meta-analysis and panel/quasi-experimental designs</w:t>
            </w:r>
          </w:p>
        </w:tc>
        <w:tc>
          <w:tcPr>
            <w:tcW w:type="dxa" w:w="207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Found positive, adverse and null outcome patterns under different definitions of use</w:t>
            </w:r>
          </w:p>
        </w:tc>
        <w:tc>
          <w:tcPr>
            <w:tcW w:type="dxa" w:w="207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Heterogeneous measures, self-selection and limited causal identification</w:t>
            </w:r>
          </w:p>
        </w:tc>
      </w:tr>
      <w:tr>
        <w:tc>
          <w:tcPr>
            <w:tcW w:type="dxa" w:w="207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AI literacy and prompting (Ng et al., 2021; Laupichler et al., 2022; Lee &amp; Palmer, 2025)</w:t>
            </w:r>
          </w:p>
        </w:tc>
        <w:tc>
          <w:tcPr>
            <w:tcW w:type="dxa" w:w="207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Exploratory, scoping and systematic reviews</w:t>
            </w:r>
          </w:p>
        </w:tc>
        <w:tc>
          <w:tcPr>
            <w:tcW w:type="dxa" w:w="207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Framed effective use as understanding, evaluation, ethics, domain knowledge and iterative prompting</w:t>
            </w:r>
          </w:p>
        </w:tc>
        <w:tc>
          <w:tcPr>
            <w:tcW w:type="dxa" w:w="207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Definitions and assessments remain heterogeneous and incompletely validated</w:t>
            </w:r>
          </w:p>
        </w:tc>
      </w:tr>
      <w:tr>
        <w:tc>
          <w:tcPr>
            <w:tcW w:type="dxa" w:w="207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Student prediction and model design (Hellas et al., 2018; Alyahyan &amp; Düştegör, 2020; Waheed et al., 2020; Yağcı, 2022)</w:t>
            </w:r>
          </w:p>
        </w:tc>
        <w:tc>
          <w:tcPr>
            <w:tcW w:type="dxa" w:w="207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Reviews and predictive experiments</w:t>
            </w:r>
          </w:p>
        </w:tc>
        <w:tc>
          <w:tcPr>
            <w:tcW w:type="dxa" w:w="207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Supported careful target definition, leakage control, validation and nonlinear comparison</w:t>
            </w:r>
          </w:p>
        </w:tc>
        <w:tc>
          <w:tcPr>
            <w:tcW w:type="dxa" w:w="207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Most studies used classification outcomes, different contexts and incomparable metrics</w:t>
            </w:r>
          </w:p>
        </w:tc>
      </w:tr>
    </w:tbl>
    <w:p>
      <w:pPr>
        <w:spacing w:before="0" w:after="120" w:lineRule="auto" w:line="360"/>
        <w:keepLines/>
      </w:pPr>
      <w:r>
        <w:rPr>
          <w:rFonts w:ascii="Times New Roman" w:hAnsi="Times New Roman" w:eastAsia="Times New Roman"/>
          <w:color w:val="000000"/>
          <w:sz w:val="24"/>
        </w:rPr>
        <w:t>Note. AI = artificial intelligence; GenAI = generative artificial intelligence; VLE = virtual learning environment. The outcomes and metrics summarised in this table are methodologically informative but are not direct numerical benchmarks for GPA-change regression.</w:t>
      </w:r>
    </w:p>
    <w:p>
      <w:pPr>
        <w:spacing w:before="0" w:after="120" w:lineRule="auto" w:line="360"/>
        <w:keepLines/>
      </w:pPr>
      <w:r>
        <w:rPr>
          <w:rFonts w:ascii="Times New Roman" w:hAnsi="Times New Roman" w:eastAsia="Times New Roman"/>
          <w:color w:val="000000"/>
          <w:sz w:val="24"/>
        </w:rPr>
        <w:t>Table 2 shows a clear gap between the GenAI-outcomes literature and the student-prediction literature. The former asks whether or how AI relates to learning but often relies on self-report, interventions or broad achievement measures. The latter develops predictive models but usually omits detailed GenAI behaviours and frequently uses classification targets. No defensible analysis using the exact Kaggle dataset was located. It would therefore be misleading to manufacture a same-dataset benchmark.</w:t>
      </w:r>
    </w:p>
    <w:p>
      <w:pPr>
        <w:spacing w:before="0" w:after="120" w:lineRule="auto" w:line="360"/>
        <w:keepLines/>
      </w:pPr>
      <w:r>
        <w:rPr>
          <w:rFonts w:ascii="Times New Roman" w:hAnsi="Times New Roman" w:eastAsia="Times New Roman"/>
          <w:color w:val="000000"/>
          <w:sz w:val="24"/>
        </w:rPr>
        <w:t>The present work addresses a narrower gap: it tests whether AI-use variables add held-out predictive information beyond previous GPA and general study context, while comparing linear and nonlinear regressors under a common, leakage-controlled validation procedure. This does not resolve whether AI use improves learning. Its contribution is to separate incremental prediction from causal interpretation and to show how a contemporary but provenance-opaque dataset can be analysed without overstating its evidential value.</w:t>
      </w:r>
    </w:p>
    <w:p>
      <w:pPr>
        <w:pStyle w:val="Heading1"/>
        <w:pageBreakBefore/>
        <w:keepNext/>
        <w:keepLines/>
      </w:pPr>
      <w:r>
        <w:rPr>
          <w:rFonts w:ascii="Times New Roman" w:hAnsi="Times New Roman" w:eastAsia="Times New Roman"/>
          <w:color w:val="000000"/>
          <w:sz w:val="24"/>
        </w:rPr>
        <w:t>3 Methods</w:t>
      </w:r>
    </w:p>
    <w:p>
      <w:pPr>
        <w:pStyle w:val="Heading2"/>
        <w:keepNext/>
        <w:keepLines/>
      </w:pPr>
      <w:r>
        <w:rPr>
          <w:rFonts w:ascii="Times New Roman" w:hAnsi="Times New Roman" w:eastAsia="Times New Roman"/>
          <w:color w:val="000000"/>
          <w:sz w:val="24"/>
        </w:rPr>
        <w:t>3.1 Research design</w:t>
      </w:r>
    </w:p>
    <w:p>
      <w:pPr>
        <w:spacing w:before="0" w:after="120" w:lineRule="auto" w:line="360"/>
        <w:keepLines/>
      </w:pPr>
      <w:r>
        <w:rPr>
          <w:rFonts w:ascii="Times New Roman" w:hAnsi="Times New Roman" w:eastAsia="Times New Roman"/>
          <w:color w:val="000000"/>
          <w:sz w:val="24"/>
        </w:rPr>
        <w:t>This study used a cross-sectional predictive modelling design. Its unit of analysis was one student record, and its outcome was the change between pre-semester and post-semester grade point average (GPA):</w:t>
      </w:r>
    </w:p>
    <w:p>
      <w:pPr>
        <w:spacing w:before="0" w:after="120" w:lineRule="auto" w:line="360"/>
        <w:keepLines/>
      </w:pPr>
      <w:r>
        <w:rPr>
          <w:rFonts w:ascii="Times New Roman" w:hAnsi="Times New Roman" w:eastAsia="Times New Roman"/>
          <w:color w:val="000000"/>
          <w:sz w:val="24"/>
        </w:rPr>
        <w:t>GPA change = post-semester GPA − pre-semester GPA</w:t>
      </w:r>
    </w:p>
    <w:p>
      <w:pPr>
        <w:spacing w:before="0" w:after="120" w:lineRule="auto" w:line="360"/>
        <w:keepLines/>
      </w:pPr>
      <w:r>
        <w:rPr>
          <w:rFonts w:ascii="Times New Roman" w:hAnsi="Times New Roman" w:eastAsia="Times New Roman"/>
          <w:color w:val="000000"/>
          <w:sz w:val="24"/>
        </w:rPr>
        <w:t>Positive values denote an increase and negative values denote a decrease. Regression was selected because the target is continuous and the magnitude of change matters. Classification would discard this information by treating small and large changes as equivalent categories. Unsupervised clustering was considered but rejected because it identifies groups without using the labelled GPA-change outcome and therefore cannot answer the predictive research question. Time-series methods were also inappropriate because the data contain one record per student rather than repeated temporal observations. The design addresses prediction and comparison; it does not estimate an effect of AI use.</w:t>
      </w:r>
    </w:p>
    <w:p>
      <w:pPr>
        <w:pStyle w:val="Heading2"/>
        <w:keepNext/>
        <w:keepLines/>
      </w:pPr>
      <w:r>
        <w:rPr>
          <w:rFonts w:ascii="Times New Roman" w:hAnsi="Times New Roman" w:eastAsia="Times New Roman"/>
          <w:color w:val="000000"/>
          <w:sz w:val="24"/>
        </w:rPr>
        <w:t>3.2 Data and feature groups</w:t>
      </w:r>
    </w:p>
    <w:p>
      <w:pPr>
        <w:spacing w:before="0" w:after="120" w:lineRule="auto" w:line="360"/>
        <w:keepLines/>
      </w:pPr>
      <w:r>
        <w:rPr>
          <w:rFonts w:ascii="Times New Roman" w:hAnsi="Times New Roman" w:eastAsia="Times New Roman"/>
          <w:color w:val="000000"/>
          <w:sz w:val="24"/>
        </w:rPr>
        <w:t>The source was the Impact of AI on Students dataset downloaded from Kaggle (Nagi sisiro, 2026). It contained 50,000 records and 16 source variables. The target was derived after loading the data. Twelve predictors were divided into two conceptually distinct groups. The context group contained previous-semester GPA, major category, year of study, traditional study hours and exam anxiety. The AI group contained weekly GenAI hours, primary use case, prompt-engineering skill, tool diversity, paid subscription, perceived AI dependency and institutional policy. Comparing context-only, AI-only and combined models made the research question directly testable.</w:t>
      </w:r>
    </w:p>
    <w:p>
      <w:pPr>
        <w:spacing w:before="0" w:after="120" w:lineRule="auto" w:line="360"/>
        <w:keepLines/>
      </w:pPr>
      <w:r>
        <w:rPr>
          <w:rFonts w:ascii="Times New Roman" w:hAnsi="Times New Roman" w:eastAsia="Times New Roman"/>
          <w:color w:val="000000"/>
          <w:sz w:val="24"/>
        </w:rPr>
        <w:t>Four variables were excluded from all predictors. The student identifier had no defensible transferable meaning. Post-semester GPA was used to construct the target and would reveal its outcome. Skill-retention score and burnout-risk level were separate post-semester outcomes. Their removal was a deliberate leakage control rather than optional feature selection.</w:t>
      </w:r>
    </w:p>
    <w:p>
      <w:pPr>
        <w:pStyle w:val="Heading2"/>
        <w:keepNext/>
        <w:keepLines/>
      </w:pPr>
      <w:r>
        <w:rPr>
          <w:rFonts w:ascii="Times New Roman" w:hAnsi="Times New Roman" w:eastAsia="Times New Roman"/>
          <w:color w:val="000000"/>
          <w:sz w:val="24"/>
        </w:rPr>
        <w:t>3.3 Experimental procedure</w:t>
      </w:r>
    </w:p>
    <w:p>
      <w:pPr>
        <w:spacing w:before="0" w:after="120" w:lineRule="auto" w:line="360"/>
        <w:keepLines/>
      </w:pPr>
      <w:r>
        <w:rPr>
          <w:rFonts w:ascii="Times New Roman" w:hAnsi="Times New Roman" w:eastAsia="Times New Roman"/>
          <w:color w:val="000000"/>
          <w:sz w:val="24"/>
        </w:rPr>
        <w:t>The analysis was implemented in Python 3.13.11 with pandas 3.0.3, NumPy 2.4.6 and scikit-learn 1.9.0. These libraries respectively provided labelled tabular operations, numerical arrays and consistent machine-learning estimators (Harris et al., 2020; McKinney, 2010; Pedregosa et al., 2011). Matplotlib 3.10.9 and seaborn 0.13.2 generated the statistical graphics (Hunter, 2007; Waskom, 2021). A fixed random state of 42 was used. A single random 80/20 split produced 40,000 development records and a reserved test set of 10,000 records. All model selection was performed within the development data using shuffled five-fold cross-validation with the same folds for every model. Cross-validation estimates performance across repeated development partitions and supports model selection without fitting on the reserved test observations (Arlot &amp; Celisse, 2010). This consistent protocol was important because student-performance prediction studies often differ in targets, data and evaluation choices, making disciplined within-study comparison more informative than isolated scores (Alyahyan &amp; Düştegör, 2020; Hellas et al., 2018).</w:t>
      </w:r>
    </w:p>
    <w:p>
      <w:pPr>
        <w:spacing w:before="0" w:after="120" w:lineRule="auto" w:line="360"/>
        <w:keepLines/>
      </w:pPr>
      <w:r>
        <w:rPr>
          <w:rFonts w:ascii="Times New Roman" w:hAnsi="Times New Roman" w:eastAsia="Times New Roman"/>
          <w:color w:val="000000"/>
          <w:sz w:val="24"/>
        </w:rPr>
        <w:t>Preprocessing and estimation were joined in scikit-learn pipelines. Numeric features passed through median imputation and standardisation; categorical and Boolean features passed through most-frequent imputation and one-hot encoding with unknown categories ignored. Although the observed file had no missing values, these steps made the workflow robust to missing or unseen values. Crucially, transformer parameters were fitted within each training fold, not on the complete dataset.</w:t>
      </w:r>
    </w:p>
    <w:p>
      <w:pPr>
        <w:spacing w:before="0" w:after="120" w:lineRule="auto" w:line="360"/>
        <w:keepLines/>
      </w:pPr>
      <w:r>
        <w:rPr>
          <w:rFonts w:ascii="Times New Roman" w:hAnsi="Times New Roman" w:eastAsia="Times New Roman"/>
          <w:color w:val="000000"/>
          <w:sz w:val="24"/>
        </w:rPr>
        <w:t>The primary candidate set comprised a mean baseline, ordinary least-squares Linear Regression, Ridge Regression, Random Forest and Histogram Gradient Boosting (HGB). This set provides a deliberate progression from a no-skill reference, through additive models, to bagged and boosted nonlinear ensembles. Three neural alternatives—a category-embedding multilayer perceptron (MLP), FT-Transformer and TabM—were evaluated separately under the same split and five-fold protocol. Mean absolute error (MAE) reported typical absolute error in GPA points. Root mean squared error (RMSE) penalised larger errors more heavily and was the primary selection metric. The coefficient of determination (R²) described the proportion of test-set variation accounted for by the predictions relative to the mean baseline. Lower MAE and RMSE and higher R² indicate better performance.</w:t>
      </w:r>
    </w:p>
    <w:p>
      <w:pPr>
        <w:spacing w:before="0" w:after="120" w:lineRule="auto" w:line="360"/>
        <w:keepLines/>
      </w:pPr>
      <w:r>
        <w:rPr>
          <w:rFonts w:ascii="Times New Roman" w:hAnsi="Times New Roman" w:eastAsia="Times New Roman"/>
          <w:color w:val="000000"/>
          <w:sz w:val="24"/>
        </w:rPr>
        <w:t>HGB was selected for optimisation only after it achieved the lowest untuned cross-validated RMSE. RandomizedSearchCV evaluated ten parameter combinations over learning rate, leaf count, minimum leaf size, L2 regularisation and number of boosting iterations. Search, scoring and refitting remained inside the development data. Test outputs were treated as confirmatory: the same reserved partition supported the prespecified feature-set comparison, candidate-model confirmation, residual summaries and permutation importance. It did not alter the search space or trigger model refitting, but these multiple reporting uses mean that it was not a strict single-look test benchmark.</w:t>
      </w:r>
    </w:p>
    <w:p>
      <w:pPr>
        <w:spacing w:before="0" w:after="120" w:lineRule="auto" w:line="360"/>
        <w:keepLines/>
      </w:pPr>
      <w:r>
        <w:rPr>
          <w:rFonts w:ascii="Times New Roman" w:hAnsi="Times New Roman" w:eastAsia="Times New Roman"/>
          <w:color w:val="000000"/>
          <w:sz w:val="24"/>
        </w:rPr>
        <w:t>No ethics approval is claimed for the secondary analysis because the dataset was obtained as a public CC0 modelling file and contains only a unique numeric identifier without documented personal meaning. Nevertheless, the source provides no account of consent or ethical review. This absence is an evidence limitation and prevents treating public availability as proof of ethical provenance.</w:t>
      </w:r>
    </w:p>
    <w:p>
      <w:pPr>
        <w:pStyle w:val="Caption"/>
        <w:keepNext/>
        <w:keepLines/>
      </w:pPr>
      <w:r>
        <w:rPr>
          <w:rFonts w:ascii="Times New Roman" w:hAnsi="Times New Roman" w:eastAsia="Times New Roman"/>
          <w:color w:val="000000"/>
          <w:sz w:val="24"/>
        </w:rPr>
        <w:t>Table 3. Experimental workflow and evidence role</w:t>
      </w:r>
    </w:p>
    <w:tbl>
      <w:tblPr>
        <w:tblStyle w:val="TableGrid"/>
        <w:tblW w:type="dxa" w:w="8310"/>
        <w:jc w:val="left"/>
        <w:tblLayout w:type="fixed"/>
        <w:tblLook w:firstColumn="1" w:firstRow="1" w:lastColumn="0" w:lastRow="0" w:noHBand="0" w:noVBand="1" w:val="04A0"/>
        <w:tblInd w:w="120" w:type="dxa"/>
      </w:tblPr>
      <w:tblGrid>
        <w:gridCol w:w="2719"/>
        <w:gridCol w:w="2681"/>
        <w:gridCol w:w="2910"/>
      </w:tblGrid>
      <w:tr>
        <w:trPr>
          <w:tblHeader w:val="true"/>
        </w:trPr>
        <w:tc>
          <w:tcPr>
            <w:tcW w:type="dxa" w:w="271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Stage</w:t>
            </w:r>
          </w:p>
        </w:tc>
        <w:tc>
          <w:tcPr>
            <w:tcW w:type="dxa" w:w="268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Data used</w:t>
            </w:r>
          </w:p>
        </w:tc>
        <w:tc>
          <w:tcPr>
            <w:tcW w:type="dxa" w:w="2910"/>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Purpose</w:t>
            </w:r>
          </w:p>
        </w:tc>
      </w:tr>
      <w:tr>
        <w:tc>
          <w:tcPr>
            <w:tcW w:type="dxa" w:w="271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Integrity checks and target construction</w:t>
            </w:r>
          </w:p>
        </w:tc>
        <w:tc>
          <w:tcPr>
            <w:tcW w:type="dxa" w:w="26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All raw records</w:t>
            </w:r>
          </w:p>
        </w:tc>
        <w:tc>
          <w:tcPr>
            <w:tcW w:type="dxa" w:w="291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Verify schema and define the continuous outcome</w:t>
            </w:r>
          </w:p>
        </w:tc>
      </w:tr>
      <w:tr>
        <w:tc>
          <w:tcPr>
            <w:tcW w:type="dxa" w:w="271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Development-test split</w:t>
            </w:r>
          </w:p>
        </w:tc>
        <w:tc>
          <w:tcPr>
            <w:tcW w:type="dxa" w:w="26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All eligible records</w:t>
            </w:r>
          </w:p>
        </w:tc>
        <w:tc>
          <w:tcPr>
            <w:tcW w:type="dxa" w:w="291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Reserve 20% for final confirmation</w:t>
            </w:r>
          </w:p>
        </w:tc>
      </w:tr>
      <w:tr>
        <w:tc>
          <w:tcPr>
            <w:tcW w:type="dxa" w:w="271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Five-fold comparison</w:t>
            </w:r>
          </w:p>
        </w:tc>
        <w:tc>
          <w:tcPr>
            <w:tcW w:type="dxa" w:w="26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 data only</w:t>
            </w:r>
          </w:p>
        </w:tc>
        <w:tc>
          <w:tcPr>
            <w:tcW w:type="dxa" w:w="291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Select the strongest model family</w:t>
            </w:r>
          </w:p>
        </w:tc>
      </w:tr>
      <w:tr>
        <w:tc>
          <w:tcPr>
            <w:tcW w:type="dxa" w:w="271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Randomised tuning</w:t>
            </w:r>
          </w:p>
        </w:tc>
        <w:tc>
          <w:tcPr>
            <w:tcW w:type="dxa" w:w="26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 folds only</w:t>
            </w:r>
          </w:p>
        </w:tc>
        <w:tc>
          <w:tcPr>
            <w:tcW w:type="dxa" w:w="291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Optimise the selected HGB family</w:t>
            </w:r>
          </w:p>
        </w:tc>
      </w:tr>
      <w:tr>
        <w:tc>
          <w:tcPr>
            <w:tcW w:type="dxa" w:w="271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Neural comparison</w:t>
            </w:r>
          </w:p>
        </w:tc>
        <w:tc>
          <w:tcPr>
            <w:tcW w:type="dxa" w:w="26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 folds and reserved test set</w:t>
            </w:r>
          </w:p>
        </w:tc>
        <w:tc>
          <w:tcPr>
            <w:tcW w:type="dxa" w:w="291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Test whether additional representation complexity materially improves validation RMSE</w:t>
            </w:r>
          </w:p>
        </w:tc>
      </w:tr>
      <w:tr>
        <w:tc>
          <w:tcPr>
            <w:tcW w:type="dxa" w:w="271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Final evaluation</w:t>
            </w:r>
          </w:p>
        </w:tc>
        <w:tc>
          <w:tcPr>
            <w:tcW w:type="dxa" w:w="26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Reserved test set</w:t>
            </w:r>
          </w:p>
        </w:tc>
        <w:tc>
          <w:tcPr>
            <w:tcW w:type="dxa" w:w="291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Confirm generalisation, quantify uncertainty and inspect errors</w:t>
            </w:r>
          </w:p>
        </w:tc>
      </w:tr>
      <w:tr>
        <w:tc>
          <w:tcPr>
            <w:tcW w:type="dxa" w:w="271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Permutation importance</w:t>
            </w:r>
          </w:p>
        </w:tc>
        <w:tc>
          <w:tcPr>
            <w:tcW w:type="dxa" w:w="268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Reserved test set</w:t>
            </w:r>
          </w:p>
        </w:tc>
        <w:tc>
          <w:tcPr>
            <w:tcW w:type="dxa" w:w="2910"/>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Describe model-specific predictive contribution</w:t>
            </w:r>
          </w:p>
        </w:tc>
      </w:tr>
    </w:tbl>
    <w:p>
      <w:pPr>
        <w:pStyle w:val="Heading1"/>
        <w:pageBreakBefore/>
        <w:keepNext/>
        <w:keepLines/>
      </w:pPr>
      <w:r>
        <w:rPr>
          <w:rFonts w:ascii="Times New Roman" w:hAnsi="Times New Roman" w:eastAsia="Times New Roman"/>
          <w:color w:val="000000"/>
          <w:sz w:val="24"/>
        </w:rPr>
        <w:t>4 Dataset Preparation</w:t>
      </w:r>
    </w:p>
    <w:p>
      <w:pPr>
        <w:pStyle w:val="Heading2"/>
        <w:keepNext/>
        <w:keepLines/>
      </w:pPr>
      <w:r>
        <w:rPr>
          <w:rFonts w:ascii="Times New Roman" w:hAnsi="Times New Roman" w:eastAsia="Times New Roman"/>
          <w:color w:val="000000"/>
          <w:sz w:val="24"/>
        </w:rPr>
        <w:t>4.1 Data understanding, audit and target construction</w:t>
      </w:r>
    </w:p>
    <w:p>
      <w:pPr>
        <w:spacing w:before="0" w:after="120" w:lineRule="auto" w:line="360"/>
        <w:keepLines/>
      </w:pPr>
      <w:r>
        <w:rPr>
          <w:rFonts w:ascii="Times New Roman" w:hAnsi="Times New Roman" w:eastAsia="Times New Roman"/>
          <w:color w:val="000000"/>
          <w:sz w:val="24"/>
        </w:rPr>
        <w:t>The raw CSV was loaded without modification. It contained 50,000 rows and 16 source columns: eight numeric or ordinal measures, six categorical fields, one Boolean field and one integer identifier. The fields covered academic background, study behaviour, generative-AI use, institutional policy, exam anxiety and post-semester outcomes (Nagi sisiro, 2026).</w:t>
      </w:r>
    </w:p>
    <w:p>
      <w:pPr>
        <w:spacing w:before="0" w:after="120" w:lineRule="auto" w:line="360"/>
        <w:keepLines/>
      </w:pPr>
      <w:r>
        <w:rPr>
          <w:rFonts w:ascii="Times New Roman" w:hAnsi="Times New Roman" w:eastAsia="Times New Roman"/>
          <w:color w:val="000000"/>
          <w:sz w:val="24"/>
        </w:rPr>
        <w:t>Every field was profiled for data type, non-null count, missing count, cardinality and, where applicable, numeric range. The audit found 50,000 unique student identifiers, no missing cells, no duplicated rows and no duplicated identifiers. Both GPA fields were within 0–4; weekly AI and traditional-study hours were within feasible weekly limits; and diversity, dependency, anxiety and retention measures stayed within their documented scale limits. Complete category-frequency tables exposed every observed level and no inconsistent spellings. Figure 1 summarises the quality checks and field types.</w:t>
      </w:r>
    </w:p>
    <w:p>
      <w:pPr>
        <w:spacing w:before="80" w:after="40" w:lineRule="auto" w:line="240"/>
        <w:jc w:val="center"/>
      </w:pPr>
      <w:r>
        <w:drawing>
          <wp:inline xmlns:a="http://schemas.openxmlformats.org/drawingml/2006/main" xmlns:pic="http://schemas.openxmlformats.org/drawingml/2006/picture">
            <wp:extent cx="5212080" cy="2088284"/>
            <wp:docPr id="2" name="Picture 2" descr="Figure 1"/>
            <wp:cNvGraphicFramePr>
              <a:graphicFrameLocks noChangeAspect="1"/>
            </wp:cNvGraphicFramePr>
            <a:graphic>
              <a:graphicData uri="http://schemas.openxmlformats.org/drawingml/2006/picture">
                <pic:pic>
                  <pic:nvPicPr>
                    <pic:cNvPr id="0" name="fig01_data_quality_and_schema.png"/>
                    <pic:cNvPicPr/>
                  </pic:nvPicPr>
                  <pic:blipFill>
                    <a:blip r:embed="rId34"/>
                    <a:stretch>
                      <a:fillRect/>
                    </a:stretch>
                  </pic:blipFill>
                  <pic:spPr>
                    <a:xfrm>
                      <a:off x="0" y="0"/>
                      <a:ext cx="5212080" cy="2088284"/>
                    </a:xfrm>
                    <a:prstGeom prst="rect"/>
                  </pic:spPr>
                </pic:pic>
              </a:graphicData>
            </a:graphic>
          </wp:inline>
        </w:drawing>
      </w:r>
    </w:p>
    <w:p>
      <w:pPr>
        <w:pStyle w:val="Caption"/>
        <w:keepLines/>
      </w:pPr>
      <w:r>
        <w:rPr>
          <w:rFonts w:ascii="Times New Roman" w:hAnsi="Times New Roman" w:eastAsia="Times New Roman"/>
          <w:color w:val="000000"/>
          <w:sz w:val="24"/>
        </w:rPr>
        <w:t>Figure 1. Data-quality results and original field-type composition. Zero counts for missing cells, duplicate rows, duplicate identifiers and invalid-range rows document why no corrective cleaning was applied.</w:t>
      </w:r>
    </w:p>
    <w:p>
      <w:pPr>
        <w:spacing w:before="0" w:after="120" w:lineRule="auto" w:line="360"/>
        <w:keepLines/>
      </w:pPr>
      <w:r>
        <w:rPr>
          <w:rFonts w:ascii="Times New Roman" w:hAnsi="Times New Roman" w:eastAsia="Times New Roman"/>
          <w:color w:val="000000"/>
          <w:sz w:val="24"/>
        </w:rPr>
        <w:t>Numeric exploration reported descriptive statistics, distributions and IQR outlier flags for every measured field (Figure 2). Flags prompted inspection, not automatic deletion. Figure 3 reports every categorical and Boolean frequency before encoding.</w:t>
      </w:r>
    </w:p>
    <w:p>
      <w:pPr>
        <w:spacing w:before="80" w:after="40" w:lineRule="auto" w:line="240"/>
        <w:jc w:val="center"/>
      </w:pPr>
      <w:r>
        <w:drawing>
          <wp:inline xmlns:a="http://schemas.openxmlformats.org/drawingml/2006/main" xmlns:pic="http://schemas.openxmlformats.org/drawingml/2006/picture">
            <wp:extent cx="5212080" cy="4263791"/>
            <wp:docPr id="3" name="Picture 3" descr="Figure 2"/>
            <wp:cNvGraphicFramePr>
              <a:graphicFrameLocks noChangeAspect="1"/>
            </wp:cNvGraphicFramePr>
            <a:graphic>
              <a:graphicData uri="http://schemas.openxmlformats.org/drawingml/2006/picture">
                <pic:pic>
                  <pic:nvPicPr>
                    <pic:cNvPr id="0" name="fig02_numeric_distributions.png"/>
                    <pic:cNvPicPr/>
                  </pic:nvPicPr>
                  <pic:blipFill>
                    <a:blip r:embed="rId35"/>
                    <a:stretch>
                      <a:fillRect/>
                    </a:stretch>
                  </pic:blipFill>
                  <pic:spPr>
                    <a:xfrm>
                      <a:off x="0" y="0"/>
                      <a:ext cx="5212080" cy="4263791"/>
                    </a:xfrm>
                    <a:prstGeom prst="rect"/>
                  </pic:spPr>
                </pic:pic>
              </a:graphicData>
            </a:graphic>
          </wp:inline>
        </w:drawing>
      </w:r>
    </w:p>
    <w:p>
      <w:pPr>
        <w:pStyle w:val="Caption"/>
        <w:keepLines/>
      </w:pPr>
      <w:r>
        <w:rPr>
          <w:rFonts w:ascii="Times New Roman" w:hAnsi="Times New Roman" w:eastAsia="Times New Roman"/>
          <w:color w:val="000000"/>
          <w:sz w:val="24"/>
        </w:rPr>
        <w:t>Figure 2. Distributions of all original numeric and ordinal measures except the unique student identifier.</w:t>
      </w:r>
    </w:p>
    <w:p>
      <w:pPr>
        <w:spacing w:before="80" w:after="40" w:lineRule="auto" w:line="240"/>
        <w:jc w:val="center"/>
      </w:pPr>
      <w:r>
        <w:drawing>
          <wp:inline xmlns:a="http://schemas.openxmlformats.org/drawingml/2006/main" xmlns:pic="http://schemas.openxmlformats.org/drawingml/2006/picture">
            <wp:extent cx="5212080" cy="2995712"/>
            <wp:docPr id="4" name="Picture 4" descr="Figure 3"/>
            <wp:cNvGraphicFramePr>
              <a:graphicFrameLocks noChangeAspect="1"/>
            </wp:cNvGraphicFramePr>
            <a:graphic>
              <a:graphicData uri="http://schemas.openxmlformats.org/drawingml/2006/picture">
                <pic:pic>
                  <pic:nvPicPr>
                    <pic:cNvPr id="0" name="fig03_categorical_distributions.png"/>
                    <pic:cNvPicPr/>
                  </pic:nvPicPr>
                  <pic:blipFill>
                    <a:blip r:embed="rId36"/>
                    <a:stretch>
                      <a:fillRect/>
                    </a:stretch>
                  </pic:blipFill>
                  <pic:spPr>
                    <a:xfrm>
                      <a:off x="0" y="0"/>
                      <a:ext cx="5212080" cy="2995712"/>
                    </a:xfrm>
                    <a:prstGeom prst="rect"/>
                  </pic:spPr>
                </pic:pic>
              </a:graphicData>
            </a:graphic>
          </wp:inline>
        </w:drawing>
      </w:r>
    </w:p>
    <w:p>
      <w:pPr>
        <w:pStyle w:val="Caption"/>
        <w:keepLines/>
      </w:pPr>
      <w:r>
        <w:rPr>
          <w:rFonts w:ascii="Times New Roman" w:hAnsi="Times New Roman" w:eastAsia="Times New Roman"/>
          <w:color w:val="000000"/>
          <w:sz w:val="24"/>
        </w:rPr>
        <w:t>Figure 3. Frequency distributions for every categorical and Boolean source field.</w:t>
      </w:r>
    </w:p>
    <w:p>
      <w:pPr>
        <w:spacing w:before="0" w:after="120" w:lineRule="auto" w:line="360"/>
        <w:keepLines/>
      </w:pPr>
      <w:r>
        <w:rPr>
          <w:rFonts w:ascii="Times New Roman" w:hAnsi="Times New Roman" w:eastAsia="Times New Roman"/>
          <w:color w:val="000000"/>
          <w:sz w:val="24"/>
        </w:rPr>
        <w:t>Semester GPA change was derived as post-semester minus pre-semester GPA, increasing the working dataset to 17 variables without altering the source data. The target mean was 0.2032 GPA points, its standard deviation was 0.1872 and its median was 0.2040, with values from -0.924 to 1.008. Figure 4 presents numeric correlations and the bounded relationship between previous GPA and GPA change. These correlations support exploration of predictive structure but do not establish causation.</w:t>
      </w:r>
    </w:p>
    <w:p>
      <w:pPr>
        <w:spacing w:before="80" w:after="40" w:lineRule="auto" w:line="240"/>
        <w:jc w:val="center"/>
      </w:pPr>
      <w:r>
        <w:drawing>
          <wp:inline xmlns:a="http://schemas.openxmlformats.org/drawingml/2006/main" xmlns:pic="http://schemas.openxmlformats.org/drawingml/2006/picture">
            <wp:extent cx="5212080" cy="2051115"/>
            <wp:docPr id="5" name="Picture 5" descr="Figure 4"/>
            <wp:cNvGraphicFramePr>
              <a:graphicFrameLocks noChangeAspect="1"/>
            </wp:cNvGraphicFramePr>
            <a:graphic>
              <a:graphicData uri="http://schemas.openxmlformats.org/drawingml/2006/picture">
                <pic:pic>
                  <pic:nvPicPr>
                    <pic:cNvPr id="0" name="fig04_correlation_and_target_relationships.png"/>
                    <pic:cNvPicPr/>
                  </pic:nvPicPr>
                  <pic:blipFill>
                    <a:blip r:embed="rId37"/>
                    <a:stretch>
                      <a:fillRect/>
                    </a:stretch>
                  </pic:blipFill>
                  <pic:spPr>
                    <a:xfrm>
                      <a:off x="0" y="0"/>
                      <a:ext cx="5212080" cy="2051115"/>
                    </a:xfrm>
                    <a:prstGeom prst="rect"/>
                  </pic:spPr>
                </pic:pic>
              </a:graphicData>
            </a:graphic>
          </wp:inline>
        </w:drawing>
      </w:r>
    </w:p>
    <w:p>
      <w:pPr>
        <w:pStyle w:val="Caption"/>
        <w:keepLines/>
      </w:pPr>
      <w:r>
        <w:rPr>
          <w:rFonts w:ascii="Times New Roman" w:hAnsi="Times New Roman" w:eastAsia="Times New Roman"/>
          <w:color w:val="000000"/>
          <w:sz w:val="24"/>
        </w:rPr>
        <w:t>Figure 4. Numeric correlation matrix and sampled relationship between previous GPA and GPA change. Post-semester outcomes are excluded from the predictor-focused matrix.</w:t>
      </w:r>
    </w:p>
    <w:p>
      <w:pPr>
        <w:spacing w:before="0" w:after="120" w:lineRule="auto" w:line="360"/>
        <w:keepLines/>
      </w:pPr>
      <w:r>
        <w:rPr>
          <w:rFonts w:ascii="Times New Roman" w:hAnsi="Times New Roman" w:eastAsia="Times New Roman"/>
          <w:color w:val="000000"/>
          <w:sz w:val="24"/>
        </w:rPr>
        <w:t>There were 43,759 positive changes (87.52%), 6,192 negative changes (12.38%) and 49 unchanged records (0.10%). Figure 5 makes this asymmetry explicit. It is not conventional class imbalance because the model predicts a continuous quantity rather than an increase/decrease class. Resampling by sign would change the observed target distribution and regression estimand. All records were therefore retained, while direction-specific test errors were added to detect performance differences hidden by aggregate metrics.</w:t>
      </w:r>
    </w:p>
    <w:p>
      <w:pPr>
        <w:spacing w:before="80" w:after="40" w:lineRule="auto" w:line="240"/>
        <w:jc w:val="center"/>
      </w:pPr>
      <w:r>
        <w:drawing>
          <wp:inline xmlns:a="http://schemas.openxmlformats.org/drawingml/2006/main" xmlns:pic="http://schemas.openxmlformats.org/drawingml/2006/picture">
            <wp:extent cx="5212080" cy="1964678"/>
            <wp:docPr id="6" name="Picture 6" descr="Figure 5"/>
            <wp:cNvGraphicFramePr>
              <a:graphicFrameLocks noChangeAspect="1"/>
            </wp:cNvGraphicFramePr>
            <a:graphic>
              <a:graphicData uri="http://schemas.openxmlformats.org/drawingml/2006/picture">
                <pic:pic>
                  <pic:nvPicPr>
                    <pic:cNvPr id="0" name="fig05_gpa_direction_imbalance.png"/>
                    <pic:cNvPicPr/>
                  </pic:nvPicPr>
                  <pic:blipFill>
                    <a:blip r:embed="rId38"/>
                    <a:stretch>
                      <a:fillRect/>
                    </a:stretch>
                  </pic:blipFill>
                  <pic:spPr>
                    <a:xfrm>
                      <a:off x="0" y="0"/>
                      <a:ext cx="5212080" cy="1964678"/>
                    </a:xfrm>
                    <a:prstGeom prst="rect"/>
                  </pic:spPr>
                </pic:pic>
              </a:graphicData>
            </a:graphic>
          </wp:inline>
        </w:drawing>
      </w:r>
    </w:p>
    <w:p>
      <w:pPr>
        <w:pStyle w:val="Caption"/>
        <w:keepLines/>
      </w:pPr>
      <w:r>
        <w:rPr>
          <w:rFonts w:ascii="Times New Roman" w:hAnsi="Times New Roman" w:eastAsia="Times New Roman"/>
          <w:color w:val="000000"/>
          <w:sz w:val="24"/>
        </w:rPr>
        <w:t>Figure 5. Counts and continuous distributions of GPA decreases, unchanged values and increases. The continuous target was retained without balancing.</w:t>
      </w:r>
    </w:p>
    <w:p>
      <w:pPr>
        <w:spacing w:before="0" w:after="120" w:lineRule="auto" w:line="360"/>
        <w:keepLines/>
      </w:pPr>
      <w:r>
        <w:rPr>
          <w:rFonts w:ascii="Times New Roman" w:hAnsi="Times New Roman" w:eastAsia="Times New Roman"/>
          <w:color w:val="000000"/>
          <w:sz w:val="24"/>
        </w:rPr>
        <w:t>Figure 6 shows an approximately unimodal target, a GPA-ceiling relationship, prompt-skill differences and non-monotonic AI-hours quartiles. These unadjusted patterns support nonlinear modelling but do not identify causal effects.</w:t>
      </w:r>
    </w:p>
    <w:p>
      <w:pPr>
        <w:spacing w:before="80" w:after="40" w:lineRule="auto" w:line="240"/>
        <w:jc w:val="center"/>
      </w:pPr>
      <w:r>
        <w:drawing>
          <wp:inline xmlns:a="http://schemas.openxmlformats.org/drawingml/2006/main" xmlns:pic="http://schemas.openxmlformats.org/drawingml/2006/picture">
            <wp:extent cx="5212080" cy="3329103"/>
            <wp:docPr id="7" name="Picture 7" descr="Figure 6"/>
            <wp:cNvGraphicFramePr>
              <a:graphicFrameLocks noChangeAspect="1"/>
            </wp:cNvGraphicFramePr>
            <a:graphic>
              <a:graphicData uri="http://schemas.openxmlformats.org/drawingml/2006/picture">
                <pic:pic>
                  <pic:nvPicPr>
                    <pic:cNvPr id="0" name="fig06_gpa_change_eda.png"/>
                    <pic:cNvPicPr/>
                  </pic:nvPicPr>
                  <pic:blipFill>
                    <a:blip r:embed="rId39"/>
                    <a:stretch>
                      <a:fillRect/>
                    </a:stretch>
                  </pic:blipFill>
                  <pic:spPr>
                    <a:xfrm>
                      <a:off x="0" y="0"/>
                      <a:ext cx="5212080" cy="3329103"/>
                    </a:xfrm>
                    <a:prstGeom prst="rect"/>
                  </pic:spPr>
                </pic:pic>
              </a:graphicData>
            </a:graphic>
          </wp:inline>
        </w:drawing>
      </w:r>
    </w:p>
    <w:p>
      <w:pPr>
        <w:pStyle w:val="Caption"/>
        <w:keepLines/>
      </w:pPr>
      <w:r>
        <w:rPr>
          <w:rFonts w:ascii="Times New Roman" w:hAnsi="Times New Roman" w:eastAsia="Times New Roman"/>
          <w:color w:val="000000"/>
          <w:sz w:val="24"/>
        </w:rPr>
        <w:t>Figure 6. Distribution of GPA change and descriptive relationships with previous GPA, prompt-engineering skill and weekly generative-AI hours. Error bars show 95% confidence intervals for group means.</w:t>
      </w:r>
    </w:p>
    <w:p>
      <w:pPr>
        <w:pStyle w:val="Heading2"/>
        <w:keepNext/>
        <w:keepLines/>
      </w:pPr>
      <w:r>
        <w:rPr>
          <w:rFonts w:ascii="Times New Roman" w:hAnsi="Times New Roman" w:eastAsia="Times New Roman"/>
          <w:color w:val="000000"/>
          <w:sz w:val="24"/>
        </w:rPr>
        <w:t>4.2 Preparation and leakage control</w:t>
      </w:r>
    </w:p>
    <w:p>
      <w:pPr>
        <w:spacing w:before="0" w:after="120" w:lineRule="auto" w:line="360"/>
        <w:keepLines/>
      </w:pPr>
      <w:r>
        <w:rPr>
          <w:rFonts w:ascii="Times New Roman" w:hAnsi="Times New Roman" w:eastAsia="Times New Roman"/>
          <w:color w:val="000000"/>
          <w:sz w:val="24"/>
        </w:rPr>
        <w:t>Table 4 records every preparation decision. The student identifier was excluded because record identity has no transferable meaning. Post-semester GPA was used only to construct the target; retaining it as a predictor would reveal the answer. Skill-retention score and burnout-risk level were excluded as separate post-semester outcomes unavailable at the intended prediction point. GPA direction was a diagnostic variable only; models retained continuous GPA change.</w:t>
      </w:r>
    </w:p>
    <w:p>
      <w:pPr>
        <w:pStyle w:val="Caption"/>
        <w:keepNext/>
        <w:keepLines/>
      </w:pPr>
      <w:r>
        <w:rPr>
          <w:rFonts w:ascii="Times New Roman" w:hAnsi="Times New Roman" w:eastAsia="Times New Roman"/>
          <w:color w:val="000000"/>
          <w:sz w:val="24"/>
        </w:rPr>
        <w:t>Table 4. Dataset preparation decisions</w:t>
      </w:r>
    </w:p>
    <w:tbl>
      <w:tblPr>
        <w:tblStyle w:val="TableGrid"/>
        <w:tblW w:type="dxa" w:w="8310"/>
        <w:jc w:val="left"/>
        <w:tblLayout w:type="fixed"/>
        <w:tblLook w:firstColumn="1" w:firstRow="1" w:lastColumn="0" w:lastRow="0" w:noHBand="0" w:noVBand="1" w:val="04A0"/>
        <w:tblInd w:w="120" w:type="dxa"/>
      </w:tblPr>
      <w:tblGrid>
        <w:gridCol w:w="2256"/>
        <w:gridCol w:w="3027"/>
        <w:gridCol w:w="3027"/>
      </w:tblGrid>
      <w:tr>
        <w:trPr>
          <w:tblHeader w:val="true"/>
        </w:trPr>
        <w:tc>
          <w:tcPr>
            <w:tcW w:type="dxa" w:w="225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Action</w:t>
            </w:r>
          </w:p>
        </w:tc>
        <w:tc>
          <w:tcPr>
            <w:tcW w:type="dxa" w:w="302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Fields or rule</w:t>
            </w:r>
          </w:p>
        </w:tc>
        <w:tc>
          <w:tcPr>
            <w:tcW w:type="dxa" w:w="302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Rationale</w:t>
            </w:r>
          </w:p>
        </w:tc>
      </w:tr>
      <w:tr>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Construct target</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Post-GPA minus pre-GPA</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magnitude and direction of academic change</w:t>
            </w:r>
          </w:p>
        </w:tc>
      </w:tr>
      <w:tr>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Remove identifier</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Student identifier</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Avoid arbitrary record identity</w:t>
            </w:r>
          </w:p>
        </w:tc>
      </w:tr>
      <w:tr>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Remove target source</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Post-semester GPA</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Prevent direct outcome leakage</w:t>
            </w:r>
          </w:p>
        </w:tc>
      </w:tr>
      <w:tr>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Remove other outcomes</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Skill-retention score; burnout-risk level</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a predictor-only feature set</w:t>
            </w:r>
          </w:p>
        </w:tc>
      </w:tr>
      <w:tr>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Audit validity</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Missingness, duplicates, ranges, categories, IQR flags</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Demonstrate cleaning decisions from evidence</w:t>
            </w:r>
          </w:p>
        </w:tc>
      </w:tr>
      <w:tr>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Encode categories</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Fold-fitted one-hot encoding; ignore unknown levels</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Represent nominal values without artificial ordering</w:t>
            </w:r>
          </w:p>
        </w:tc>
      </w:tr>
      <w:tr>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Prepare numeric fields</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Fold-fitted median imputation and standardisation</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Provide robustness and linear-model comparability</w:t>
            </w:r>
          </w:p>
        </w:tc>
      </w:tr>
      <w:tr>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Retain clean observations</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No deletion, fabrication or forced transformation</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valid supplied data</w:t>
            </w:r>
          </w:p>
        </w:tc>
      </w:tr>
      <w:tr>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Retain target distribution</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No balancing by GPA-change sign</w:t>
            </w:r>
          </w:p>
        </w:tc>
        <w:tc>
          <w:tcPr>
            <w:tcW w:type="dxa" w:w="30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the continuous regression estimand</w:t>
            </w:r>
          </w:p>
        </w:tc>
      </w:tr>
      <w:tr>
        <w:tc>
          <w:tcPr>
            <w:tcW w:type="dxa" w:w="225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Add direction diagnostic</w:t>
            </w:r>
          </w:p>
        </w:tc>
        <w:tc>
          <w:tcPr>
            <w:tcW w:type="dxa" w:w="302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GPA direction, evaluation only</w:t>
            </w:r>
          </w:p>
        </w:tc>
        <w:tc>
          <w:tcPr>
            <w:tcW w:type="dxa" w:w="302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Detect unequal errors hidden by overall averages</w:t>
            </w:r>
          </w:p>
        </w:tc>
      </w:tr>
    </w:tbl>
    <w:p>
      <w:pPr>
        <w:spacing w:before="0" w:after="120" w:lineRule="auto" w:line="360"/>
        <w:keepLines/>
      </w:pPr>
      <w:r>
        <w:rPr>
          <w:rFonts w:ascii="Times New Roman" w:hAnsi="Times New Roman" w:eastAsia="Times New Roman"/>
          <w:color w:val="000000"/>
          <w:sz w:val="24"/>
        </w:rPr>
        <w:t>Encoders, imputers and scaling remained inside model pipelines, so every fold learned transformations from training data only. No imputation was activated, but the pipeline defines future missing-value handling without manufacturing present defects.</w:t>
      </w:r>
    </w:p>
    <w:p>
      <w:pPr>
        <w:spacing w:before="0" w:after="120" w:lineRule="auto" w:line="360"/>
        <w:keepLines/>
      </w:pPr>
      <w:r>
        <w:rPr>
          <w:rFonts w:ascii="Times New Roman" w:hAnsi="Times New Roman" w:eastAsia="Times New Roman"/>
          <w:color w:val="000000"/>
          <w:sz w:val="24"/>
        </w:rPr>
        <w:t>Complete cleaning was demonstrated through audits, validity rules and the decision log; it does not require changing valid data. Kaggle does not document collection, sampling, ethics or whether records are observed or synthetic. Perfect cleanliness is therefore a provenance warning, not proof of quality.</w:t>
      </w:r>
    </w:p>
    <w:p>
      <w:pPr>
        <w:pStyle w:val="Heading1"/>
        <w:pageBreakBefore/>
        <w:keepNext/>
        <w:keepLines/>
      </w:pPr>
      <w:r>
        <w:rPr>
          <w:rFonts w:ascii="Times New Roman" w:hAnsi="Times New Roman" w:eastAsia="Times New Roman"/>
          <w:color w:val="000000"/>
          <w:sz w:val="24"/>
        </w:rPr>
        <w:t>5 Model Implementation</w:t>
      </w:r>
    </w:p>
    <w:p>
      <w:pPr>
        <w:pStyle w:val="Heading2"/>
        <w:keepNext/>
        <w:keepLines/>
      </w:pPr>
      <w:r>
        <w:rPr>
          <w:rFonts w:ascii="Times New Roman" w:hAnsi="Times New Roman" w:eastAsia="Times New Roman"/>
          <w:color w:val="000000"/>
          <w:sz w:val="24"/>
        </w:rPr>
        <w:t>5.1 Common pipeline</w:t>
      </w:r>
    </w:p>
    <w:p>
      <w:pPr>
        <w:spacing w:before="0" w:after="120" w:lineRule="auto" w:line="360"/>
        <w:keepLines/>
      </w:pPr>
      <w:r>
        <w:rPr>
          <w:rFonts w:ascii="Times New Roman" w:hAnsi="Times New Roman" w:eastAsia="Times New Roman"/>
          <w:color w:val="000000"/>
          <w:sz w:val="24"/>
        </w:rPr>
        <w:t>Every candidate used the same train-test indices, five cross-validation folds and preprocessing architecture. This controlled comparison isolates differences in the estimators rather than allowing each model to benefit from a different data treatment. Numeric columns were median-imputed and standardised. Categorical and Boolean columns were most-frequent-imputed and one-hot encoded. The dense encoded matrix was then supplied to the estimator. Because the preprocessor and estimator formed one Pipeline, fitting within a cross-validation fold could not learn category levels, medians, modes or scale parameters from its validation partition.</w:t>
      </w:r>
    </w:p>
    <w:p>
      <w:pPr>
        <w:spacing w:before="0" w:after="120" w:lineRule="auto" w:line="360"/>
        <w:keepLines/>
      </w:pPr>
      <w:r>
        <w:rPr>
          <w:rFonts w:ascii="Times New Roman" w:hAnsi="Times New Roman" w:eastAsia="Times New Roman"/>
          <w:color w:val="000000"/>
          <w:sz w:val="24"/>
        </w:rPr>
        <w:t>The mean baseline was essential even though it was not a learning model. It predicted the development-set mean GPA change for every record and established the minimum performance that a useful regression model should exceed. Its expected R² is around zero on unseen data; a negative value means that even the fixed mean would perform better.</w:t>
      </w:r>
    </w:p>
    <w:p>
      <w:pPr>
        <w:pStyle w:val="Heading2"/>
        <w:keepNext/>
        <w:keepLines/>
      </w:pPr>
      <w:r>
        <w:rPr>
          <w:rFonts w:ascii="Times New Roman" w:hAnsi="Times New Roman" w:eastAsia="Times New Roman"/>
          <w:color w:val="000000"/>
          <w:sz w:val="24"/>
        </w:rPr>
        <w:t>5.2 Candidate regressors</w:t>
      </w:r>
    </w:p>
    <w:p>
      <w:pPr>
        <w:spacing w:before="0" w:after="120" w:lineRule="auto" w:line="360"/>
        <w:keepLines/>
      </w:pPr>
      <w:r>
        <w:rPr>
          <w:rFonts w:ascii="Times New Roman" w:hAnsi="Times New Roman" w:eastAsia="Times New Roman"/>
          <w:color w:val="000000"/>
          <w:sz w:val="24"/>
        </w:rPr>
        <w:t>Ordinary least-squares Linear Regression provided an interpretable additive benchmark. It assumes that the encoded predictors contribute through linear combinations and therefore cannot directly represent thresholds or interactions. Ridge Regression used the same functional form with an L2 penalty and alpha=1.0. It tests whether shrinking correlated or weak coefficients improves generalisation (Hoerl &amp; Kennard, 1970).</w:t>
      </w:r>
    </w:p>
    <w:p>
      <w:pPr>
        <w:spacing w:before="0" w:after="120" w:lineRule="auto" w:line="360"/>
        <w:keepLines/>
      </w:pPr>
      <w:r>
        <w:rPr>
          <w:rFonts w:ascii="Times New Roman" w:hAnsi="Times New Roman" w:eastAsia="Times New Roman"/>
          <w:color w:val="000000"/>
          <w:sz w:val="24"/>
        </w:rPr>
        <w:t>Random Forest represented bagged nonlinear trees with random feature selection (Breiman, 2001). The implementation used 180 trees, a minimum of three samples per leaf and 80% of available features at each split. Model-level parallelism was limited so that cross-validation folds could run in parallel without nested competition for processing resources. A fixed random state made bootstrap sampling and feature selection reproducible. Tree ensembles were suitable because the exploratory patterns suggested thresholds and interactions, and comparable educational-data-mining studies have found tree-based methods competitive with linear and other classifiers (Yağcı, 2022). That prior classification result was methodological context, not a numerical benchmark for this regression.</w:t>
      </w:r>
    </w:p>
    <w:p>
      <w:pPr>
        <w:spacing w:before="0" w:after="120" w:lineRule="auto" w:line="360"/>
        <w:keepLines/>
      </w:pPr>
      <w:r>
        <w:rPr>
          <w:rFonts w:ascii="Times New Roman" w:hAnsi="Times New Roman" w:eastAsia="Times New Roman"/>
          <w:color w:val="000000"/>
          <w:sz w:val="24"/>
        </w:rPr>
        <w:t>Histogram Gradient Boosting built trees sequentially, with each iteration reducing residual error from the preceding ensemble. Histogram binning makes the method efficient for 50,000 rows; its stage-wise logic follows gradient boosting (Friedman, 2001). The untuned comparison used 180 boosting iterations, learning rate 0.07 and 31 maximum leaf nodes. Its capacity to learn non-additive structure was relevant to the non-monotonic AI-hours pattern and the ceiling-shaped relation between previous GPA and GPA change.</w:t>
      </w:r>
    </w:p>
    <w:p>
      <w:pPr>
        <w:pStyle w:val="Caption"/>
        <w:keepNext/>
        <w:keepLines/>
      </w:pPr>
      <w:r>
        <w:rPr>
          <w:rFonts w:ascii="Times New Roman" w:hAnsi="Times New Roman" w:eastAsia="Times New Roman"/>
          <w:color w:val="000000"/>
          <w:sz w:val="24"/>
        </w:rPr>
        <w:t>Table 5. Candidate model specification</w:t>
      </w:r>
    </w:p>
    <w:tbl>
      <w:tblPr>
        <w:tblStyle w:val="TableGrid"/>
        <w:tblW w:type="dxa" w:w="8310"/>
        <w:jc w:val="left"/>
        <w:tblLayout w:type="fixed"/>
        <w:tblLook w:firstColumn="1" w:firstRow="1" w:lastColumn="0" w:lastRow="0" w:noHBand="0" w:noVBand="1" w:val="04A0"/>
        <w:tblInd w:w="120" w:type="dxa"/>
      </w:tblPr>
      <w:tblGrid>
        <w:gridCol w:w="2052"/>
        <w:gridCol w:w="3455"/>
        <w:gridCol w:w="2803"/>
      </w:tblGrid>
      <w:tr>
        <w:trPr>
          <w:tblHeader w:val="true"/>
        </w:trPr>
        <w:tc>
          <w:tcPr>
            <w:tcW w:type="dxa" w:w="205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345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Key implementation settings</w:t>
            </w:r>
          </w:p>
        </w:tc>
        <w:tc>
          <w:tcPr>
            <w:tcW w:type="dxa" w:w="2803"/>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Analytical role</w:t>
            </w:r>
          </w:p>
        </w:tc>
      </w:tr>
      <w:tr>
        <w:tc>
          <w:tcPr>
            <w:tcW w:type="dxa" w:w="20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Mean baseline</w:t>
            </w:r>
          </w:p>
        </w:tc>
        <w:tc>
          <w:tcPr>
            <w:tcW w:type="dxa" w:w="34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Development-set mean for every prediction</w:t>
            </w:r>
          </w:p>
        </w:tc>
        <w:tc>
          <w:tcPr>
            <w:tcW w:type="dxa" w:w="280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Minimum predictive reference</w:t>
            </w:r>
          </w:p>
        </w:tc>
      </w:tr>
      <w:tr>
        <w:tc>
          <w:tcPr>
            <w:tcW w:type="dxa" w:w="20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Linear Regression</w:t>
            </w:r>
          </w:p>
        </w:tc>
        <w:tc>
          <w:tcPr>
            <w:tcW w:type="dxa" w:w="34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Ordinary least squares</w:t>
            </w:r>
          </w:p>
        </w:tc>
        <w:tc>
          <w:tcPr>
            <w:tcW w:type="dxa" w:w="280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Unregularised additive benchmark</w:t>
            </w:r>
          </w:p>
        </w:tc>
      </w:tr>
      <w:tr>
        <w:tc>
          <w:tcPr>
            <w:tcW w:type="dxa" w:w="20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Ridge Regression</w:t>
            </w:r>
          </w:p>
        </w:tc>
        <w:tc>
          <w:tcPr>
            <w:tcW w:type="dxa" w:w="34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L2 penalty of 1.0</w:t>
            </w:r>
          </w:p>
        </w:tc>
        <w:tc>
          <w:tcPr>
            <w:tcW w:type="dxa" w:w="280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Regularised additive benchmark</w:t>
            </w:r>
          </w:p>
        </w:tc>
      </w:tr>
      <w:tr>
        <w:tc>
          <w:tcPr>
            <w:tcW w:type="dxa" w:w="20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 Forest</w:t>
            </w:r>
          </w:p>
        </w:tc>
        <w:tc>
          <w:tcPr>
            <w:tcW w:type="dxa" w:w="34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180 trees; minimum leaf 3; 80% features; seed 42</w:t>
            </w:r>
          </w:p>
        </w:tc>
        <w:tc>
          <w:tcPr>
            <w:tcW w:type="dxa" w:w="280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Bagged nonlinear ensemble</w:t>
            </w:r>
          </w:p>
        </w:tc>
      </w:tr>
      <w:tr>
        <w:tc>
          <w:tcPr>
            <w:tcW w:type="dxa" w:w="205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HGB</w:t>
            </w:r>
          </w:p>
        </w:tc>
        <w:tc>
          <w:tcPr>
            <w:tcW w:type="dxa" w:w="345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180 iterations; rate 0.07; 31 leaves; seed 42</w:t>
            </w:r>
          </w:p>
        </w:tc>
        <w:tc>
          <w:tcPr>
            <w:tcW w:type="dxa" w:w="2803"/>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Boosted nonlinear ensemble</w:t>
            </w:r>
          </w:p>
        </w:tc>
      </w:tr>
    </w:tbl>
    <w:p>
      <w:pPr>
        <w:pStyle w:val="Heading2"/>
        <w:keepNext/>
        <w:keepLines/>
      </w:pPr>
      <w:r>
        <w:rPr>
          <w:rFonts w:ascii="Times New Roman" w:hAnsi="Times New Roman" w:eastAsia="Times New Roman"/>
          <w:color w:val="000000"/>
          <w:sz w:val="24"/>
        </w:rPr>
        <w:t>5.3 Feature-set ablation</w:t>
      </w:r>
    </w:p>
    <w:p>
      <w:pPr>
        <w:spacing w:before="0" w:after="120" w:lineRule="auto" w:line="360"/>
        <w:keepLines/>
      </w:pPr>
      <w:r>
        <w:rPr>
          <w:rFonts w:ascii="Times New Roman" w:hAnsi="Times New Roman" w:eastAsia="Times New Roman"/>
          <w:color w:val="000000"/>
          <w:sz w:val="24"/>
        </w:rPr>
        <w:t>Before the broad model comparison, the same HGB procedure was applied to three feature sets. The context-only model used five academic and study-context variables. The AI-only model used seven AI behaviour, skill and institutional variables. The combined model used all 12. For this ablation, HGB used 150 iterations, learning rate 0.08 and 31 maximum leaf nodes. Holding the estimator and data partition constant meant that the difference between context-only and combined performance could be interpreted as incremental predictive information from the AI feature group within this dataset.</w:t>
      </w:r>
    </w:p>
    <w:p>
      <w:pPr>
        <w:spacing w:before="0" w:after="120" w:lineRule="auto" w:line="360"/>
        <w:keepLines/>
      </w:pPr>
      <w:r>
        <w:rPr>
          <w:rFonts w:ascii="Times New Roman" w:hAnsi="Times New Roman" w:eastAsia="Times New Roman"/>
          <w:color w:val="000000"/>
          <w:sz w:val="24"/>
        </w:rPr>
        <w:t>This is not the same as a treatment comparison. Some AI variables may encode unobserved differences in courses, students or institutional settings, and the dataset contains no random assignment or credible non-user control group. Accordingly, the ablation quantifies prediction, not an AI-induced GPA change.</w:t>
      </w:r>
    </w:p>
    <w:p>
      <w:pPr>
        <w:pStyle w:val="Heading2"/>
        <w:keepNext/>
        <w:keepLines/>
      </w:pPr>
      <w:r>
        <w:rPr>
          <w:rFonts w:ascii="Times New Roman" w:hAnsi="Times New Roman" w:eastAsia="Times New Roman"/>
          <w:color w:val="000000"/>
          <w:sz w:val="24"/>
        </w:rPr>
        <w:t>5.4 Hyperparameter optimisation</w:t>
      </w:r>
    </w:p>
    <w:p>
      <w:pPr>
        <w:spacing w:before="0" w:after="120" w:lineRule="auto" w:line="360"/>
        <w:keepLines/>
      </w:pPr>
      <w:r>
        <w:rPr>
          <w:rFonts w:ascii="Times New Roman" w:hAnsi="Times New Roman" w:eastAsia="Times New Roman"/>
          <w:color w:val="000000"/>
          <w:sz w:val="24"/>
        </w:rPr>
        <w:t>HGB achieved the lowest mean cross-validated RMSE in the untuned comparison and was therefore the only family passed to optimisation. Restricting tuning to the development data preserved the test set for confirmation. A randomised search evaluated ten sampled combinations from the space in Table 6. RMSE was the search objective because it expresses error in GPA points while assigning greater cost to large mistakes. Random search was chosen because it can inspect more distinct values per influential hyperparameter than an equally sized grid when only some dimensions strongly affect performance (Bergstra &amp; Bengio, 2012).</w:t>
      </w:r>
    </w:p>
    <w:p>
      <w:pPr>
        <w:pStyle w:val="Caption"/>
        <w:keepNext/>
        <w:keepLines/>
      </w:pPr>
      <w:r>
        <w:rPr>
          <w:rFonts w:ascii="Times New Roman" w:hAnsi="Times New Roman" w:eastAsia="Times New Roman"/>
          <w:color w:val="000000"/>
          <w:sz w:val="24"/>
        </w:rPr>
        <w:t>Table 6. HGB randomised-search space and selected configuration</w:t>
      </w:r>
    </w:p>
    <w:tbl>
      <w:tblPr>
        <w:tblStyle w:val="TableGrid"/>
        <w:tblW w:type="dxa" w:w="8310"/>
        <w:jc w:val="left"/>
        <w:tblLayout w:type="fixed"/>
        <w:tblLook w:firstColumn="1" w:firstRow="1" w:lastColumn="0" w:lastRow="0" w:noHBand="0" w:noVBand="1" w:val="04A0"/>
        <w:tblInd w:w="120" w:type="dxa"/>
      </w:tblPr>
      <w:tblGrid>
        <w:gridCol w:w="3293"/>
        <w:gridCol w:w="3119"/>
        <w:gridCol w:w="1898"/>
      </w:tblGrid>
      <w:tr>
        <w:trPr>
          <w:tblHeader w:val="true"/>
        </w:trPr>
        <w:tc>
          <w:tcPr>
            <w:tcW w:type="dxa" w:w="3293"/>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Hyperparameter</w:t>
            </w:r>
          </w:p>
        </w:tc>
        <w:tc>
          <w:tcPr>
            <w:tcW w:type="dxa" w:w="311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Candidate values</w:t>
            </w:r>
          </w:p>
        </w:tc>
        <w:tc>
          <w:tcPr>
            <w:tcW w:type="dxa" w:w="189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Selected</w:t>
            </w:r>
          </w:p>
        </w:tc>
      </w:tr>
      <w:tr>
        <w:tc>
          <w:tcPr>
            <w:tcW w:type="dxa" w:w="329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Learning rate</w:t>
            </w:r>
          </w:p>
        </w:tc>
        <w:tc>
          <w:tcPr>
            <w:tcW w:type="dxa" w:w="311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0.03, 0.05, 0.08, 0.10</w:t>
            </w:r>
          </w:p>
        </w:tc>
        <w:tc>
          <w:tcPr>
            <w:tcW w:type="dxa" w:w="189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0.05</w:t>
            </w:r>
          </w:p>
        </w:tc>
      </w:tr>
      <w:tr>
        <w:tc>
          <w:tcPr>
            <w:tcW w:type="dxa" w:w="329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Maximum leaf nodes</w:t>
            </w:r>
          </w:p>
        </w:tc>
        <w:tc>
          <w:tcPr>
            <w:tcW w:type="dxa" w:w="311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15, 31, 63</w:t>
            </w:r>
          </w:p>
        </w:tc>
        <w:tc>
          <w:tcPr>
            <w:tcW w:type="dxa" w:w="189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15</w:t>
            </w:r>
          </w:p>
        </w:tc>
      </w:tr>
      <w:tr>
        <w:tc>
          <w:tcPr>
            <w:tcW w:type="dxa" w:w="329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Minimum samples per leaf</w:t>
            </w:r>
          </w:p>
        </w:tc>
        <w:tc>
          <w:tcPr>
            <w:tcW w:type="dxa" w:w="311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10, 20, 40</w:t>
            </w:r>
          </w:p>
        </w:tc>
        <w:tc>
          <w:tcPr>
            <w:tcW w:type="dxa" w:w="189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10</w:t>
            </w:r>
          </w:p>
        </w:tc>
      </w:tr>
      <w:tr>
        <w:tc>
          <w:tcPr>
            <w:tcW w:type="dxa" w:w="329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L2 regularisation</w:t>
            </w:r>
          </w:p>
        </w:tc>
        <w:tc>
          <w:tcPr>
            <w:tcW w:type="dxa" w:w="311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0.0, 0.1, 1.0</w:t>
            </w:r>
          </w:p>
        </w:tc>
        <w:tc>
          <w:tcPr>
            <w:tcW w:type="dxa" w:w="189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w:t>
            </w:r>
          </w:p>
        </w:tc>
      </w:tr>
      <w:tr>
        <w:tc>
          <w:tcPr>
            <w:tcW w:type="dxa" w:w="3293"/>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Maximum iterations</w:t>
            </w:r>
          </w:p>
        </w:tc>
        <w:tc>
          <w:tcPr>
            <w:tcW w:type="dxa" w:w="311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120, 180, 240</w:t>
            </w:r>
          </w:p>
        </w:tc>
        <w:tc>
          <w:tcPr>
            <w:tcW w:type="dxa" w:w="189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180</w:t>
            </w:r>
          </w:p>
        </w:tc>
      </w:tr>
    </w:tbl>
    <w:p>
      <w:pPr>
        <w:spacing w:before="0" w:after="120" w:lineRule="auto" w:line="360"/>
        <w:keepLines/>
      </w:pPr>
      <w:r>
        <w:rPr>
          <w:rFonts w:ascii="Times New Roman" w:hAnsi="Times New Roman" w:eastAsia="Times New Roman"/>
          <w:color w:val="000000"/>
          <w:sz w:val="24"/>
        </w:rPr>
        <w:t>The selected configuration combined a smaller learning rate with 180 iterations, fewer maximum leaves and modest L2 regularisation. This represents gradual learning with constrained tree complexity. Explicitly reporting such controls is important because ensemble performance depends on tuning choices, and broad algorithm labels conceal materially different model capacities (Probst et al., 2019).</w:t>
      </w:r>
    </w:p>
    <w:p>
      <w:pPr>
        <w:spacing w:before="0" w:after="120" w:lineRule="auto" w:line="360"/>
        <w:keepLines/>
      </w:pPr>
      <w:r>
        <w:rPr>
          <w:rFonts w:ascii="Times New Roman" w:hAnsi="Times New Roman" w:eastAsia="Times New Roman"/>
          <w:color w:val="000000"/>
          <w:sz w:val="24"/>
        </w:rPr>
        <w:t>The best search score was a five-fold RMSE of 0.1441, compared with 0.1443 for the strongest untuned HGB comparison. The improvement was therefore only 0.0002 GPA points at the displayed precision. The optimisation still demonstrated a valid tuning procedure, but its small gain indicates that the initial HGB settings were already close to the useful region of the tested space.</w:t>
      </w:r>
    </w:p>
    <w:p>
      <w:pPr>
        <w:pStyle w:val="Heading2"/>
        <w:keepNext/>
        <w:keepLines/>
      </w:pPr>
      <w:r>
        <w:rPr>
          <w:rFonts w:ascii="Times New Roman" w:hAnsi="Times New Roman" w:eastAsia="Times New Roman"/>
          <w:color w:val="000000"/>
          <w:sz w:val="24"/>
        </w:rPr>
        <w:t>5.5 Neural-model comparison and selection decision</w:t>
      </w:r>
    </w:p>
    <w:p>
      <w:pPr>
        <w:spacing w:before="0" w:after="120" w:lineRule="auto" w:line="360"/>
        <w:keepLines/>
      </w:pPr>
      <w:r>
        <w:rPr>
          <w:rFonts w:ascii="Times New Roman" w:hAnsi="Times New Roman" w:eastAsia="Times New Roman"/>
          <w:color w:val="000000"/>
          <w:sz w:val="24"/>
        </w:rPr>
        <w:t>Neural networks were not excluded by assumption. Three architectures were trained under the same 80/20 split and five-fold validation contract. The category-embedding MLP learned dense representations for categorical variables before passing them through fully connected layers. FT-Transformer represented each feature as a token and used attention blocks to learn interactions among tabular variables (Gorishniy et al., 2021). TabM combined several parameter-efficient MLP members to obtain an internal ensemble (Gorishniy et al., 2025). These choices covered a conventional neural baseline, an attention-based tabular model and a modern neural ensemble.</w:t>
      </w:r>
    </w:p>
    <w:p>
      <w:pPr>
        <w:spacing w:before="0" w:after="120" w:lineRule="auto" w:line="360"/>
        <w:keepLines/>
      </w:pPr>
      <w:r>
        <w:rPr>
          <w:rFonts w:ascii="Times New Roman" w:hAnsi="Times New Roman" w:eastAsia="Times New Roman"/>
          <w:color w:val="000000"/>
          <w:sz w:val="24"/>
        </w:rPr>
        <w:t>A material-improvement rule was defined before interpreting the neural results: a neural model had to reduce HGB cross-validation RMSE by at least 1% to justify its added complexity. The threshold prevents a very small numerical difference from being presented as a practically important model-selection result.</w:t>
      </w:r>
    </w:p>
    <w:p>
      <w:pPr>
        <w:pStyle w:val="Caption"/>
        <w:keepNext/>
        <w:keepLines/>
      </w:pPr>
      <w:r>
        <w:rPr>
          <w:rFonts w:ascii="Times New Roman" w:hAnsi="Times New Roman" w:eastAsia="Times New Roman"/>
          <w:color w:val="000000"/>
          <w:sz w:val="24"/>
        </w:rPr>
        <w:t>Table 7. Neural-model comparison</w:t>
      </w:r>
    </w:p>
    <w:tbl>
      <w:tblPr>
        <w:tblStyle w:val="TableGrid"/>
        <w:tblW w:type="dxa" w:w="8310"/>
        <w:jc w:val="left"/>
        <w:tblLayout w:type="fixed"/>
        <w:tblLook w:firstColumn="1" w:firstRow="1" w:lastColumn="0" w:lastRow="0" w:noHBand="0" w:noVBand="1" w:val="04A0"/>
        <w:tblInd w:w="120" w:type="dxa"/>
      </w:tblPr>
      <w:tblGrid>
        <w:gridCol w:w="2879"/>
        <w:gridCol w:w="1810"/>
        <w:gridCol w:w="1810"/>
        <w:gridCol w:w="1811"/>
      </w:tblGrid>
      <w:tr>
        <w:trPr>
          <w:tblHeader w:val="true"/>
        </w:trPr>
        <w:tc>
          <w:tcPr>
            <w:tcW w:type="dxa" w:w="287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1810"/>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MAE</w:t>
            </w:r>
          </w:p>
        </w:tc>
        <w:tc>
          <w:tcPr>
            <w:tcW w:type="dxa" w:w="1810"/>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RMSE</w:t>
            </w:r>
          </w:p>
        </w:tc>
        <w:tc>
          <w:tcPr>
            <w:tcW w:type="dxa" w:w="181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R²</w:t>
            </w:r>
          </w:p>
        </w:tc>
      </w:tr>
      <w:tr>
        <w:tc>
          <w:tcPr>
            <w:tcW w:type="dxa" w:w="287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 reference</w:t>
            </w:r>
          </w:p>
        </w:tc>
        <w:tc>
          <w:tcPr>
            <w:tcW w:type="dxa" w:w="181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w:t>
            </w:r>
          </w:p>
        </w:tc>
        <w:tc>
          <w:tcPr>
            <w:tcW w:type="dxa" w:w="181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0.1443</w:t>
            </w:r>
          </w:p>
        </w:tc>
        <w:tc>
          <w:tcPr>
            <w:tcW w:type="dxa" w:w="181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0.4080</w:t>
            </w:r>
          </w:p>
        </w:tc>
      </w:tr>
      <w:tr>
        <w:tc>
          <w:tcPr>
            <w:tcW w:type="dxa" w:w="287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Category-embedding MLP</w:t>
            </w:r>
          </w:p>
        </w:tc>
        <w:tc>
          <w:tcPr>
            <w:tcW w:type="dxa" w:w="181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0.1139</w:t>
            </w:r>
          </w:p>
        </w:tc>
        <w:tc>
          <w:tcPr>
            <w:tcW w:type="dxa" w:w="181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0.1450</w:t>
            </w:r>
          </w:p>
        </w:tc>
        <w:tc>
          <w:tcPr>
            <w:tcW w:type="dxa" w:w="181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0.4027</w:t>
            </w:r>
          </w:p>
        </w:tc>
      </w:tr>
      <w:tr>
        <w:tc>
          <w:tcPr>
            <w:tcW w:type="dxa" w:w="287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FT-Transformer</w:t>
            </w:r>
          </w:p>
        </w:tc>
        <w:tc>
          <w:tcPr>
            <w:tcW w:type="dxa" w:w="181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0.1128</w:t>
            </w:r>
          </w:p>
        </w:tc>
        <w:tc>
          <w:tcPr>
            <w:tcW w:type="dxa" w:w="181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0.1440</w:t>
            </w:r>
          </w:p>
        </w:tc>
        <w:tc>
          <w:tcPr>
            <w:tcW w:type="dxa" w:w="181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0.4108</w:t>
            </w:r>
          </w:p>
        </w:tc>
      </w:tr>
      <w:tr>
        <w:tc>
          <w:tcPr>
            <w:tcW w:type="dxa" w:w="287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TabM</w:t>
            </w:r>
          </w:p>
        </w:tc>
        <w:tc>
          <w:tcPr>
            <w:tcW w:type="dxa" w:w="1810"/>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0.1135</w:t>
            </w:r>
          </w:p>
        </w:tc>
        <w:tc>
          <w:tcPr>
            <w:tcW w:type="dxa" w:w="1810"/>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0.1447</w:t>
            </w:r>
          </w:p>
        </w:tc>
        <w:tc>
          <w:tcPr>
            <w:tcW w:type="dxa" w:w="181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0.4053</w:t>
            </w:r>
          </w:p>
        </w:tc>
      </w:tr>
    </w:tbl>
    <w:p>
      <w:pPr>
        <w:spacing w:before="0" w:after="120" w:lineRule="auto" w:line="360"/>
        <w:keepLines/>
      </w:pPr>
      <w:r>
        <w:rPr>
          <w:rFonts w:ascii="Times New Roman" w:hAnsi="Times New Roman" w:eastAsia="Times New Roman"/>
          <w:color w:val="000000"/>
          <w:sz w:val="24"/>
        </w:rPr>
        <w:t>Reserved-test performance and runtime:</w:t>
      </w:r>
    </w:p>
    <w:tbl>
      <w:tblPr>
        <w:tblStyle w:val="TableGrid"/>
        <w:tblW w:type="dxa" w:w="8310"/>
        <w:jc w:val="left"/>
        <w:tblLayout w:type="fixed"/>
        <w:tblLook w:firstColumn="1" w:firstRow="1" w:lastColumn="0" w:lastRow="0" w:noHBand="0" w:noVBand="1" w:val="04A0"/>
        <w:tblInd w:w="120" w:type="dxa"/>
      </w:tblPr>
      <w:tblGrid>
        <w:gridCol w:w="2424"/>
        <w:gridCol w:w="1454"/>
        <w:gridCol w:w="1523"/>
        <w:gridCol w:w="1454"/>
        <w:gridCol w:w="1455"/>
      </w:tblGrid>
      <w:tr>
        <w:trPr>
          <w:tblHeader w:val="true"/>
        </w:trPr>
        <w:tc>
          <w:tcPr>
            <w:tcW w:type="dxa" w:w="2424"/>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1454"/>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MAE</w:t>
            </w:r>
          </w:p>
        </w:tc>
        <w:tc>
          <w:tcPr>
            <w:tcW w:type="dxa" w:w="1523"/>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RMSE</w:t>
            </w:r>
          </w:p>
        </w:tc>
        <w:tc>
          <w:tcPr>
            <w:tcW w:type="dxa" w:w="1454"/>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R²</w:t>
            </w:r>
          </w:p>
        </w:tc>
        <w:tc>
          <w:tcPr>
            <w:tcW w:type="dxa" w:w="145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Runtime</w:t>
            </w:r>
          </w:p>
        </w:tc>
      </w:tr>
      <w:tr>
        <w:tc>
          <w:tcPr>
            <w:tcW w:type="dxa" w:w="24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 reference</w:t>
            </w:r>
          </w:p>
        </w:tc>
        <w:tc>
          <w:tcPr>
            <w:tcW w:type="dxa" w:w="145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0.1112</w:t>
            </w:r>
          </w:p>
        </w:tc>
        <w:tc>
          <w:tcPr>
            <w:tcW w:type="dxa" w:w="152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0.1414</w:t>
            </w:r>
          </w:p>
        </w:tc>
        <w:tc>
          <w:tcPr>
            <w:tcW w:type="dxa" w:w="145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0.4185</w:t>
            </w:r>
          </w:p>
        </w:tc>
        <w:tc>
          <w:tcPr>
            <w:tcW w:type="dxa" w:w="14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w:t>
            </w:r>
          </w:p>
        </w:tc>
      </w:tr>
      <w:tr>
        <w:tc>
          <w:tcPr>
            <w:tcW w:type="dxa" w:w="24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Category-embedding MLP</w:t>
            </w:r>
          </w:p>
        </w:tc>
        <w:tc>
          <w:tcPr>
            <w:tcW w:type="dxa" w:w="145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0.1119</w:t>
            </w:r>
          </w:p>
        </w:tc>
        <w:tc>
          <w:tcPr>
            <w:tcW w:type="dxa" w:w="152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0.1419</w:t>
            </w:r>
          </w:p>
        </w:tc>
        <w:tc>
          <w:tcPr>
            <w:tcW w:type="dxa" w:w="145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0.4145</w:t>
            </w:r>
          </w:p>
        </w:tc>
        <w:tc>
          <w:tcPr>
            <w:tcW w:type="dxa" w:w="14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88.6 s</w:t>
            </w:r>
          </w:p>
        </w:tc>
      </w:tr>
      <w:tr>
        <w:tc>
          <w:tcPr>
            <w:tcW w:type="dxa" w:w="24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FT-Transformer</w:t>
            </w:r>
          </w:p>
        </w:tc>
        <w:tc>
          <w:tcPr>
            <w:tcW w:type="dxa" w:w="145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0.1109</w:t>
            </w:r>
          </w:p>
        </w:tc>
        <w:tc>
          <w:tcPr>
            <w:tcW w:type="dxa" w:w="152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0.1410</w:t>
            </w:r>
          </w:p>
        </w:tc>
        <w:tc>
          <w:tcPr>
            <w:tcW w:type="dxa" w:w="145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0.4218</w:t>
            </w:r>
          </w:p>
        </w:tc>
        <w:tc>
          <w:tcPr>
            <w:tcW w:type="dxa" w:w="14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209.9 s</w:t>
            </w:r>
          </w:p>
        </w:tc>
      </w:tr>
      <w:tr>
        <w:tc>
          <w:tcPr>
            <w:tcW w:type="dxa" w:w="2424"/>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TabM</w:t>
            </w:r>
          </w:p>
        </w:tc>
        <w:tc>
          <w:tcPr>
            <w:tcW w:type="dxa" w:w="1454"/>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0.1113</w:t>
            </w:r>
          </w:p>
        </w:tc>
        <w:tc>
          <w:tcPr>
            <w:tcW w:type="dxa" w:w="1523"/>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0.1413</w:t>
            </w:r>
          </w:p>
        </w:tc>
        <w:tc>
          <w:tcPr>
            <w:tcW w:type="dxa" w:w="1454"/>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0.4194</w:t>
            </w:r>
          </w:p>
        </w:tc>
        <w:tc>
          <w:tcPr>
            <w:tcW w:type="dxa" w:w="145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65.1 s</w:t>
            </w:r>
          </w:p>
        </w:tc>
      </w:tr>
    </w:tbl>
    <w:p>
      <w:pPr>
        <w:spacing w:before="0" w:after="120" w:lineRule="auto" w:line="360"/>
        <w:keepLines/>
      </w:pPr>
      <w:r>
        <w:rPr>
          <w:rFonts w:ascii="Times New Roman" w:hAnsi="Times New Roman" w:eastAsia="Times New Roman"/>
          <w:color w:val="000000"/>
          <w:sz w:val="24"/>
        </w:rPr>
        <w:t>FT-Transformer was the strongest neural alternative, but its cross-validation RMSE improvement over HGB was only 0.20%, below the predefined material threshold. Its test advantage was similarly small. HGB was therefore retained because the validation evidence indicated practically comparable accuracy without the additional training time and architectural complexity. This is a model-selection decision for the present tabular problem, not a general claim that neural networks are unsuitable for educational prediction.</w:t>
      </w:r>
    </w:p>
    <w:p>
      <w:pPr>
        <w:pStyle w:val="Heading2"/>
        <w:keepNext/>
        <w:keepLines/>
      </w:pPr>
      <w:r>
        <w:rPr>
          <w:rFonts w:ascii="Times New Roman" w:hAnsi="Times New Roman" w:eastAsia="Times New Roman"/>
          <w:color w:val="000000"/>
          <w:sz w:val="24"/>
        </w:rPr>
        <w:t>5.6 Final fitting and interpretation outputs</w:t>
      </w:r>
    </w:p>
    <w:p>
      <w:pPr>
        <w:spacing w:before="0" w:after="120" w:lineRule="auto" w:line="360"/>
        <w:keepLines/>
      </w:pPr>
      <w:r>
        <w:rPr>
          <w:rFonts w:ascii="Times New Roman" w:hAnsi="Times New Roman" w:eastAsia="Times New Roman"/>
          <w:color w:val="000000"/>
          <w:sz w:val="24"/>
        </w:rPr>
        <w:t>After search completion, the best pipeline was refitted on all 40,000 development rows. The same procedure was used to fit the untuned models so that all candidates could be evaluated on the reserved 10,000-row test set. Predictions from the tuned HGB were retained for residual analysis.</w:t>
      </w:r>
    </w:p>
    <w:p>
      <w:pPr>
        <w:spacing w:before="0" w:after="120" w:lineRule="auto" w:line="360"/>
        <w:keepLines/>
      </w:pPr>
      <w:r>
        <w:rPr>
          <w:rFonts w:ascii="Times New Roman" w:hAnsi="Times New Roman" w:eastAsia="Times New Roman"/>
          <w:color w:val="000000"/>
          <w:sz w:val="24"/>
        </w:rPr>
        <w:t>Permutation importance was calculated on the test data with RMSE scoring, five repetitions and random state 42. Each source feature was shuffled while the fitted pipeline remained fixed; the mean deterioration in score described how much the model relied on that feature. This method can capture contribution in a nonlinear pipeline but remains sensitive to correlated predictors and the specific fitted model. It was used for interpretation, not for asserting that a feature produced the outcome. Permutation-based importance measures model reliance rather than an independent or causal effect, and correlated predictors can share or mask reliance (Fisher et al., 2019).</w:t>
      </w:r>
    </w:p>
    <w:p>
      <w:pPr>
        <w:pStyle w:val="Heading1"/>
        <w:pageBreakBefore/>
        <w:keepNext/>
        <w:keepLines/>
      </w:pPr>
      <w:r>
        <w:rPr>
          <w:rFonts w:ascii="Times New Roman" w:hAnsi="Times New Roman" w:eastAsia="Times New Roman"/>
          <w:color w:val="000000"/>
          <w:sz w:val="24"/>
        </w:rPr>
        <w:t>6 Model Validation</w:t>
      </w:r>
    </w:p>
    <w:p>
      <w:pPr>
        <w:pStyle w:val="Heading2"/>
        <w:keepNext/>
        <w:keepLines/>
      </w:pPr>
      <w:r>
        <w:rPr>
          <w:rFonts w:ascii="Times New Roman" w:hAnsi="Times New Roman" w:eastAsia="Times New Roman"/>
          <w:color w:val="000000"/>
          <w:sz w:val="24"/>
        </w:rPr>
        <w:t>6.1 Cross-validation and model selection</w:t>
      </w:r>
    </w:p>
    <w:p>
      <w:pPr>
        <w:spacing w:before="0" w:after="120" w:lineRule="auto" w:line="360"/>
        <w:keepLines/>
      </w:pPr>
      <w:r>
        <w:rPr>
          <w:rFonts w:ascii="Times New Roman" w:hAnsi="Times New Roman" w:eastAsia="Times New Roman"/>
          <w:color w:val="000000"/>
          <w:sz w:val="24"/>
        </w:rPr>
        <w:t>Table 8 reports the five-fold development results used for primary model selection. All four trained regressors clearly outperformed the mean baseline. Histogram Gradient Boosting (HGB) had the lowest mean RMSE (0.1443), lowest MAE (0.1130) and highest R² (0.4080). Random Forest ranked second, while Linear and Ridge Regression were effectively identical. The HGB fold-to-fold R² standard deviation was 0.0085, compared with 0.0122 for Random Forest, indicating that the winning untuned model was also comparatively stable across the five partitions. The tuned search reduced mean CV RMSE slightly further to 0.1441.</w:t>
      </w:r>
    </w:p>
    <w:p>
      <w:pPr>
        <w:pStyle w:val="Caption"/>
        <w:keepNext/>
        <w:keepLines/>
      </w:pPr>
      <w:r>
        <w:rPr>
          <w:rFonts w:ascii="Times New Roman" w:hAnsi="Times New Roman" w:eastAsia="Times New Roman"/>
          <w:color w:val="000000"/>
          <w:sz w:val="24"/>
        </w:rPr>
        <w:t>Table 8. Five-fold cross-validation and reserved-test performance</w:t>
      </w:r>
    </w:p>
    <w:tbl>
      <w:tblPr>
        <w:tblStyle w:val="TableGrid"/>
        <w:tblW w:type="dxa" w:w="8310"/>
        <w:jc w:val="left"/>
        <w:tblLayout w:type="fixed"/>
        <w:tblLook w:firstColumn="1" w:firstRow="1" w:lastColumn="0" w:lastRow="0" w:noHBand="0" w:noVBand="1" w:val="04A0"/>
        <w:tblInd w:w="120" w:type="dxa"/>
      </w:tblPr>
      <w:tblGrid>
        <w:gridCol w:w="2146"/>
        <w:gridCol w:w="1486"/>
        <w:gridCol w:w="1486"/>
        <w:gridCol w:w="1486"/>
        <w:gridCol w:w="1706"/>
      </w:tblGrid>
      <w:tr>
        <w:trPr>
          <w:tblHeader w:val="true"/>
        </w:trPr>
        <w:tc>
          <w:tcPr>
            <w:tcW w:type="dxa" w:w="214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148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MAE</w:t>
            </w:r>
          </w:p>
        </w:tc>
        <w:tc>
          <w:tcPr>
            <w:tcW w:type="dxa" w:w="148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RMSE</w:t>
            </w:r>
          </w:p>
        </w:tc>
        <w:tc>
          <w:tcPr>
            <w:tcW w:type="dxa" w:w="148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R²</w:t>
            </w:r>
          </w:p>
        </w:tc>
        <w:tc>
          <w:tcPr>
            <w:tcW w:type="dxa" w:w="17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SD of CV R²</w:t>
            </w:r>
          </w:p>
        </w:tc>
      </w:tr>
      <w:tr>
        <w:tc>
          <w:tcPr>
            <w:tcW w:type="dxa" w:w="214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Tuned HGB</w:t>
            </w:r>
          </w:p>
        </w:tc>
        <w:tc>
          <w:tcPr>
            <w:tcW w:type="dxa" w:w="148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w:t>
            </w:r>
          </w:p>
        </w:tc>
        <w:tc>
          <w:tcPr>
            <w:tcW w:type="dxa" w:w="148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0.1441</w:t>
            </w:r>
          </w:p>
        </w:tc>
        <w:tc>
          <w:tcPr>
            <w:tcW w:type="dxa" w:w="148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w:t>
            </w:r>
          </w:p>
        </w:tc>
        <w:tc>
          <w:tcPr>
            <w:tcW w:type="dxa" w:w="17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w:t>
            </w:r>
          </w:p>
        </w:tc>
      </w:tr>
      <w:tr>
        <w:tc>
          <w:tcPr>
            <w:tcW w:type="dxa" w:w="214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w:t>
            </w:r>
          </w:p>
        </w:tc>
        <w:tc>
          <w:tcPr>
            <w:tcW w:type="dxa" w:w="148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0.1130</w:t>
            </w:r>
          </w:p>
        </w:tc>
        <w:tc>
          <w:tcPr>
            <w:tcW w:type="dxa" w:w="148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0.1443</w:t>
            </w:r>
          </w:p>
        </w:tc>
        <w:tc>
          <w:tcPr>
            <w:tcW w:type="dxa" w:w="148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0.4080</w:t>
            </w:r>
          </w:p>
        </w:tc>
        <w:tc>
          <w:tcPr>
            <w:tcW w:type="dxa" w:w="17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0.0085</w:t>
            </w:r>
          </w:p>
        </w:tc>
      </w:tr>
      <w:tr>
        <w:tc>
          <w:tcPr>
            <w:tcW w:type="dxa" w:w="214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 Forest</w:t>
            </w:r>
          </w:p>
        </w:tc>
        <w:tc>
          <w:tcPr>
            <w:tcW w:type="dxa" w:w="148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0.1149</w:t>
            </w:r>
          </w:p>
        </w:tc>
        <w:tc>
          <w:tcPr>
            <w:tcW w:type="dxa" w:w="148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0.1473</w:t>
            </w:r>
          </w:p>
        </w:tc>
        <w:tc>
          <w:tcPr>
            <w:tcW w:type="dxa" w:w="148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0.3833</w:t>
            </w:r>
          </w:p>
        </w:tc>
        <w:tc>
          <w:tcPr>
            <w:tcW w:type="dxa" w:w="17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0.0122</w:t>
            </w:r>
          </w:p>
        </w:tc>
      </w:tr>
      <w:tr>
        <w:tc>
          <w:tcPr>
            <w:tcW w:type="dxa" w:w="214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Ridge Regression</w:t>
            </w:r>
          </w:p>
        </w:tc>
        <w:tc>
          <w:tcPr>
            <w:tcW w:type="dxa" w:w="148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0.1261</w:t>
            </w:r>
          </w:p>
        </w:tc>
        <w:tc>
          <w:tcPr>
            <w:tcW w:type="dxa" w:w="148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0.1608</w:t>
            </w:r>
          </w:p>
        </w:tc>
        <w:tc>
          <w:tcPr>
            <w:tcW w:type="dxa" w:w="148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0.2657</w:t>
            </w:r>
          </w:p>
        </w:tc>
        <w:tc>
          <w:tcPr>
            <w:tcW w:type="dxa" w:w="17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0.0104</w:t>
            </w:r>
          </w:p>
        </w:tc>
      </w:tr>
      <w:tr>
        <w:tc>
          <w:tcPr>
            <w:tcW w:type="dxa" w:w="214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Linear Regression</w:t>
            </w:r>
          </w:p>
        </w:tc>
        <w:tc>
          <w:tcPr>
            <w:tcW w:type="dxa" w:w="148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0.1261</w:t>
            </w:r>
          </w:p>
        </w:tc>
        <w:tc>
          <w:tcPr>
            <w:tcW w:type="dxa" w:w="148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0.1608</w:t>
            </w:r>
          </w:p>
        </w:tc>
        <w:tc>
          <w:tcPr>
            <w:tcW w:type="dxa" w:w="148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0.2657</w:t>
            </w:r>
          </w:p>
        </w:tc>
        <w:tc>
          <w:tcPr>
            <w:tcW w:type="dxa" w:w="17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0.0104</w:t>
            </w:r>
          </w:p>
        </w:tc>
      </w:tr>
      <w:tr>
        <w:tc>
          <w:tcPr>
            <w:tcW w:type="dxa" w:w="214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Mean baseline</w:t>
            </w:r>
          </w:p>
        </w:tc>
        <w:tc>
          <w:tcPr>
            <w:tcW w:type="dxa" w:w="148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0.1459</w:t>
            </w:r>
          </w:p>
        </w:tc>
        <w:tc>
          <w:tcPr>
            <w:tcW w:type="dxa" w:w="148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0.1876</w:t>
            </w:r>
          </w:p>
        </w:tc>
        <w:tc>
          <w:tcPr>
            <w:tcW w:type="dxa" w:w="148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-0.0003</w:t>
            </w:r>
          </w:p>
        </w:tc>
        <w:tc>
          <w:tcPr>
            <w:tcW w:type="dxa" w:w="17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0.0004</w:t>
            </w:r>
          </w:p>
        </w:tc>
      </w:tr>
    </w:tbl>
    <w:p>
      <w:pPr>
        <w:spacing w:before="0" w:after="120" w:lineRule="auto" w:line="360"/>
        <w:keepLines/>
      </w:pPr>
      <w:r>
        <w:rPr>
          <w:rFonts w:ascii="Times New Roman" w:hAnsi="Times New Roman" w:eastAsia="Times New Roman"/>
          <w:color w:val="000000"/>
          <w:sz w:val="24"/>
        </w:rPr>
        <w:t>Reserved-test confirmation:</w:t>
      </w:r>
    </w:p>
    <w:tbl>
      <w:tblPr>
        <w:tblStyle w:val="TableGrid"/>
        <w:tblW w:type="dxa" w:w="8310"/>
        <w:jc w:val="left"/>
        <w:tblLayout w:type="fixed"/>
        <w:tblLook w:firstColumn="1" w:firstRow="1" w:lastColumn="0" w:lastRow="0" w:noHBand="0" w:noVBand="1" w:val="04A0"/>
        <w:tblInd w:w="120" w:type="dxa"/>
      </w:tblPr>
      <w:tblGrid>
        <w:gridCol w:w="2621"/>
        <w:gridCol w:w="1869"/>
        <w:gridCol w:w="1952"/>
        <w:gridCol w:w="1868"/>
      </w:tblGrid>
      <w:tr>
        <w:trPr>
          <w:tblHeader w:val="true"/>
        </w:trPr>
        <w:tc>
          <w:tcPr>
            <w:tcW w:type="dxa" w:w="262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186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MAE</w:t>
            </w:r>
          </w:p>
        </w:tc>
        <w:tc>
          <w:tcPr>
            <w:tcW w:type="dxa" w:w="195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RMSE</w:t>
            </w:r>
          </w:p>
        </w:tc>
        <w:tc>
          <w:tcPr>
            <w:tcW w:type="dxa" w:w="186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R²</w:t>
            </w:r>
          </w:p>
        </w:tc>
      </w:tr>
      <w:tr>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Tuned HGB</w:t>
            </w:r>
          </w:p>
        </w:tc>
        <w:tc>
          <w:tcPr>
            <w:tcW w:type="dxa" w:w="186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0.1112</w:t>
            </w:r>
          </w:p>
        </w:tc>
        <w:tc>
          <w:tcPr>
            <w:tcW w:type="dxa" w:w="1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0.1414</w:t>
            </w:r>
          </w:p>
        </w:tc>
        <w:tc>
          <w:tcPr>
            <w:tcW w:type="dxa" w:w="186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0.4185</w:t>
            </w:r>
          </w:p>
        </w:tc>
      </w:tr>
      <w:tr>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w:t>
            </w:r>
          </w:p>
        </w:tc>
        <w:tc>
          <w:tcPr>
            <w:tcW w:type="dxa" w:w="186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0.1114</w:t>
            </w:r>
          </w:p>
        </w:tc>
        <w:tc>
          <w:tcPr>
            <w:tcW w:type="dxa" w:w="1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0.1416</w:t>
            </w:r>
          </w:p>
        </w:tc>
        <w:tc>
          <w:tcPr>
            <w:tcW w:type="dxa" w:w="186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0.4166</w:t>
            </w:r>
          </w:p>
        </w:tc>
      </w:tr>
      <w:tr>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 Forest</w:t>
            </w:r>
          </w:p>
        </w:tc>
        <w:tc>
          <w:tcPr>
            <w:tcW w:type="dxa" w:w="186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0.1142</w:t>
            </w:r>
          </w:p>
        </w:tc>
        <w:tc>
          <w:tcPr>
            <w:tcW w:type="dxa" w:w="1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0.1448</w:t>
            </w:r>
          </w:p>
        </w:tc>
        <w:tc>
          <w:tcPr>
            <w:tcW w:type="dxa" w:w="186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0.3896</w:t>
            </w:r>
          </w:p>
        </w:tc>
      </w:tr>
      <w:tr>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Ridge Regression</w:t>
            </w:r>
          </w:p>
        </w:tc>
        <w:tc>
          <w:tcPr>
            <w:tcW w:type="dxa" w:w="186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0.1242</w:t>
            </w:r>
          </w:p>
        </w:tc>
        <w:tc>
          <w:tcPr>
            <w:tcW w:type="dxa" w:w="1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0.1583</w:t>
            </w:r>
          </w:p>
        </w:tc>
        <w:tc>
          <w:tcPr>
            <w:tcW w:type="dxa" w:w="186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0.2712</w:t>
            </w:r>
          </w:p>
        </w:tc>
      </w:tr>
      <w:tr>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Linear Regression</w:t>
            </w:r>
          </w:p>
        </w:tc>
        <w:tc>
          <w:tcPr>
            <w:tcW w:type="dxa" w:w="186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0.1242</w:t>
            </w:r>
          </w:p>
        </w:tc>
        <w:tc>
          <w:tcPr>
            <w:tcW w:type="dxa" w:w="1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0.1583</w:t>
            </w:r>
          </w:p>
        </w:tc>
        <w:tc>
          <w:tcPr>
            <w:tcW w:type="dxa" w:w="186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0.2712</w:t>
            </w:r>
          </w:p>
        </w:tc>
      </w:tr>
      <w:tr>
        <w:tc>
          <w:tcPr>
            <w:tcW w:type="dxa" w:w="262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Mean baseline</w:t>
            </w:r>
          </w:p>
        </w:tc>
        <w:tc>
          <w:tcPr>
            <w:tcW w:type="dxa" w:w="186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0.1444</w:t>
            </w:r>
          </w:p>
        </w:tc>
        <w:tc>
          <w:tcPr>
            <w:tcW w:type="dxa" w:w="195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0.1854</w:t>
            </w:r>
          </w:p>
        </w:tc>
        <w:tc>
          <w:tcPr>
            <w:tcW w:type="dxa" w:w="186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-0.0003</w:t>
            </w:r>
          </w:p>
        </w:tc>
      </w:tr>
    </w:tbl>
    <w:p>
      <w:pPr>
        <w:spacing w:before="0" w:after="120" w:lineRule="auto" w:line="360"/>
        <w:keepLines/>
      </w:pPr>
      <w:r>
        <w:rPr>
          <w:rFonts w:ascii="Times New Roman" w:hAnsi="Times New Roman" w:eastAsia="Times New Roman"/>
          <w:color w:val="000000"/>
          <w:sz w:val="24"/>
        </w:rPr>
        <w:t>Note. CV = cross-validation; HGB = Histogram Gradient Boosting; MAE = mean absolute error; RMSE = root mean squared error; SD = standard deviation. Em dashes indicate tuned CV statistics that were not retained in the saved tuning output.</w:t>
      </w:r>
    </w:p>
    <w:p>
      <w:pPr>
        <w:spacing w:before="0" w:after="120" w:lineRule="auto" w:line="360"/>
        <w:keepLines/>
      </w:pPr>
      <w:r>
        <w:rPr>
          <w:rFonts w:ascii="Times New Roman" w:hAnsi="Times New Roman" w:eastAsia="Times New Roman"/>
          <w:color w:val="000000"/>
          <w:sz w:val="24"/>
        </w:rPr>
        <w:t>Fold deviations describe stability, not formal significance. Selection rests on identical-fold average ranking and test confirmation; statistical superiority is not claimed.</w:t>
      </w:r>
    </w:p>
    <w:p>
      <w:pPr>
        <w:pStyle w:val="Heading2"/>
        <w:keepNext/>
        <w:keepLines/>
      </w:pPr>
      <w:r>
        <w:rPr>
          <w:rFonts w:ascii="Times New Roman" w:hAnsi="Times New Roman" w:eastAsia="Times New Roman"/>
          <w:color w:val="000000"/>
          <w:sz w:val="24"/>
        </w:rPr>
        <w:t>6.2 Test confirmation</w:t>
      </w:r>
    </w:p>
    <w:p>
      <w:pPr>
        <w:spacing w:before="0" w:after="120" w:lineRule="auto" w:line="360"/>
        <w:keepLines/>
      </w:pPr>
      <w:r>
        <w:rPr>
          <w:rFonts w:ascii="Times New Roman" w:hAnsi="Times New Roman" w:eastAsia="Times New Roman"/>
          <w:color w:val="000000"/>
          <w:sz w:val="24"/>
        </w:rPr>
        <w:t>The reserved test results retained the development ranking. As Figure 7 shows, tuned and untuned HGB had the lowest RMSE, followed by Random Forest, the two linear models and the baseline. The tuned HGB achieved MAE 0.1112, RMSE 0.1414 and R² = 0.4185. Relative to the baseline RMSE of 0.1854, its RMSE was approximately 23.7% lower. The improvement over untuned HGB was only 0.0002 RMSE and 0.0019 R², so validation supports HGB strongly but the specific benefit of tuning only weakly. Its test R² was only 0.0105 above the best untuned cross-validation mean, which is consistent with ordinary partition variation and provides no strong indication of severe overfitting.</w:t>
      </w:r>
    </w:p>
    <w:p>
      <w:pPr>
        <w:spacing w:before="0" w:after="120" w:lineRule="auto" w:line="360"/>
        <w:keepLines/>
      </w:pPr>
      <w:r>
        <w:rPr>
          <w:rFonts w:ascii="Times New Roman" w:hAnsi="Times New Roman" w:eastAsia="Times New Roman"/>
          <w:color w:val="000000"/>
          <w:sz w:val="24"/>
        </w:rPr>
        <w:t>A deterministic percentile bootstrap with 2,000 row-level resamples quantified sampling uncertainty on the untouched test predictions. Table 9 shows narrow intervals around the selected model's point estimates. The paired bootstrap compared HGB and Random Forest on identical resampled rows; the HGB RMSE improvement remained positive throughout its 95% interval. This supports a genuine performance difference within the supplied test sample, although it cannot address uncertainty caused by undocumented sampling or provenance.</w:t>
      </w:r>
    </w:p>
    <w:p>
      <w:pPr>
        <w:pStyle w:val="Caption"/>
        <w:keepNext/>
        <w:keepLines/>
      </w:pPr>
      <w:r>
        <w:rPr>
          <w:rFonts w:ascii="Times New Roman" w:hAnsi="Times New Roman" w:eastAsia="Times New Roman"/>
          <w:color w:val="000000"/>
          <w:sz w:val="24"/>
        </w:rPr>
        <w:t>Table 9. Bootstrap uncertainty for selected-model test performance</w:t>
      </w:r>
    </w:p>
    <w:tbl>
      <w:tblPr>
        <w:tblStyle w:val="TableGrid"/>
        <w:tblW w:type="dxa" w:w="8310"/>
        <w:jc w:val="left"/>
        <w:tblLayout w:type="fixed"/>
        <w:tblLook w:firstColumn="1" w:firstRow="1" w:lastColumn="0" w:lastRow="0" w:noHBand="0" w:noVBand="1" w:val="04A0"/>
        <w:tblInd w:w="120" w:type="dxa"/>
      </w:tblPr>
      <w:tblGrid>
        <w:gridCol w:w="3214"/>
        <w:gridCol w:w="1660"/>
        <w:gridCol w:w="1718"/>
        <w:gridCol w:w="1718"/>
      </w:tblGrid>
      <w:tr>
        <w:trPr>
          <w:tblHeader w:val="true"/>
        </w:trPr>
        <w:tc>
          <w:tcPr>
            <w:tcW w:type="dxa" w:w="3214"/>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Quantity</w:t>
            </w:r>
          </w:p>
        </w:tc>
        <w:tc>
          <w:tcPr>
            <w:tcW w:type="dxa" w:w="1660"/>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Estimate</w:t>
            </w:r>
          </w:p>
        </w:tc>
        <w:tc>
          <w:tcPr>
            <w:tcW w:type="dxa" w:w="171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95% lower</w:t>
            </w:r>
          </w:p>
        </w:tc>
        <w:tc>
          <w:tcPr>
            <w:tcW w:type="dxa" w:w="171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95% upper</w:t>
            </w:r>
          </w:p>
        </w:tc>
      </w:tr>
      <w:tr>
        <w:tc>
          <w:tcPr>
            <w:tcW w:type="dxa" w:w="321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MAE</w:t>
            </w:r>
          </w:p>
        </w:tc>
        <w:tc>
          <w:tcPr>
            <w:tcW w:type="dxa" w:w="166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0.1112</w:t>
            </w:r>
          </w:p>
        </w:tc>
        <w:tc>
          <w:tcPr>
            <w:tcW w:type="dxa" w:w="171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0.1095</w:t>
            </w:r>
          </w:p>
        </w:tc>
        <w:tc>
          <w:tcPr>
            <w:tcW w:type="dxa" w:w="171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0.1130</w:t>
            </w:r>
          </w:p>
        </w:tc>
      </w:tr>
      <w:tr>
        <w:tc>
          <w:tcPr>
            <w:tcW w:type="dxa" w:w="321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RMSE</w:t>
            </w:r>
          </w:p>
        </w:tc>
        <w:tc>
          <w:tcPr>
            <w:tcW w:type="dxa" w:w="166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0.1414</w:t>
            </w:r>
          </w:p>
        </w:tc>
        <w:tc>
          <w:tcPr>
            <w:tcW w:type="dxa" w:w="171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0.1394</w:t>
            </w:r>
          </w:p>
        </w:tc>
        <w:tc>
          <w:tcPr>
            <w:tcW w:type="dxa" w:w="171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0.1434</w:t>
            </w:r>
          </w:p>
        </w:tc>
      </w:tr>
      <w:tr>
        <w:tc>
          <w:tcPr>
            <w:tcW w:type="dxa" w:w="321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R²</w:t>
            </w:r>
          </w:p>
        </w:tc>
        <w:tc>
          <w:tcPr>
            <w:tcW w:type="dxa" w:w="166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0.4185</w:t>
            </w:r>
          </w:p>
        </w:tc>
        <w:tc>
          <w:tcPr>
            <w:tcW w:type="dxa" w:w="171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0.4007</w:t>
            </w:r>
          </w:p>
        </w:tc>
        <w:tc>
          <w:tcPr>
            <w:tcW w:type="dxa" w:w="171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0.4360</w:t>
            </w:r>
          </w:p>
        </w:tc>
      </w:tr>
      <w:tr>
        <w:tc>
          <w:tcPr>
            <w:tcW w:type="dxa" w:w="3214"/>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RMSE improvement over Random Forest</w:t>
            </w:r>
          </w:p>
        </w:tc>
        <w:tc>
          <w:tcPr>
            <w:tcW w:type="dxa" w:w="1660"/>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0.0035</w:t>
            </w:r>
          </w:p>
        </w:tc>
        <w:tc>
          <w:tcPr>
            <w:tcW w:type="dxa" w:w="171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0.0028</w:t>
            </w:r>
          </w:p>
        </w:tc>
        <w:tc>
          <w:tcPr>
            <w:tcW w:type="dxa" w:w="171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0.0041</w:t>
            </w:r>
          </w:p>
        </w:tc>
      </w:tr>
    </w:tbl>
    <w:p>
      <w:pPr>
        <w:spacing w:before="80" w:after="40" w:lineRule="auto" w:line="240"/>
        <w:jc w:val="center"/>
      </w:pPr>
      <w:r>
        <w:drawing>
          <wp:inline xmlns:a="http://schemas.openxmlformats.org/drawingml/2006/main" xmlns:pic="http://schemas.openxmlformats.org/drawingml/2006/picture">
            <wp:extent cx="5212080" cy="1964678"/>
            <wp:docPr id="8" name="Picture 8" descr="Figure 7"/>
            <wp:cNvGraphicFramePr>
              <a:graphicFrameLocks noChangeAspect="1"/>
            </wp:cNvGraphicFramePr>
            <a:graphic>
              <a:graphicData uri="http://schemas.openxmlformats.org/drawingml/2006/picture">
                <pic:pic>
                  <pic:nvPicPr>
                    <pic:cNvPr id="0" name="fig07_model_test_rmse_and_actual_vs_predicted.png"/>
                    <pic:cNvPicPr/>
                  </pic:nvPicPr>
                  <pic:blipFill>
                    <a:blip r:embed="rId40"/>
                    <a:stretch>
                      <a:fillRect/>
                    </a:stretch>
                  </pic:blipFill>
                  <pic:spPr>
                    <a:xfrm>
                      <a:off x="0" y="0"/>
                      <a:ext cx="5212080" cy="1964678"/>
                    </a:xfrm>
                    <a:prstGeom prst="rect"/>
                  </pic:spPr>
                </pic:pic>
              </a:graphicData>
            </a:graphic>
          </wp:inline>
        </w:drawing>
      </w:r>
    </w:p>
    <w:p>
      <w:pPr>
        <w:pStyle w:val="Caption"/>
        <w:keepLines/>
      </w:pPr>
      <w:r>
        <w:rPr>
          <w:rFonts w:ascii="Times New Roman" w:hAnsi="Times New Roman" w:eastAsia="Times New Roman"/>
          <w:color w:val="000000"/>
          <w:sz w:val="24"/>
        </w:rPr>
        <w:t>Figure 7. Reserved-test RMSE by model and actual versus predicted GPA change for the selected tuned HGB model. The dashed diagonal represents perfect predictions.</w:t>
      </w:r>
    </w:p>
    <w:p>
      <w:pPr>
        <w:pStyle w:val="Heading2"/>
        <w:keepNext/>
        <w:keepLines/>
      </w:pPr>
      <w:r>
        <w:rPr>
          <w:rFonts w:ascii="Times New Roman" w:hAnsi="Times New Roman" w:eastAsia="Times New Roman"/>
          <w:color w:val="000000"/>
          <w:sz w:val="24"/>
        </w:rPr>
        <w:t>6.3 Residual behaviour</w:t>
      </w:r>
    </w:p>
    <w:p>
      <w:pPr>
        <w:spacing w:before="0" w:after="120" w:lineRule="auto" w:line="360"/>
        <w:keepLines/>
      </w:pPr>
      <w:r>
        <w:rPr>
          <w:rFonts w:ascii="Times New Roman" w:hAnsi="Times New Roman" w:eastAsia="Times New Roman"/>
          <w:color w:val="000000"/>
          <w:sz w:val="24"/>
        </w:rPr>
        <w:t>Figure 8 shows residuals defined as actual minus predicted GPA change. Their mean was 0.0019 and their standard deviation was 0.1414. The near-zero mean indicates little overall directional bias, but the scatter demonstrates substantial unexplained record-level variation. Predictions also compressed extreme outcomes towards the centre, a common limitation when a model is optimised for average error and extreme cases are sparse.</w:t>
      </w:r>
    </w:p>
    <w:p>
      <w:pPr>
        <w:spacing w:before="0" w:after="120" w:lineRule="auto" w:line="360"/>
        <w:keepLines/>
      </w:pPr>
      <w:r>
        <w:rPr>
          <w:rFonts w:ascii="Times New Roman" w:hAnsi="Times New Roman" w:eastAsia="Times New Roman"/>
          <w:color w:val="000000"/>
          <w:sz w:val="24"/>
        </w:rPr>
        <w:t>The median absolute error was 0.0922. Of the 10,000 test predictions, 53.57% were within 0.10 GPA points of the observed change and 84.34% were within 0.20. Remaining error and moderate R² prevent use as a high-confidence individual decision rule.</w:t>
      </w:r>
    </w:p>
    <w:p>
      <w:pPr>
        <w:spacing w:before="80" w:after="40" w:lineRule="auto" w:line="240"/>
        <w:jc w:val="center"/>
      </w:pPr>
      <w:r>
        <w:drawing>
          <wp:inline xmlns:a="http://schemas.openxmlformats.org/drawingml/2006/main" xmlns:pic="http://schemas.openxmlformats.org/drawingml/2006/picture">
            <wp:extent cx="5212080" cy="1964678"/>
            <wp:docPr id="9" name="Picture 9" descr="Figure 8"/>
            <wp:cNvGraphicFramePr>
              <a:graphicFrameLocks noChangeAspect="1"/>
            </wp:cNvGraphicFramePr>
            <a:graphic>
              <a:graphicData uri="http://schemas.openxmlformats.org/drawingml/2006/picture">
                <pic:pic>
                  <pic:nvPicPr>
                    <pic:cNvPr id="0" name="fig08_residual_diagnostics.png"/>
                    <pic:cNvPicPr/>
                  </pic:nvPicPr>
                  <pic:blipFill>
                    <a:blip r:embed="rId41"/>
                    <a:stretch>
                      <a:fillRect/>
                    </a:stretch>
                  </pic:blipFill>
                  <pic:spPr>
                    <a:xfrm>
                      <a:off x="0" y="0"/>
                      <a:ext cx="5212080" cy="1964678"/>
                    </a:xfrm>
                    <a:prstGeom prst="rect"/>
                  </pic:spPr>
                </pic:pic>
              </a:graphicData>
            </a:graphic>
          </wp:inline>
        </w:drawing>
      </w:r>
    </w:p>
    <w:p>
      <w:pPr>
        <w:pStyle w:val="Caption"/>
        <w:keepLines/>
      </w:pPr>
      <w:r>
        <w:rPr>
          <w:rFonts w:ascii="Times New Roman" w:hAnsi="Times New Roman" w:eastAsia="Times New Roman"/>
          <w:color w:val="000000"/>
          <w:sz w:val="24"/>
        </w:rPr>
        <w:t>Figure 8. Residuals against predicted GPA change and the residual distribution for tuned HGB.</w:t>
      </w:r>
    </w:p>
    <w:p>
      <w:pPr>
        <w:pStyle w:val="Heading2"/>
        <w:keepNext/>
        <w:keepLines/>
      </w:pPr>
      <w:r>
        <w:rPr>
          <w:rFonts w:ascii="Times New Roman" w:hAnsi="Times New Roman" w:eastAsia="Times New Roman"/>
          <w:color w:val="000000"/>
          <w:sz w:val="24"/>
        </w:rPr>
        <w:t>6.4 Direction-specific error and bias risk</w:t>
      </w:r>
    </w:p>
    <w:p>
      <w:pPr>
        <w:spacing w:before="0" w:after="120" w:lineRule="auto" w:line="360"/>
        <w:keepLines/>
      </w:pPr>
      <w:r>
        <w:rPr>
          <w:rFonts w:ascii="Times New Roman" w:hAnsi="Times New Roman" w:eastAsia="Times New Roman"/>
          <w:color w:val="000000"/>
          <w:sz w:val="24"/>
        </w:rPr>
        <w:t>The asymmetric target made the near-zero overall residual insufficient as a bias check. Of the test observations, 1,203 were decreases, 11 were unchanged and 8,786 were increases. For decreases, MAE was 0.1979, RMSE was 0.2208 and mean residual was -0.1916. Because residual equals actual minus predicted, this shows systematic overprediction: the model pulled GPA declines towards the much more common positive centre. Increase cases had MAE 0.0993, RMSE 0.1266 and mean residual 0.0286. The 11 unchanged cases were too few for a stable subgroup conclusion but had MAE 0.1615.</w:t>
      </w:r>
    </w:p>
    <w:p>
      <w:pPr>
        <w:spacing w:before="80" w:after="40" w:lineRule="auto" w:line="240"/>
        <w:jc w:val="center"/>
      </w:pPr>
      <w:r>
        <w:drawing>
          <wp:inline xmlns:a="http://schemas.openxmlformats.org/drawingml/2006/main" xmlns:pic="http://schemas.openxmlformats.org/drawingml/2006/picture">
            <wp:extent cx="5212080" cy="1964678"/>
            <wp:docPr id="10" name="Picture 10" descr="Figure 9"/>
            <wp:cNvGraphicFramePr>
              <a:graphicFrameLocks noChangeAspect="1"/>
            </wp:cNvGraphicFramePr>
            <a:graphic>
              <a:graphicData uri="http://schemas.openxmlformats.org/drawingml/2006/picture">
                <pic:pic>
                  <pic:nvPicPr>
                    <pic:cNvPr id="0" name="fig09_direction_specific_errors.png"/>
                    <pic:cNvPicPr/>
                  </pic:nvPicPr>
                  <pic:blipFill>
                    <a:blip r:embed="rId42"/>
                    <a:stretch>
                      <a:fillRect/>
                    </a:stretch>
                  </pic:blipFill>
                  <pic:spPr>
                    <a:xfrm>
                      <a:off x="0" y="0"/>
                      <a:ext cx="5212080" cy="1964678"/>
                    </a:xfrm>
                    <a:prstGeom prst="rect"/>
                  </pic:spPr>
                </pic:pic>
              </a:graphicData>
            </a:graphic>
          </wp:inline>
        </w:drawing>
      </w:r>
    </w:p>
    <w:p>
      <w:pPr>
        <w:pStyle w:val="Caption"/>
        <w:keepLines/>
      </w:pPr>
      <w:r>
        <w:rPr>
          <w:rFonts w:ascii="Times New Roman" w:hAnsi="Times New Roman" w:eastAsia="Times New Roman"/>
          <w:color w:val="000000"/>
          <w:sz w:val="24"/>
        </w:rPr>
        <w:t>Figure 9. Test MAE, RMSE and residual distributions separated by observed GPA-change direction. The same tuned model and untouched test set are used for all groups.</w:t>
      </w:r>
    </w:p>
    <w:p>
      <w:pPr>
        <w:spacing w:before="0" w:after="120" w:lineRule="auto" w:line="360"/>
        <w:keepLines/>
      </w:pPr>
      <w:r>
        <w:rPr>
          <w:rFonts w:ascii="Times New Roman" w:hAnsi="Times New Roman" w:eastAsia="Times New Roman"/>
          <w:color w:val="000000"/>
          <w:sz w:val="24"/>
        </w:rPr>
        <w:t>These differences demonstrate predictive bias across outcome regions. Balancing by sign would redefine the continuous outcome, so aggregate and direction-specific results are reported instead. The model should not support individual interventions, especially for possible GPA declines.</w:t>
      </w:r>
    </w:p>
    <w:p>
      <w:pPr>
        <w:spacing w:before="0" w:after="120" w:lineRule="auto" w:line="360"/>
        <w:keepLines/>
      </w:pPr>
      <w:r>
        <w:rPr>
          <w:rFonts w:ascii="Times New Roman" w:hAnsi="Times New Roman" w:eastAsia="Times New Roman"/>
          <w:color w:val="000000"/>
          <w:sz w:val="24"/>
        </w:rPr>
        <w:t>The same reserved partition supported several confirmatory summaries, including feature-set comparison, residual diagnostics and permutation importance. No refitting followed those inspections, but repeated analytical use of one test partition can still be more optimistic than evaluation on a genuinely external cohort.</w:t>
      </w:r>
    </w:p>
    <w:p>
      <w:pPr>
        <w:pStyle w:val="Heading1"/>
        <w:keepNext/>
        <w:keepLines/>
      </w:pPr>
      <w:r>
        <w:rPr>
          <w:rFonts w:ascii="Times New Roman" w:hAnsi="Times New Roman" w:eastAsia="Times New Roman"/>
          <w:color w:val="000000"/>
          <w:sz w:val="24"/>
        </w:rPr>
        <w:t>7 Analysis and Recommendations</w:t>
      </w:r>
    </w:p>
    <w:p>
      <w:pPr>
        <w:pStyle w:val="Heading2"/>
        <w:keepNext/>
        <w:keepLines/>
      </w:pPr>
      <w:r>
        <w:rPr>
          <w:rFonts w:ascii="Times New Roman" w:hAnsi="Times New Roman" w:eastAsia="Times New Roman"/>
          <w:color w:val="000000"/>
          <w:sz w:val="24"/>
        </w:rPr>
        <w:t>7.1 Answer to the research question</w:t>
      </w:r>
    </w:p>
    <w:p>
      <w:pPr>
        <w:spacing w:before="0" w:after="120" w:lineRule="auto" w:line="360"/>
        <w:keepLines/>
      </w:pPr>
      <w:r>
        <w:rPr>
          <w:rFonts w:ascii="Times New Roman" w:hAnsi="Times New Roman" w:eastAsia="Times New Roman"/>
          <w:color w:val="000000"/>
          <w:sz w:val="24"/>
        </w:rPr>
        <w:t>The clearest finding is that AI-use variables added out-of-sample predictive information when combined with previous GPA and general study context. As Table 10 shows, the context-only HGB model achieved test R² = 0.2382, while AI variables alone achieved 0.1703. Combining the two groups raised test R² to 0.4170 and reduced RMSE from 0.1618 to 0.1415 relative to context alone. The R² increment was 0.1788. This is a change in predictive performance, not a percentage increase in GPA and not an estimate of an AI effect.</w:t>
      </w:r>
    </w:p>
    <w:p>
      <w:pPr>
        <w:pStyle w:val="Caption"/>
        <w:keepNext/>
        <w:keepLines/>
      </w:pPr>
      <w:r>
        <w:rPr>
          <w:rFonts w:ascii="Times New Roman" w:hAnsi="Times New Roman" w:eastAsia="Times New Roman"/>
          <w:color w:val="000000"/>
          <w:sz w:val="24"/>
        </w:rPr>
        <w:t>Table 10. HGB feature-set comparison</w:t>
      </w:r>
    </w:p>
    <w:tbl>
      <w:tblPr>
        <w:tblStyle w:val="TableGrid"/>
        <w:tblW w:type="dxa" w:w="8310"/>
        <w:jc w:val="left"/>
        <w:tblLayout w:type="fixed"/>
        <w:tblLook w:firstColumn="1" w:firstRow="1" w:lastColumn="0" w:lastRow="0" w:noHBand="0" w:noVBand="1" w:val="04A0"/>
        <w:tblInd w:w="120" w:type="dxa"/>
      </w:tblPr>
      <w:tblGrid>
        <w:gridCol w:w="2955"/>
        <w:gridCol w:w="1785"/>
        <w:gridCol w:w="1785"/>
        <w:gridCol w:w="1785"/>
      </w:tblGrid>
      <w:tr>
        <w:trPr>
          <w:tblHeader w:val="true"/>
        </w:trPr>
        <w:tc>
          <w:tcPr>
            <w:tcW w:type="dxa" w:w="295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Feature set</w:t>
            </w:r>
          </w:p>
        </w:tc>
        <w:tc>
          <w:tcPr>
            <w:tcW w:type="dxa" w:w="178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MAE</w:t>
            </w:r>
          </w:p>
        </w:tc>
        <w:tc>
          <w:tcPr>
            <w:tcW w:type="dxa" w:w="178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RMSE</w:t>
            </w:r>
          </w:p>
        </w:tc>
        <w:tc>
          <w:tcPr>
            <w:tcW w:type="dxa" w:w="178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R²</w:t>
            </w:r>
          </w:p>
        </w:tc>
      </w:tr>
      <w:tr>
        <w:tc>
          <w:tcPr>
            <w:tcW w:type="dxa" w:w="29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Context only</w:t>
            </w:r>
          </w:p>
        </w:tc>
        <w:tc>
          <w:tcPr>
            <w:tcW w:type="dxa" w:w="178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0.1254</w:t>
            </w:r>
          </w:p>
        </w:tc>
        <w:tc>
          <w:tcPr>
            <w:tcW w:type="dxa" w:w="178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0.1638</w:t>
            </w:r>
          </w:p>
        </w:tc>
        <w:tc>
          <w:tcPr>
            <w:tcW w:type="dxa" w:w="178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0.2378</w:t>
            </w:r>
          </w:p>
        </w:tc>
      </w:tr>
      <w:tr>
        <w:tc>
          <w:tcPr>
            <w:tcW w:type="dxa" w:w="29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AI variables only</w:t>
            </w:r>
          </w:p>
        </w:tc>
        <w:tc>
          <w:tcPr>
            <w:tcW w:type="dxa" w:w="178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0.1356</w:t>
            </w:r>
          </w:p>
        </w:tc>
        <w:tc>
          <w:tcPr>
            <w:tcW w:type="dxa" w:w="178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0.1708</w:t>
            </w:r>
          </w:p>
        </w:tc>
        <w:tc>
          <w:tcPr>
            <w:tcW w:type="dxa" w:w="178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0.1708</w:t>
            </w:r>
          </w:p>
        </w:tc>
      </w:tr>
      <w:tr>
        <w:tc>
          <w:tcPr>
            <w:tcW w:type="dxa" w:w="295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Context and AI variables</w:t>
            </w:r>
          </w:p>
        </w:tc>
        <w:tc>
          <w:tcPr>
            <w:tcW w:type="dxa" w:w="178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0.1129</w:t>
            </w:r>
          </w:p>
        </w:tc>
        <w:tc>
          <w:tcPr>
            <w:tcW w:type="dxa" w:w="178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0.1443</w:t>
            </w:r>
          </w:p>
        </w:tc>
        <w:tc>
          <w:tcPr>
            <w:tcW w:type="dxa" w:w="178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0.4084</w:t>
            </w:r>
          </w:p>
        </w:tc>
      </w:tr>
    </w:tbl>
    <w:p>
      <w:pPr>
        <w:spacing w:before="0" w:after="120" w:lineRule="auto" w:line="360"/>
        <w:keepLines/>
      </w:pPr>
      <w:r>
        <w:rPr>
          <w:rFonts w:ascii="Times New Roman" w:hAnsi="Times New Roman" w:eastAsia="Times New Roman"/>
          <w:color w:val="000000"/>
          <w:sz w:val="24"/>
        </w:rPr>
        <w:t>Reserved-test feature-set performance:</w:t>
      </w:r>
    </w:p>
    <w:tbl>
      <w:tblPr>
        <w:tblStyle w:val="TableGrid"/>
        <w:tblW w:type="dxa" w:w="8310"/>
        <w:jc w:val="left"/>
        <w:tblLayout w:type="fixed"/>
        <w:tblLook w:firstColumn="1" w:firstRow="1" w:lastColumn="0" w:lastRow="0" w:noHBand="0" w:noVBand="1" w:val="04A0"/>
        <w:tblInd w:w="120" w:type="dxa"/>
      </w:tblPr>
      <w:tblGrid>
        <w:gridCol w:w="2919"/>
        <w:gridCol w:w="1773"/>
        <w:gridCol w:w="1845"/>
        <w:gridCol w:w="1773"/>
      </w:tblGrid>
      <w:tr>
        <w:trPr>
          <w:tblHeader w:val="true"/>
        </w:trPr>
        <w:tc>
          <w:tcPr>
            <w:tcW w:type="dxa" w:w="291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Feature set</w:t>
            </w:r>
          </w:p>
        </w:tc>
        <w:tc>
          <w:tcPr>
            <w:tcW w:type="dxa" w:w="1773"/>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MAE</w:t>
            </w:r>
          </w:p>
        </w:tc>
        <w:tc>
          <w:tcPr>
            <w:tcW w:type="dxa" w:w="184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RMSE</w:t>
            </w:r>
          </w:p>
        </w:tc>
        <w:tc>
          <w:tcPr>
            <w:tcW w:type="dxa" w:w="1773"/>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R²</w:t>
            </w:r>
          </w:p>
        </w:tc>
      </w:tr>
      <w:tr>
        <w:tc>
          <w:tcPr>
            <w:tcW w:type="dxa" w:w="291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Context only</w:t>
            </w:r>
          </w:p>
        </w:tc>
        <w:tc>
          <w:tcPr>
            <w:tcW w:type="dxa" w:w="177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0.1239</w:t>
            </w:r>
          </w:p>
        </w:tc>
        <w:tc>
          <w:tcPr>
            <w:tcW w:type="dxa" w:w="184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0.1618</w:t>
            </w:r>
          </w:p>
        </w:tc>
        <w:tc>
          <w:tcPr>
            <w:tcW w:type="dxa" w:w="177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0.2382</w:t>
            </w:r>
          </w:p>
        </w:tc>
      </w:tr>
      <w:tr>
        <w:tc>
          <w:tcPr>
            <w:tcW w:type="dxa" w:w="291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AI variables only</w:t>
            </w:r>
          </w:p>
        </w:tc>
        <w:tc>
          <w:tcPr>
            <w:tcW w:type="dxa" w:w="177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0.1347</w:t>
            </w:r>
          </w:p>
        </w:tc>
        <w:tc>
          <w:tcPr>
            <w:tcW w:type="dxa" w:w="184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0.1689</w:t>
            </w:r>
          </w:p>
        </w:tc>
        <w:tc>
          <w:tcPr>
            <w:tcW w:type="dxa" w:w="177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0.1703</w:t>
            </w:r>
          </w:p>
        </w:tc>
      </w:tr>
      <w:tr>
        <w:tc>
          <w:tcPr>
            <w:tcW w:type="dxa" w:w="291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Context and AI variables</w:t>
            </w:r>
          </w:p>
        </w:tc>
        <w:tc>
          <w:tcPr>
            <w:tcW w:type="dxa" w:w="1773"/>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0.1114</w:t>
            </w:r>
          </w:p>
        </w:tc>
        <w:tc>
          <w:tcPr>
            <w:tcW w:type="dxa" w:w="184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0.1415</w:t>
            </w:r>
          </w:p>
        </w:tc>
        <w:tc>
          <w:tcPr>
            <w:tcW w:type="dxa" w:w="1773"/>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0.4170</w:t>
            </w:r>
          </w:p>
        </w:tc>
      </w:tr>
    </w:tbl>
    <w:p>
      <w:pPr>
        <w:spacing w:before="0" w:after="120" w:lineRule="auto" w:line="360"/>
        <w:keepLines/>
      </w:pPr>
      <w:r>
        <w:rPr>
          <w:rFonts w:ascii="Times New Roman" w:hAnsi="Times New Roman" w:eastAsia="Times New Roman"/>
          <w:color w:val="000000"/>
          <w:sz w:val="24"/>
        </w:rPr>
        <w:t>AI variables were therefore informative but insufficient by themselves. The strongest prediction required academic context and AI-related behaviour together. This result is consistent with the wider literature's emphasis on context and quality of use. AI literacy includes understanding, application, evaluation and ethics rather than exposure alone (Ng et al., 2021), while effective prompting also depends on domain knowledge and critical checking (Lee &amp; Palmer, 2025). The result should not be interpreted as validating the dataset's self-described skill measure; it only shows that the recorded AI fields helped this model discriminate between outcomes.</w:t>
      </w:r>
    </w:p>
    <w:p>
      <w:pPr>
        <w:pStyle w:val="Heading2"/>
        <w:keepNext/>
        <w:keepLines/>
      </w:pPr>
      <w:r>
        <w:rPr>
          <w:rFonts w:ascii="Times New Roman" w:hAnsi="Times New Roman" w:eastAsia="Times New Roman"/>
          <w:color w:val="000000"/>
          <w:sz w:val="24"/>
        </w:rPr>
        <w:t>7.2 Why nonlinear models performed better</w:t>
      </w:r>
    </w:p>
    <w:p>
      <w:pPr>
        <w:spacing w:before="0" w:after="120" w:lineRule="auto" w:line="360"/>
        <w:keepLines/>
      </w:pPr>
      <w:r>
        <w:rPr>
          <w:rFonts w:ascii="Times New Roman" w:hAnsi="Times New Roman" w:eastAsia="Times New Roman"/>
          <w:color w:val="000000"/>
          <w:sz w:val="24"/>
        </w:rPr>
        <w:t>HGB and Random Forest outperformed Linear and Ridge Regression under the same folds and preprocessing. The tuned HGB test RMSE was 0.1414, compared with 0.1448 for Random Forest and 0.1583 for both linear models. This suggests that one additive coefficient per encoded feature did not capture all useful structure. Two descriptive findings support that interpretation. First, mean GPA change rose through the high-medium AI-hours quartile and then fell in the highest quartile. Second, the maximum feasible increase narrows as previous GPA approaches 4.0. Tree ensembles can represent thresholds and interactions without imposing a single straight-line relationship.</w:t>
      </w:r>
    </w:p>
    <w:p>
      <w:pPr>
        <w:spacing w:before="0" w:after="120" w:lineRule="auto" w:line="360"/>
        <w:keepLines/>
      </w:pPr>
      <w:r>
        <w:rPr>
          <w:rFonts w:ascii="Times New Roman" w:hAnsi="Times New Roman" w:eastAsia="Times New Roman"/>
          <w:color w:val="000000"/>
          <w:sz w:val="24"/>
        </w:rPr>
        <w:t>This pattern aligns cautiously with educational-data-mining evidence in which tree-based and other nonlinear models have performed competitively (Yağcı, 2022). It does not show that HGB is universally preferable: Waheed et al. (2020), for example, reported a deep model as strongest for a different classification task using virtual-learning data. Model ranking is conditional on the outcome, features, sample and validation protocol.</w:t>
      </w:r>
    </w:p>
    <w:p>
      <w:pPr>
        <w:spacing w:before="0" w:after="120" w:lineRule="auto" w:line="360"/>
        <w:keepLines/>
      </w:pPr>
      <w:r>
        <w:rPr>
          <w:rFonts w:ascii="Times New Roman" w:hAnsi="Times New Roman" w:eastAsia="Times New Roman"/>
          <w:color w:val="000000"/>
          <w:sz w:val="24"/>
        </w:rPr>
        <w:t>The optimisation result is also instructive. Randomised search improved HGB cross-validated RMSE from 0.1443 to 0.1441 and test R² from 0.4166 to 0.4185 relative to the untuned HGB. The gain was genuine within the recorded run but small. Tuning therefore refined an already suitable model rather than transforming performance. Random search remained appropriate because it sampled combinations across five interacting dimensions within a fixed computational budget and avoided the rapidly expanding cost of a full Cartesian grid. The modest gain is itself a useful result: optimisation should be judged by measured validation improvement, not by the mere fact that a search was performed.</w:t>
      </w:r>
    </w:p>
    <w:p>
      <w:pPr>
        <w:spacing w:before="0" w:after="120" w:lineRule="auto" w:line="360"/>
        <w:keepLines/>
      </w:pPr>
      <w:r>
        <w:rPr>
          <w:rFonts w:ascii="Times New Roman" w:hAnsi="Times New Roman" w:eastAsia="Times New Roman"/>
          <w:color w:val="000000"/>
          <w:sz w:val="24"/>
        </w:rPr>
        <w:t>The neural comparison reached the same broader conclusion about complexity. FT-Transformer marginally led HGB on cross-validation RMSE (0.1440 versus 0.1443) and test RMSE (0.1410 versus 0.1414), but the 0.20% validation improvement was below the predefined 1% material threshold and required 209.9 seconds of training. The category-embedding MLP and TabM did not improve cross-validation RMSE. Neural modelling was therefore tested rather than dismissed, but the available evidence did not justify replacing HGB. This result is consistent with the need to match model capacity to tabular data structure and sample evidence rather than assuming that a deeper architecture is automatically superior.</w:t>
      </w:r>
    </w:p>
    <w:p>
      <w:pPr>
        <w:pStyle w:val="Heading2"/>
        <w:keepNext/>
        <w:keepLines/>
      </w:pPr>
      <w:r>
        <w:rPr>
          <w:rFonts w:ascii="Times New Roman" w:hAnsi="Times New Roman" w:eastAsia="Times New Roman"/>
          <w:color w:val="000000"/>
          <w:sz w:val="24"/>
        </w:rPr>
        <w:t>7.3 Predictive importance and anomalies</w:t>
      </w:r>
    </w:p>
    <w:p>
      <w:pPr>
        <w:spacing w:before="0" w:after="120" w:lineRule="auto" w:line="360"/>
        <w:keepLines/>
      </w:pPr>
      <w:r>
        <w:rPr>
          <w:rFonts w:ascii="Times New Roman" w:hAnsi="Times New Roman" w:eastAsia="Times New Roman"/>
          <w:color w:val="000000"/>
          <w:sz w:val="24"/>
        </w:rPr>
        <w:t>Figure 10 shows that traditional study hours had the largest permutation importance (0.0328 increase in RMSE-based loss when shuffled), followed by primary AI use case (0.0267), weekly GenAI hours (0.0174), year of study (0.0136), prompt-engineering skill (0.0122) and previous-semester GPA (0.0108). Institutional policy and paid subscription made small contributions, while tool diversity, perceived dependency, exam anxiety and major category were near zero in this fitted model.</w:t>
      </w:r>
    </w:p>
    <w:p>
      <w:pPr>
        <w:spacing w:before="80" w:after="40" w:lineRule="auto" w:line="240"/>
        <w:jc w:val="center"/>
      </w:pPr>
      <w:r>
        <w:drawing>
          <wp:inline xmlns:a="http://schemas.openxmlformats.org/drawingml/2006/main" xmlns:pic="http://schemas.openxmlformats.org/drawingml/2006/picture">
            <wp:extent cx="5212080" cy="3443275"/>
            <wp:docPr id="11" name="Picture 11" descr="Figure 10"/>
            <wp:cNvGraphicFramePr>
              <a:graphicFrameLocks noChangeAspect="1"/>
            </wp:cNvGraphicFramePr>
            <a:graphic>
              <a:graphicData uri="http://schemas.openxmlformats.org/drawingml/2006/picture">
                <pic:pic>
                  <pic:nvPicPr>
                    <pic:cNvPr id="0" name="fig10_permutation_importance.png"/>
                    <pic:cNvPicPr/>
                  </pic:nvPicPr>
                  <pic:blipFill>
                    <a:blip r:embed="rId43"/>
                    <a:stretch>
                      <a:fillRect/>
                    </a:stretch>
                  </pic:blipFill>
                  <pic:spPr>
                    <a:xfrm>
                      <a:off x="0" y="0"/>
                      <a:ext cx="5212080" cy="3443275"/>
                    </a:xfrm>
                    <a:prstGeom prst="rect"/>
                  </pic:spPr>
                </pic:pic>
              </a:graphicData>
            </a:graphic>
          </wp:inline>
        </w:drawing>
      </w:r>
    </w:p>
    <w:p>
      <w:pPr>
        <w:pStyle w:val="Caption"/>
        <w:keepLines/>
      </w:pPr>
      <w:r>
        <w:rPr>
          <w:rFonts w:ascii="Times New Roman" w:hAnsi="Times New Roman" w:eastAsia="Times New Roman"/>
          <w:color w:val="000000"/>
          <w:sz w:val="24"/>
        </w:rPr>
        <w:t>Figure 10. Test-set permutation importance for the selected tuned HGB model. Values show the mean deterioration in RMSE-based score after shuffling each source feature across five repetitions.</w:t>
      </w:r>
    </w:p>
    <w:p>
      <w:pPr>
        <w:spacing w:before="0" w:after="120" w:lineRule="auto" w:line="360"/>
        <w:keepLines/>
      </w:pPr>
      <w:r>
        <w:rPr>
          <w:rFonts w:ascii="Times New Roman" w:hAnsi="Times New Roman" w:eastAsia="Times New Roman"/>
          <w:color w:val="000000"/>
          <w:sz w:val="24"/>
        </w:rPr>
        <w:t>Traditional study hours ranking above any AI field is substantively important: AI behaviour did not replace conventional study context. At the same time, purpose of use ranking above weekly hours supports the argument that how a tool is used may be more informative than exposure quantity. The non-monotonic quartile pattern further rejects the simplistic recommendation that more hours should improve GPA.</w:t>
      </w:r>
    </w:p>
    <w:p>
      <w:pPr>
        <w:spacing w:before="0" w:after="120" w:lineRule="auto" w:line="360"/>
        <w:keepLines/>
      </w:pPr>
      <w:r>
        <w:rPr>
          <w:rFonts w:ascii="Times New Roman" w:hAnsi="Times New Roman" w:eastAsia="Times New Roman"/>
          <w:color w:val="000000"/>
          <w:sz w:val="24"/>
        </w:rPr>
        <w:t>These importance values do not isolate independent effects. Correlated features can substitute for one another when shuffled, and a variable may be useful because it proxies an unobserved factor. The near-zero importance of perceived dependency, for instance, does not establish that dependency is educationally irrelevant. It means only that shuffling this field did not materially worsen this model's test score after the other recorded predictors were available.</w:t>
      </w:r>
    </w:p>
    <w:p>
      <w:pPr>
        <w:pStyle w:val="Heading2"/>
        <w:keepNext/>
        <w:keepLines/>
      </w:pPr>
      <w:r>
        <w:rPr>
          <w:rFonts w:ascii="Times New Roman" w:hAnsi="Times New Roman" w:eastAsia="Times New Roman"/>
          <w:color w:val="000000"/>
          <w:sz w:val="24"/>
        </w:rPr>
        <w:t>7.4 Relationship to prior evidence</w:t>
      </w:r>
    </w:p>
    <w:p>
      <w:pPr>
        <w:spacing w:before="0" w:after="120" w:lineRule="auto" w:line="360"/>
        <w:keepLines/>
      </w:pPr>
      <w:r>
        <w:rPr>
          <w:rFonts w:ascii="Times New Roman" w:hAnsi="Times New Roman" w:eastAsia="Times New Roman"/>
          <w:color w:val="000000"/>
          <w:sz w:val="24"/>
        </w:rPr>
        <w:t>Taken together, the results fit the literature's mixed rather than deterministic account of GenAI. Sun and Zhou (2024) found positive average effects in structured interventions, whereas Abbas et al. (2024) reported adverse associations in observational survey data. Molerov et al. (2026) found faster task completion and more examinations passed among users, but no better task accuracy or grades. The current model neither confirms nor refutes those effects because it uses different measures and has no intervention or credible control group. Its contribution is narrower: use-related fields improved prediction within the supplied records, and the form of the association was not simply monotonic.</w:t>
      </w:r>
    </w:p>
    <w:p>
      <w:pPr>
        <w:spacing w:before="0" w:after="120" w:lineRule="auto" w:line="360"/>
        <w:keepLines/>
      </w:pPr>
      <w:r>
        <w:rPr>
          <w:rFonts w:ascii="Times New Roman" w:hAnsi="Times New Roman" w:eastAsia="Times New Roman"/>
          <w:color w:val="000000"/>
          <w:sz w:val="24"/>
        </w:rPr>
        <w:t>The final R² of 0.4185 left most test variation unexplained. Missing course, assessment, instructor and socioeconomic context plus extreme-outcome compression require caution.</w:t>
      </w:r>
    </w:p>
    <w:p>
      <w:pPr>
        <w:spacing w:before="0" w:after="120" w:lineRule="auto" w:line="360"/>
        <w:keepLines/>
      </w:pPr>
      <w:r>
        <w:rPr>
          <w:rFonts w:ascii="Times New Roman" w:hAnsi="Times New Roman" w:eastAsia="Times New Roman"/>
          <w:color w:val="000000"/>
          <w:sz w:val="24"/>
        </w:rPr>
        <w:t>Direction-specific validation revealed the clearest practical bias risk. Test MAE for GPA decreases (0.1979) was nearly twice that for increases (0.0993), and the mean residual of -0.1916 shows that declines were systematically predicted as less severe. This behaviour is consistent with the 87.52% positive target share and central prediction compression. The result does not justify changing the observed distribution, but it prevents the near-zero overall mean residual from being presented as evidence of equal performance.</w:t>
      </w:r>
    </w:p>
    <w:p>
      <w:pPr>
        <w:pStyle w:val="Heading2"/>
        <w:keepNext/>
        <w:keepLines/>
      </w:pPr>
      <w:r>
        <w:rPr>
          <w:rFonts w:ascii="Times New Roman" w:hAnsi="Times New Roman" w:eastAsia="Times New Roman"/>
          <w:color w:val="000000"/>
          <w:sz w:val="24"/>
        </w:rPr>
        <w:t>7.5 Recommendations</w:t>
      </w:r>
    </w:p>
    <w:p>
      <w:pPr>
        <w:spacing w:before="0" w:after="120" w:lineRule="auto" w:line="360"/>
        <w:keepLines/>
      </w:pPr>
      <w:r>
        <w:rPr>
          <w:rFonts w:ascii="Times New Roman" w:hAnsi="Times New Roman" w:eastAsia="Times New Roman"/>
          <w:color w:val="000000"/>
          <w:sz w:val="24"/>
        </w:rPr>
        <w:t>First, tuned HGB should be retained as the preferred predictive model because it led the primary cross-validation and test comparison while remaining materially indistinguishable from the strongest, slower neural alternative. It should not be deployed as an intervention rule or used to label individual students as likely to benefit from AI. At most, its outputs could support hypothesis generation after independent validation. Any later deployment study must set direction-specific acceptance thresholds and examine errors across documented demographic and institutional groups that are absent from the data.</w:t>
      </w:r>
    </w:p>
    <w:p>
      <w:pPr>
        <w:spacing w:before="0" w:after="120" w:lineRule="auto" w:line="360"/>
        <w:keepLines/>
      </w:pPr>
      <w:r>
        <w:rPr>
          <w:rFonts w:ascii="Times New Roman" w:hAnsi="Times New Roman" w:eastAsia="Times New Roman"/>
          <w:color w:val="000000"/>
          <w:sz w:val="24"/>
        </w:rPr>
        <w:t>Second, future data collection should document the institution, sampling frame, time period, consent, collection instrument and real-versus-synthetic status. Verified behavioural logs should be distinguished from self-report. Course, assessment and instructor variables should be added because they offer plausible explanations for the unexplained variance.</w:t>
      </w:r>
    </w:p>
    <w:p>
      <w:pPr>
        <w:spacing w:before="0" w:after="120" w:lineRule="auto" w:line="360"/>
        <w:keepLines/>
      </w:pPr>
      <w:r>
        <w:rPr>
          <w:rFonts w:ascii="Times New Roman" w:hAnsi="Times New Roman" w:eastAsia="Times New Roman"/>
          <w:color w:val="000000"/>
          <w:sz w:val="24"/>
        </w:rPr>
        <w:t>Third, future analysis should predefine a genuine low-use or non-use comparison and follow students longitudinally if the objective changes from prediction to effect estimation. External validation on a separately collected cohort is more valuable than increasingly extensive tuning of the present data.</w:t>
      </w:r>
    </w:p>
    <w:p>
      <w:pPr>
        <w:spacing w:before="0" w:after="120" w:lineRule="auto" w:line="360"/>
        <w:keepLines/>
      </w:pPr>
      <w:r>
        <w:rPr>
          <w:rFonts w:ascii="Times New Roman" w:hAnsi="Times New Roman" w:eastAsia="Times New Roman"/>
          <w:color w:val="000000"/>
          <w:sz w:val="24"/>
        </w:rPr>
        <w:t>Finally, educational recommendations should emphasise purposeful and critical use rather than maximising AI hours. Teaching should combine prompt practice with subject knowledge, output verification and ethical judgement, consistent with AI-literacy research (Laupichler et al., 2022; Lee &amp; Palmer, 2025). Whether such support improves GPA requires controlled evaluation; it cannot be inferred from the present feature importances.</w:t>
      </w:r>
    </w:p>
    <w:p>
      <w:pPr>
        <w:pStyle w:val="Heading1"/>
        <w:keepNext/>
        <w:keepLines/>
      </w:pPr>
      <w:r>
        <w:rPr>
          <w:rFonts w:ascii="Times New Roman" w:hAnsi="Times New Roman" w:eastAsia="Times New Roman"/>
          <w:color w:val="000000"/>
          <w:sz w:val="24"/>
        </w:rPr>
        <w:t>8 Conclusion</w:t>
      </w:r>
    </w:p>
    <w:p>
      <w:pPr>
        <w:spacing w:before="0" w:after="120" w:lineRule="auto" w:line="360"/>
        <w:keepLines/>
      </w:pPr>
      <w:r>
        <w:rPr>
          <w:rFonts w:ascii="Times New Roman" w:hAnsi="Times New Roman" w:eastAsia="Times New Roman"/>
          <w:color w:val="000000"/>
          <w:sz w:val="24"/>
        </w:rPr>
        <w:t>AI-use variables improved held-out prediction of semester GPA change when combined with previous GPA and general study context. The combined HGB feature set achieved test R² = 0.4170, compared with 0.2382 for context only and 0.1703 for AI variables only. AI variables were therefore useful but insufficient alone; the strongest prediction depended on both study context and AI-related behaviour.</w:t>
      </w:r>
    </w:p>
    <w:p>
      <w:pPr>
        <w:spacing w:before="0" w:after="120" w:lineRule="auto" w:line="360"/>
        <w:keepLines/>
      </w:pPr>
      <w:r>
        <w:rPr>
          <w:rFonts w:ascii="Times New Roman" w:hAnsi="Times New Roman" w:eastAsia="Times New Roman"/>
          <w:color w:val="000000"/>
          <w:sz w:val="24"/>
        </w:rPr>
        <w:t>Model comparison showed why the selected method was appropriate. Linear and Ridge Regression provided transparent additive benchmarks, while Random Forest and HGB tested nonlinear thresholds and interactions. HGB produced the strongest primary cross-validation result and its tuned version achieved test MAE 0.1112, RMSE 0.1414 and R² = 0.4185. Bootstrap intervals supported the stability of those test estimates and a positive RMSE advantage over Random Forest within the supplied sample. Randomised tuning improved HGB only slightly, showing that the untuned configuration was already close to the useful region. FT-Transformer was the strongest neural alternative, but its 0.20% cross-validation improvement did not meet the predefined 1% material threshold. HGB consequently offered the most defensible accuracy-complexity trade-off.</w:t>
      </w:r>
    </w:p>
    <w:p>
      <w:pPr>
        <w:spacing w:before="0" w:after="120" w:lineRule="auto" w:line="360"/>
        <w:keepLines/>
      </w:pPr>
      <w:r>
        <w:rPr>
          <w:rFonts w:ascii="Times New Roman" w:hAnsi="Times New Roman" w:eastAsia="Times New Roman"/>
          <w:color w:val="000000"/>
          <w:sz w:val="24"/>
        </w:rPr>
        <w:t>The controlled feature and model comparisons were the strongest aspects of the analysis. They showed that nonlinear structure mattered, that conventional study context remained important, and that purpose of AI use was more informative than a simple assumption that additional usage hours should improve GPA. The main weakness was direction-specific performance: MAE was 0.1979 for GPA decreases and 0.0993 for increases, with declines systematically predicted towards the more common positive centre. Moderate overall R² and compressed extreme predictions further limit individual interpretation.</w:t>
      </w:r>
    </w:p>
    <w:p>
      <w:pPr>
        <w:spacing w:before="0" w:after="120" w:lineRule="auto" w:line="360"/>
        <w:keepLines/>
      </w:pPr>
      <w:r>
        <w:rPr>
          <w:rFonts w:ascii="Times New Roman" w:hAnsi="Times New Roman" w:eastAsia="Times New Roman"/>
          <w:color w:val="000000"/>
          <w:sz w:val="24"/>
        </w:rPr>
        <w:t>The principal limitation is evidential rather than computational. Collection, sampling, geography, ethics and real-versus-synthetic status are undocumented, while perfect cleanliness reduces confidence that the data reflect unprocessed field observations. Future research should use longitudinal, provenance-rich records; include course, assessment and instructor context; define a credible comparison group; and validate models on an external cohort. Purposeful AI-use measures warrant further investigation, but neither usage hours nor feature importance should be converted into prescriptive educational advice without stronger causal evidence.</w:t>
      </w:r>
    </w:p>
    <w:p>
      <w:pPr>
        <w:pStyle w:val="Heading1"/>
        <w:pageBreakBefore/>
        <w:keepNext/>
        <w:keepLines/>
      </w:pPr>
      <w:r>
        <w:rPr>
          <w:rFonts w:ascii="Times New Roman" w:hAnsi="Times New Roman" w:eastAsia="Times New Roman"/>
          <w:color w:val="000000"/>
          <w:sz w:val="24"/>
        </w:rPr>
        <w:t>References</w:t>
      </w:r>
    </w:p>
    <w:p>
      <w:pPr>
        <w:spacing w:before="0" w:after="120" w:lineRule="auto" w:line="276"/>
        <w:ind w:left="720" w:hanging="720"/>
      </w:pPr>
      <w:r>
        <w:rPr>
          <w:rFonts w:ascii="Times New Roman" w:hAnsi="Times New Roman" w:eastAsia="Times New Roman"/>
          <w:color w:val="000000"/>
          <w:sz w:val="24"/>
        </w:rPr>
        <w:t xml:space="preserve">Arlot, S., &amp; Celisse, A. (2010). A survey of cross-validation procedures for model selection. </w:t>
      </w:r>
      <w:r>
        <w:rPr>
          <w:rFonts w:ascii="Times New Roman" w:hAnsi="Times New Roman" w:eastAsia="Times New Roman"/>
          <w:i/>
          <w:color w:val="000000"/>
          <w:sz w:val="24"/>
        </w:rPr>
        <w:t>Statistics Surveys, 4</w:t>
      </w:r>
      <w:r>
        <w:rPr>
          <w:rFonts w:ascii="Times New Roman" w:hAnsi="Times New Roman" w:eastAsia="Times New Roman"/>
          <w:color w:val="000000"/>
          <w:sz w:val="24"/>
        </w:rPr>
        <w:t>, 40–79. https://doi.org/10.1214/09-SS054</w:t>
      </w:r>
    </w:p>
    <w:p>
      <w:pPr>
        <w:spacing w:before="0" w:after="120" w:lineRule="auto" w:line="276"/>
        <w:ind w:left="720" w:hanging="720"/>
      </w:pPr>
      <w:r>
        <w:rPr>
          <w:rFonts w:ascii="Times New Roman" w:hAnsi="Times New Roman" w:eastAsia="Times New Roman"/>
          <w:color w:val="000000"/>
          <w:sz w:val="24"/>
        </w:rPr>
        <w:t xml:space="preserve">Bergstra, J., &amp; Bengio, Y. (2012). Random search for hyper-parameter optimization. </w:t>
      </w:r>
      <w:r>
        <w:rPr>
          <w:rFonts w:ascii="Times New Roman" w:hAnsi="Times New Roman" w:eastAsia="Times New Roman"/>
          <w:i/>
          <w:color w:val="000000"/>
          <w:sz w:val="24"/>
        </w:rPr>
        <w:t>Journal of Machine Learning Research, 13</w:t>
      </w:r>
      <w:r>
        <w:rPr>
          <w:rFonts w:ascii="Times New Roman" w:hAnsi="Times New Roman" w:eastAsia="Times New Roman"/>
          <w:color w:val="000000"/>
          <w:sz w:val="24"/>
        </w:rPr>
        <w:t>(10), 281–305. https://jmlr.org/papers/v13/bergstra12a.html</w:t>
      </w:r>
    </w:p>
    <w:p>
      <w:pPr>
        <w:spacing w:before="0" w:after="120" w:lineRule="auto" w:line="276"/>
        <w:ind w:left="720" w:hanging="720"/>
      </w:pPr>
      <w:r>
        <w:rPr>
          <w:rFonts w:ascii="Times New Roman" w:hAnsi="Times New Roman" w:eastAsia="Times New Roman"/>
          <w:color w:val="000000"/>
          <w:sz w:val="24"/>
        </w:rPr>
        <w:t xml:space="preserve">Breiman, L. (2001). Random forests. </w:t>
      </w:r>
      <w:r>
        <w:rPr>
          <w:rFonts w:ascii="Times New Roman" w:hAnsi="Times New Roman" w:eastAsia="Times New Roman"/>
          <w:i/>
          <w:color w:val="000000"/>
          <w:sz w:val="24"/>
        </w:rPr>
        <w:t>Machine Learning, 45</w:t>
      </w:r>
      <w:r>
        <w:rPr>
          <w:rFonts w:ascii="Times New Roman" w:hAnsi="Times New Roman" w:eastAsia="Times New Roman"/>
          <w:color w:val="000000"/>
          <w:sz w:val="24"/>
        </w:rPr>
        <w:t>, 5–32. https://doi.org/10.1023/A:1010933404324</w:t>
      </w:r>
    </w:p>
    <w:p>
      <w:pPr>
        <w:spacing w:before="0" w:after="120" w:lineRule="auto" w:line="276"/>
        <w:ind w:left="720" w:hanging="720"/>
      </w:pPr>
      <w:r>
        <w:rPr>
          <w:rFonts w:ascii="Times New Roman" w:hAnsi="Times New Roman" w:eastAsia="Times New Roman"/>
          <w:color w:val="000000"/>
          <w:sz w:val="24"/>
        </w:rPr>
        <w:t xml:space="preserve">Fisher, A., Rudin, C., &amp; Dominici, F. (2019). All models are wrong, but many are useful: Learning a variable's importance by studying an entire class of prediction models simultaneously. </w:t>
      </w:r>
      <w:r>
        <w:rPr>
          <w:rFonts w:ascii="Times New Roman" w:hAnsi="Times New Roman" w:eastAsia="Times New Roman"/>
          <w:i/>
          <w:color w:val="000000"/>
          <w:sz w:val="24"/>
        </w:rPr>
        <w:t>Journal of Machine Learning Research, 20</w:t>
      </w:r>
      <w:r>
        <w:rPr>
          <w:rFonts w:ascii="Times New Roman" w:hAnsi="Times New Roman" w:eastAsia="Times New Roman"/>
          <w:color w:val="000000"/>
          <w:sz w:val="24"/>
        </w:rPr>
        <w:t>(177), 1–81. https://jmlr.org/papers/v20/18-760.html</w:t>
      </w:r>
    </w:p>
    <w:p>
      <w:pPr>
        <w:spacing w:before="0" w:after="120" w:lineRule="auto" w:line="276"/>
        <w:ind w:left="720" w:hanging="720"/>
      </w:pPr>
      <w:r>
        <w:rPr>
          <w:rFonts w:ascii="Times New Roman" w:hAnsi="Times New Roman" w:eastAsia="Times New Roman"/>
          <w:color w:val="000000"/>
          <w:sz w:val="24"/>
        </w:rPr>
        <w:t xml:space="preserve">Friedman, J. H. (2001). Greedy function approximation: A gradient boosting machine. </w:t>
      </w:r>
      <w:r>
        <w:rPr>
          <w:rFonts w:ascii="Times New Roman" w:hAnsi="Times New Roman" w:eastAsia="Times New Roman"/>
          <w:i/>
          <w:color w:val="000000"/>
          <w:sz w:val="24"/>
        </w:rPr>
        <w:t>The Annals of Statistics, 29</w:t>
      </w:r>
      <w:r>
        <w:rPr>
          <w:rFonts w:ascii="Times New Roman" w:hAnsi="Times New Roman" w:eastAsia="Times New Roman"/>
          <w:color w:val="000000"/>
          <w:sz w:val="24"/>
        </w:rPr>
        <w:t>(5), 1189–1232. https://doi.org/10.1214/aos/1013203451</w:t>
      </w:r>
    </w:p>
    <w:p>
      <w:pPr>
        <w:spacing w:before="0" w:after="120" w:lineRule="auto" w:line="276"/>
        <w:ind w:left="720" w:hanging="720"/>
      </w:pPr>
      <w:r>
        <w:rPr>
          <w:rFonts w:ascii="Times New Roman" w:hAnsi="Times New Roman" w:eastAsia="Times New Roman"/>
          <w:color w:val="000000"/>
          <w:sz w:val="24"/>
        </w:rPr>
        <w:t xml:space="preserve">Gorishniy, Y., Kotelnikov, A., &amp; Babenko, A. (2025). TabM: Advancing tabular deep learning with parameter-efficient ensembling. </w:t>
      </w:r>
      <w:r>
        <w:rPr>
          <w:rFonts w:ascii="Times New Roman" w:hAnsi="Times New Roman" w:eastAsia="Times New Roman"/>
          <w:i/>
          <w:color w:val="000000"/>
          <w:sz w:val="24"/>
        </w:rPr>
        <w:t>The Thirteenth International Conference on Learning Representations</w:t>
      </w:r>
      <w:r>
        <w:rPr>
          <w:rFonts w:ascii="Times New Roman" w:hAnsi="Times New Roman" w:eastAsia="Times New Roman"/>
          <w:color w:val="000000"/>
          <w:sz w:val="24"/>
        </w:rPr>
        <w:t>. https://proceedings.iclr.cc/paper_files/paper/2025/hash/c1ba41c694834aeef91ae161711d4939-Abstract-Conference.html</w:t>
      </w:r>
    </w:p>
    <w:p>
      <w:pPr>
        <w:spacing w:before="0" w:after="120" w:lineRule="auto" w:line="276"/>
        <w:ind w:left="720" w:hanging="720"/>
      </w:pPr>
      <w:r>
        <w:rPr>
          <w:rFonts w:ascii="Times New Roman" w:hAnsi="Times New Roman" w:eastAsia="Times New Roman"/>
          <w:color w:val="000000"/>
          <w:sz w:val="24"/>
        </w:rPr>
        <w:t xml:space="preserve">Gorishniy, Y., Rubachev, I., Khrulkov, V., &amp; Babenko, A. (2021). Revisiting deep learning models for tabular data. </w:t>
      </w:r>
      <w:r>
        <w:rPr>
          <w:rFonts w:ascii="Times New Roman" w:hAnsi="Times New Roman" w:eastAsia="Times New Roman"/>
          <w:i/>
          <w:color w:val="000000"/>
          <w:sz w:val="24"/>
        </w:rPr>
        <w:t>Advances in Neural Information Processing Systems, 34</w:t>
      </w:r>
      <w:r>
        <w:rPr>
          <w:rFonts w:ascii="Times New Roman" w:hAnsi="Times New Roman" w:eastAsia="Times New Roman"/>
          <w:color w:val="000000"/>
          <w:sz w:val="24"/>
        </w:rPr>
        <w:t>, 18932–18943. https://proceedings.neurips.cc/paper_files/paper/2021/hash/9d86d83f925f2149e9edb0ac3b49229c-Abstract.html</w:t>
      </w:r>
    </w:p>
    <w:p>
      <w:pPr>
        <w:spacing w:before="0" w:after="120" w:lineRule="auto" w:line="276"/>
        <w:ind w:left="720" w:hanging="720"/>
      </w:pPr>
      <w:r>
        <w:rPr>
          <w:rFonts w:ascii="Times New Roman" w:hAnsi="Times New Roman" w:eastAsia="Times New Roman"/>
          <w:color w:val="000000"/>
          <w:sz w:val="24"/>
        </w:rPr>
        <w:t xml:space="preserve">Harris, C. R., Millman, K. J., van der Walt, S. J., et al. (2020). Array programming with NumPy. </w:t>
      </w:r>
      <w:r>
        <w:rPr>
          <w:rFonts w:ascii="Times New Roman" w:hAnsi="Times New Roman" w:eastAsia="Times New Roman"/>
          <w:i/>
          <w:color w:val="000000"/>
          <w:sz w:val="24"/>
        </w:rPr>
        <w:t>Nature, 585</w:t>
      </w:r>
      <w:r>
        <w:rPr>
          <w:rFonts w:ascii="Times New Roman" w:hAnsi="Times New Roman" w:eastAsia="Times New Roman"/>
          <w:color w:val="000000"/>
          <w:sz w:val="24"/>
        </w:rPr>
        <w:t>, 357–362. https://doi.org/10.1038/s41586-020-2649-2</w:t>
      </w:r>
    </w:p>
    <w:p>
      <w:pPr>
        <w:spacing w:before="0" w:after="120" w:lineRule="auto" w:line="276"/>
        <w:ind w:left="720" w:hanging="720"/>
      </w:pPr>
      <w:r>
        <w:rPr>
          <w:rFonts w:ascii="Times New Roman" w:hAnsi="Times New Roman" w:eastAsia="Times New Roman"/>
          <w:color w:val="000000"/>
          <w:sz w:val="24"/>
        </w:rPr>
        <w:t xml:space="preserve">Hoerl, A. E., &amp; Kennard, R. W. (1970). Ridge regression: Biased estimation for nonorthogonal problems. </w:t>
      </w:r>
      <w:r>
        <w:rPr>
          <w:rFonts w:ascii="Times New Roman" w:hAnsi="Times New Roman" w:eastAsia="Times New Roman"/>
          <w:i/>
          <w:color w:val="000000"/>
          <w:sz w:val="24"/>
        </w:rPr>
        <w:t>Technometrics, 12</w:t>
      </w:r>
      <w:r>
        <w:rPr>
          <w:rFonts w:ascii="Times New Roman" w:hAnsi="Times New Roman" w:eastAsia="Times New Roman"/>
          <w:color w:val="000000"/>
          <w:sz w:val="24"/>
        </w:rPr>
        <w:t>(1), 55–67. https://doi.org/10.1080/00401706.1970.10488634</w:t>
      </w:r>
    </w:p>
    <w:p>
      <w:pPr>
        <w:spacing w:before="0" w:after="120" w:lineRule="auto" w:line="276"/>
        <w:ind w:left="720" w:hanging="720"/>
      </w:pPr>
      <w:r>
        <w:rPr>
          <w:rFonts w:ascii="Times New Roman" w:hAnsi="Times New Roman" w:eastAsia="Times New Roman"/>
          <w:color w:val="000000"/>
          <w:sz w:val="24"/>
        </w:rPr>
        <w:t xml:space="preserve">Hunter, J. D. (2007). Matplotlib: A 2D graphics environment. </w:t>
      </w:r>
      <w:r>
        <w:rPr>
          <w:rFonts w:ascii="Times New Roman" w:hAnsi="Times New Roman" w:eastAsia="Times New Roman"/>
          <w:i/>
          <w:color w:val="000000"/>
          <w:sz w:val="24"/>
        </w:rPr>
        <w:t>Computing in Science &amp; Engineering, 9</w:t>
      </w:r>
      <w:r>
        <w:rPr>
          <w:rFonts w:ascii="Times New Roman" w:hAnsi="Times New Roman" w:eastAsia="Times New Roman"/>
          <w:color w:val="000000"/>
          <w:sz w:val="24"/>
        </w:rPr>
        <w:t>(3), 90–95. https://doi.org/10.1109/MCSE.2007.55</w:t>
      </w:r>
    </w:p>
    <w:p>
      <w:pPr>
        <w:spacing w:before="0" w:after="120" w:lineRule="auto" w:line="276"/>
        <w:ind w:left="720" w:hanging="720"/>
      </w:pPr>
      <w:r>
        <w:rPr>
          <w:rFonts w:ascii="Times New Roman" w:hAnsi="Times New Roman" w:eastAsia="Times New Roman"/>
          <w:color w:val="000000"/>
          <w:sz w:val="24"/>
        </w:rPr>
        <w:t xml:space="preserve">McKinney, W. (2010). Data structures for statistical computing in Python. In </w:t>
      </w:r>
      <w:r>
        <w:rPr>
          <w:rFonts w:ascii="Times New Roman" w:hAnsi="Times New Roman" w:eastAsia="Times New Roman"/>
          <w:i/>
          <w:color w:val="000000"/>
          <w:sz w:val="24"/>
        </w:rPr>
        <w:t>Proceedings of the 9th Python in Science Conference</w:t>
      </w:r>
      <w:r>
        <w:rPr>
          <w:rFonts w:ascii="Times New Roman" w:hAnsi="Times New Roman" w:eastAsia="Times New Roman"/>
          <w:color w:val="000000"/>
          <w:sz w:val="24"/>
        </w:rPr>
        <w:t xml:space="preserve"> (pp. 56–61). https://doi.org/10.25080/Majora-92bf1922-00a</w:t>
      </w:r>
    </w:p>
    <w:p>
      <w:pPr>
        <w:spacing w:before="0" w:after="120" w:lineRule="auto" w:line="276"/>
        <w:ind w:left="720" w:hanging="720"/>
      </w:pPr>
      <w:r>
        <w:rPr>
          <w:rFonts w:ascii="Times New Roman" w:hAnsi="Times New Roman" w:eastAsia="Times New Roman"/>
          <w:color w:val="000000"/>
          <w:sz w:val="24"/>
        </w:rPr>
        <w:t xml:space="preserve">Waskom, M. L. (2021). seaborn: Statistical data visualization. </w:t>
      </w:r>
      <w:r>
        <w:rPr>
          <w:rFonts w:ascii="Times New Roman" w:hAnsi="Times New Roman" w:eastAsia="Times New Roman"/>
          <w:i/>
          <w:color w:val="000000"/>
          <w:sz w:val="24"/>
        </w:rPr>
        <w:t>Journal of Open Source Software, 6</w:t>
      </w:r>
      <w:r>
        <w:rPr>
          <w:rFonts w:ascii="Times New Roman" w:hAnsi="Times New Roman" w:eastAsia="Times New Roman"/>
          <w:color w:val="000000"/>
          <w:sz w:val="24"/>
        </w:rPr>
        <w:t>(60), 3021. https://doi.org/10.21105/joss.03021</w:t>
      </w:r>
    </w:p>
    <w:p>
      <w:pPr>
        <w:spacing w:before="0" w:after="120" w:lineRule="auto" w:line="276"/>
        <w:ind w:left="720" w:hanging="720"/>
      </w:pPr>
      <w:r>
        <w:rPr>
          <w:rFonts w:ascii="Times New Roman" w:hAnsi="Times New Roman" w:eastAsia="Times New Roman"/>
          <w:color w:val="000000"/>
          <w:sz w:val="24"/>
        </w:rPr>
        <w:t xml:space="preserve">Abbas, M., Jam, F. A., &amp; Khan, T. I. (2024). Is it harmful or helpful? Examining the causes and consequences of generative AI usage among university students. </w:t>
      </w:r>
      <w:r>
        <w:rPr>
          <w:rFonts w:ascii="Times New Roman" w:hAnsi="Times New Roman" w:eastAsia="Times New Roman"/>
          <w:i/>
          <w:color w:val="000000"/>
          <w:sz w:val="24"/>
        </w:rPr>
        <w:t>International Journal of Educational Technology in Higher Education, 21</w:t>
      </w:r>
      <w:r>
        <w:rPr>
          <w:rFonts w:ascii="Times New Roman" w:hAnsi="Times New Roman" w:eastAsia="Times New Roman"/>
          <w:color w:val="000000"/>
          <w:sz w:val="24"/>
        </w:rPr>
        <w:t>(1), Article 10. https://doi.org/10.1186/s41239-024-00444-7</w:t>
      </w:r>
    </w:p>
    <w:p>
      <w:pPr>
        <w:spacing w:before="0" w:after="120" w:lineRule="auto" w:line="276"/>
        <w:ind w:left="720" w:hanging="720"/>
      </w:pPr>
      <w:r>
        <w:rPr>
          <w:rFonts w:ascii="Times New Roman" w:hAnsi="Times New Roman" w:eastAsia="Times New Roman"/>
          <w:color w:val="000000"/>
          <w:sz w:val="24"/>
        </w:rPr>
        <w:t xml:space="preserve">Alyahyan, E., &amp; Düştegör, D. (2020). Predicting academic success in higher education: Literature review and best practices. </w:t>
      </w:r>
      <w:r>
        <w:rPr>
          <w:rFonts w:ascii="Times New Roman" w:hAnsi="Times New Roman" w:eastAsia="Times New Roman"/>
          <w:i/>
          <w:color w:val="000000"/>
          <w:sz w:val="24"/>
        </w:rPr>
        <w:t>International Journal of Educational Technology in Higher Education, 17</w:t>
      </w:r>
      <w:r>
        <w:rPr>
          <w:rFonts w:ascii="Times New Roman" w:hAnsi="Times New Roman" w:eastAsia="Times New Roman"/>
          <w:color w:val="000000"/>
          <w:sz w:val="24"/>
        </w:rPr>
        <w:t>(1), Article 3. https://doi.org/10.1186/s41239-020-0177-7</w:t>
      </w:r>
    </w:p>
    <w:p>
      <w:pPr>
        <w:spacing w:before="0" w:after="120" w:lineRule="auto" w:line="276"/>
        <w:ind w:left="720" w:hanging="720"/>
      </w:pPr>
      <w:r>
        <w:rPr>
          <w:rFonts w:ascii="Times New Roman" w:hAnsi="Times New Roman" w:eastAsia="Times New Roman"/>
          <w:color w:val="000000"/>
          <w:sz w:val="24"/>
        </w:rPr>
        <w:t xml:space="preserve">Crompton, H., &amp; Burke, D. (2023). Artificial intelligence in higher education: The state of the field. </w:t>
      </w:r>
      <w:r>
        <w:rPr>
          <w:rFonts w:ascii="Times New Roman" w:hAnsi="Times New Roman" w:eastAsia="Times New Roman"/>
          <w:i/>
          <w:color w:val="000000"/>
          <w:sz w:val="24"/>
        </w:rPr>
        <w:t>International Journal of Educational Technology in Higher Education, 20</w:t>
      </w:r>
      <w:r>
        <w:rPr>
          <w:rFonts w:ascii="Times New Roman" w:hAnsi="Times New Roman" w:eastAsia="Times New Roman"/>
          <w:color w:val="000000"/>
          <w:sz w:val="24"/>
        </w:rPr>
        <w:t>(1), Article 22. https://doi.org/10.1186/s41239-023-00392-8</w:t>
      </w:r>
    </w:p>
    <w:p>
      <w:pPr>
        <w:spacing w:before="0" w:after="120" w:lineRule="auto" w:line="276"/>
        <w:ind w:left="720" w:hanging="720"/>
      </w:pPr>
      <w:r>
        <w:rPr>
          <w:rFonts w:ascii="Times New Roman" w:hAnsi="Times New Roman" w:eastAsia="Times New Roman"/>
          <w:color w:val="000000"/>
          <w:sz w:val="24"/>
        </w:rPr>
        <w:t xml:space="preserve">Hellas, A., Ihantola, P., Petersen, A., Ajanovski, V. V., Gutica, M., Hynninen, T., Knutas, A., Leinonen, J., Messom, C., &amp; Liao, S. N. (2018). Predicting academic performance: A systematic literature review. In </w:t>
      </w:r>
      <w:r>
        <w:rPr>
          <w:rFonts w:ascii="Times New Roman" w:hAnsi="Times New Roman" w:eastAsia="Times New Roman"/>
          <w:i/>
          <w:color w:val="000000"/>
          <w:sz w:val="24"/>
        </w:rPr>
        <w:t xml:space="preserve">Proceedings companion of the 23rd annual ACM </w:t>
      </w:r>
      <w:r>
        <w:rPr>
          <w:rFonts w:ascii="Times New Roman" w:hAnsi="Times New Roman" w:eastAsia="Times New Roman"/>
          <w:i/>
          <w:color w:val="000000"/>
          <w:sz w:val="24"/>
        </w:rPr>
        <w:t>conference on innovation and technology in computer science education</w:t>
      </w:r>
      <w:r>
        <w:rPr>
          <w:rFonts w:ascii="Times New Roman" w:hAnsi="Times New Roman" w:eastAsia="Times New Roman"/>
          <w:color w:val="000000"/>
          <w:sz w:val="24"/>
        </w:rPr>
        <w:t xml:space="preserve"> (pp. 175–199). ACM. https://doi.org/10.1145/3293881.3295783</w:t>
      </w:r>
    </w:p>
    <w:p>
      <w:pPr>
        <w:spacing w:before="0" w:after="120" w:lineRule="auto" w:line="276"/>
        <w:ind w:left="720" w:hanging="720"/>
      </w:pPr>
      <w:r>
        <w:rPr>
          <w:rFonts w:ascii="Times New Roman" w:hAnsi="Times New Roman" w:eastAsia="Times New Roman"/>
          <w:color w:val="000000"/>
          <w:sz w:val="24"/>
        </w:rPr>
        <w:t xml:space="preserve">Kasneci, E., Sessler, K., Küchemann, S., Bannert, M., Dementieva, D., Fischer, F., Gasser, U., Groh, G., Günnemann, S., Hüllermeier, E., Krusche, S., Kutyniok, G., Michaeli, T., Nerdel, C., Pfeffer, J., Poquet, O., Sailer, M., Schmidt, A., Seidel, T., . . . Kasneci, G. (2023). ChatGPT for good? On opportunities and challenges of large language models for education. </w:t>
      </w:r>
      <w:r>
        <w:rPr>
          <w:rFonts w:ascii="Times New Roman" w:hAnsi="Times New Roman" w:eastAsia="Times New Roman"/>
          <w:i/>
          <w:color w:val="000000"/>
          <w:sz w:val="24"/>
        </w:rPr>
        <w:t>Learning and Individual Differences, 103</w:t>
      </w:r>
      <w:r>
        <w:rPr>
          <w:rFonts w:ascii="Times New Roman" w:hAnsi="Times New Roman" w:eastAsia="Times New Roman"/>
          <w:color w:val="000000"/>
          <w:sz w:val="24"/>
        </w:rPr>
        <w:t>, 102274. https://doi.org/10.1016/j.lindif.2023.102274</w:t>
      </w:r>
    </w:p>
    <w:p>
      <w:pPr>
        <w:spacing w:before="0" w:after="120" w:lineRule="auto" w:line="276"/>
        <w:ind w:left="720" w:hanging="720"/>
      </w:pPr>
      <w:r>
        <w:rPr>
          <w:rFonts w:ascii="Times New Roman" w:hAnsi="Times New Roman" w:eastAsia="Times New Roman"/>
          <w:color w:val="000000"/>
          <w:sz w:val="24"/>
        </w:rPr>
        <w:t xml:space="preserve">Laupichler, M. C., Aster, A., Schirch, J., &amp; Raupach, T. (2022). Artificial intelligence literacy in higher and adult education: A scoping literature review. </w:t>
      </w:r>
      <w:r>
        <w:rPr>
          <w:rFonts w:ascii="Times New Roman" w:hAnsi="Times New Roman" w:eastAsia="Times New Roman"/>
          <w:i/>
          <w:color w:val="000000"/>
          <w:sz w:val="24"/>
        </w:rPr>
        <w:t>Computers and Education: Artificial Intelligence, 3</w:t>
      </w:r>
      <w:r>
        <w:rPr>
          <w:rFonts w:ascii="Times New Roman" w:hAnsi="Times New Roman" w:eastAsia="Times New Roman"/>
          <w:color w:val="000000"/>
          <w:sz w:val="24"/>
        </w:rPr>
        <w:t>, 100101. https://doi.org/10.1016/j.caeai.2022.100101</w:t>
      </w:r>
    </w:p>
    <w:p>
      <w:pPr>
        <w:spacing w:before="0" w:after="120" w:lineRule="auto" w:line="276"/>
        <w:ind w:left="720" w:hanging="720"/>
      </w:pPr>
      <w:r>
        <w:rPr>
          <w:rFonts w:ascii="Times New Roman" w:hAnsi="Times New Roman" w:eastAsia="Times New Roman"/>
          <w:color w:val="000000"/>
          <w:sz w:val="24"/>
        </w:rPr>
        <w:t xml:space="preserve">Lee, D., &amp; Palmer, E. (2025). Prompt engineering in higher education: A systematic review to help inform curricula. </w:t>
      </w:r>
      <w:r>
        <w:rPr>
          <w:rFonts w:ascii="Times New Roman" w:hAnsi="Times New Roman" w:eastAsia="Times New Roman"/>
          <w:i/>
          <w:color w:val="000000"/>
          <w:sz w:val="24"/>
        </w:rPr>
        <w:t>International Journal of Educational Technology in Higher Education, 22</w:t>
      </w:r>
      <w:r>
        <w:rPr>
          <w:rFonts w:ascii="Times New Roman" w:hAnsi="Times New Roman" w:eastAsia="Times New Roman"/>
          <w:color w:val="000000"/>
          <w:sz w:val="24"/>
        </w:rPr>
        <w:t>(1), Article 7. https://doi.org/10.1186/s41239-025-00503-7</w:t>
      </w:r>
    </w:p>
    <w:p>
      <w:pPr>
        <w:spacing w:before="0" w:after="120" w:lineRule="auto" w:line="276"/>
        <w:ind w:left="720" w:hanging="720"/>
      </w:pPr>
      <w:r>
        <w:rPr>
          <w:rFonts w:ascii="Times New Roman" w:hAnsi="Times New Roman" w:eastAsia="Times New Roman"/>
          <w:color w:val="000000"/>
          <w:sz w:val="24"/>
        </w:rPr>
        <w:t xml:space="preserve">Lo, C. K. (2023). What is the impact of ChatGPT on education? A rapid review of the literature. </w:t>
      </w:r>
      <w:r>
        <w:rPr>
          <w:rFonts w:ascii="Times New Roman" w:hAnsi="Times New Roman" w:eastAsia="Times New Roman"/>
          <w:i/>
          <w:color w:val="000000"/>
          <w:sz w:val="24"/>
        </w:rPr>
        <w:t>Education Sciences, 13</w:t>
      </w:r>
      <w:r>
        <w:rPr>
          <w:rFonts w:ascii="Times New Roman" w:hAnsi="Times New Roman" w:eastAsia="Times New Roman"/>
          <w:color w:val="000000"/>
          <w:sz w:val="24"/>
        </w:rPr>
        <w:t>(4), 410. https://doi.org/10.3390/educsci13040410</w:t>
      </w:r>
    </w:p>
    <w:p>
      <w:pPr>
        <w:spacing w:before="0" w:after="120" w:lineRule="auto" w:line="276"/>
        <w:ind w:left="720" w:hanging="720"/>
      </w:pPr>
      <w:r>
        <w:rPr>
          <w:rFonts w:ascii="Times New Roman" w:hAnsi="Times New Roman" w:eastAsia="Times New Roman"/>
          <w:color w:val="000000"/>
          <w:sz w:val="24"/>
        </w:rPr>
        <w:t xml:space="preserve">Molerov, D., Federiakin, D., Zlatkin-Troitschanskaia, O., Shenavai, K., Trierweiler, L., &amp; Nagel, M.-T. (2026). The relationship between AI-chatbots use, student assessment performance and learning outcomes in higher education. </w:t>
      </w:r>
      <w:r>
        <w:rPr>
          <w:rFonts w:ascii="Times New Roman" w:hAnsi="Times New Roman" w:eastAsia="Times New Roman"/>
          <w:i/>
          <w:color w:val="000000"/>
          <w:sz w:val="24"/>
        </w:rPr>
        <w:t>Unterrichtswissenschaft</w:t>
      </w:r>
      <w:r>
        <w:rPr>
          <w:rFonts w:ascii="Times New Roman" w:hAnsi="Times New Roman" w:eastAsia="Times New Roman"/>
          <w:color w:val="000000"/>
          <w:sz w:val="24"/>
        </w:rPr>
        <w:t>. Advance online publication. https://doi.org/10.1007/s42010-026-00242-2</w:t>
      </w:r>
    </w:p>
    <w:p>
      <w:pPr>
        <w:spacing w:before="0" w:after="120" w:lineRule="auto" w:line="276"/>
        <w:ind w:left="720" w:hanging="720"/>
      </w:pPr>
      <w:r>
        <w:rPr>
          <w:rFonts w:ascii="Times New Roman" w:hAnsi="Times New Roman" w:eastAsia="Times New Roman"/>
          <w:color w:val="000000"/>
          <w:sz w:val="24"/>
        </w:rPr>
        <w:t xml:space="preserve">Nagi sisiro. (2026). </w:t>
      </w:r>
      <w:r>
        <w:rPr>
          <w:rFonts w:ascii="Times New Roman" w:hAnsi="Times New Roman" w:eastAsia="Times New Roman"/>
          <w:i/>
          <w:color w:val="000000"/>
          <w:sz w:val="24"/>
        </w:rPr>
        <w:t>Impact of Ai on Students</w:t>
      </w:r>
      <w:r>
        <w:rPr>
          <w:rFonts w:ascii="Times New Roman" w:hAnsi="Times New Roman" w:eastAsia="Times New Roman"/>
          <w:color w:val="000000"/>
          <w:sz w:val="24"/>
        </w:rPr>
        <w:t xml:space="preserve"> [Data set]. Kaggle. https://www.kaggle.com/datasets/laveshjadon/ai-impact-on-students</w:t>
      </w:r>
    </w:p>
    <w:p>
      <w:pPr>
        <w:spacing w:before="0" w:after="120" w:lineRule="auto" w:line="276"/>
        <w:ind w:left="720" w:hanging="720"/>
      </w:pPr>
      <w:r>
        <w:rPr>
          <w:rFonts w:ascii="Times New Roman" w:hAnsi="Times New Roman" w:eastAsia="Times New Roman"/>
          <w:color w:val="000000"/>
          <w:sz w:val="24"/>
        </w:rPr>
        <w:t xml:space="preserve">Ng, D. T. K., Leung, J. K. L., Chu, S. K. W., &amp; Qiao, M. S. (2021). Conceptualizing AI literacy: An exploratory review. </w:t>
      </w:r>
      <w:r>
        <w:rPr>
          <w:rFonts w:ascii="Times New Roman" w:hAnsi="Times New Roman" w:eastAsia="Times New Roman"/>
          <w:i/>
          <w:color w:val="000000"/>
          <w:sz w:val="24"/>
        </w:rPr>
        <w:t>Computers and Education: Artificial Intelligence, 2</w:t>
      </w:r>
      <w:r>
        <w:rPr>
          <w:rFonts w:ascii="Times New Roman" w:hAnsi="Times New Roman" w:eastAsia="Times New Roman"/>
          <w:color w:val="000000"/>
          <w:sz w:val="24"/>
        </w:rPr>
        <w:t>, 100041. https://doi.org/10.1016/j.caeai.2021.100041</w:t>
      </w:r>
    </w:p>
    <w:p>
      <w:pPr>
        <w:spacing w:before="0" w:after="120" w:lineRule="auto" w:line="276"/>
        <w:ind w:left="720" w:hanging="720"/>
      </w:pPr>
      <w:r>
        <w:rPr>
          <w:rFonts w:ascii="Times New Roman" w:hAnsi="Times New Roman" w:eastAsia="Times New Roman"/>
          <w:color w:val="000000"/>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eastAsia="Times New Roman"/>
          <w:i/>
          <w:color w:val="000000"/>
          <w:sz w:val="24"/>
        </w:rPr>
        <w:t>Journal of Machine Learning Research, 12</w:t>
      </w:r>
      <w:r>
        <w:rPr>
          <w:rFonts w:ascii="Times New Roman" w:hAnsi="Times New Roman" w:eastAsia="Times New Roman"/>
          <w:color w:val="000000"/>
          <w:sz w:val="24"/>
        </w:rPr>
        <w:t>, 2825–2830. https://jmlr.org/papers/v12/pedregosa11a.html</w:t>
      </w:r>
    </w:p>
    <w:p>
      <w:pPr>
        <w:spacing w:before="0" w:after="120" w:lineRule="auto" w:line="276"/>
        <w:ind w:left="720" w:hanging="720"/>
      </w:pPr>
      <w:r>
        <w:rPr>
          <w:rFonts w:ascii="Times New Roman" w:hAnsi="Times New Roman" w:eastAsia="Times New Roman"/>
          <w:color w:val="000000"/>
          <w:sz w:val="24"/>
        </w:rPr>
        <w:t xml:space="preserve">Probst, P., Wright, M. N., &amp; Boulesteix, A.-L. (2019). Hyperparameters and tuning strategies for random forest. </w:t>
      </w:r>
      <w:r>
        <w:rPr>
          <w:rFonts w:ascii="Times New Roman" w:hAnsi="Times New Roman" w:eastAsia="Times New Roman"/>
          <w:i/>
          <w:color w:val="000000"/>
          <w:sz w:val="24"/>
        </w:rPr>
        <w:t>WIREs Data Mining and Knowledge Discovery, 9</w:t>
      </w:r>
      <w:r>
        <w:rPr>
          <w:rFonts w:ascii="Times New Roman" w:hAnsi="Times New Roman" w:eastAsia="Times New Roman"/>
          <w:color w:val="000000"/>
          <w:sz w:val="24"/>
        </w:rPr>
        <w:t>(3), e1301. https://doi.org/10.1002/widm.1301</w:t>
      </w:r>
    </w:p>
    <w:p>
      <w:pPr>
        <w:spacing w:before="0" w:after="120" w:lineRule="auto" w:line="276"/>
        <w:ind w:left="720" w:hanging="720"/>
      </w:pPr>
      <w:r>
        <w:rPr>
          <w:rFonts w:ascii="Times New Roman" w:hAnsi="Times New Roman" w:eastAsia="Times New Roman"/>
          <w:color w:val="000000"/>
          <w:sz w:val="24"/>
        </w:rPr>
        <w:t xml:space="preserve">Sun, L., &amp; Zhou, L. (2024). Does generative artificial intelligence improve the academic achievement of college students? A meta-analysis. </w:t>
      </w:r>
      <w:r>
        <w:rPr>
          <w:rFonts w:ascii="Times New Roman" w:hAnsi="Times New Roman" w:eastAsia="Times New Roman"/>
          <w:i/>
          <w:color w:val="000000"/>
          <w:sz w:val="24"/>
        </w:rPr>
        <w:t>Journal of Educational Computing Research, 62</w:t>
      </w:r>
      <w:r>
        <w:rPr>
          <w:rFonts w:ascii="Times New Roman" w:hAnsi="Times New Roman" w:eastAsia="Times New Roman"/>
          <w:color w:val="000000"/>
          <w:sz w:val="24"/>
        </w:rPr>
        <w:t>(7), 1676–1713. https://doi.org/10.1177/07356331241277937</w:t>
      </w:r>
    </w:p>
    <w:p>
      <w:pPr>
        <w:spacing w:before="0" w:after="120" w:lineRule="auto" w:line="276"/>
        <w:ind w:left="720" w:hanging="720"/>
      </w:pPr>
      <w:r>
        <w:rPr>
          <w:rFonts w:ascii="Times New Roman" w:hAnsi="Times New Roman" w:eastAsia="Times New Roman"/>
          <w:color w:val="000000"/>
          <w:sz w:val="24"/>
        </w:rPr>
        <w:t xml:space="preserve">Waheed, H., Hassan, S.-U., Aljohani, N. R., Hardman, J., Alelyani, S., &amp; Nawaz, R. (2020). Predicting academic performance of students from VLE big data using deep learning models. </w:t>
      </w:r>
      <w:r>
        <w:rPr>
          <w:rFonts w:ascii="Times New Roman" w:hAnsi="Times New Roman" w:eastAsia="Times New Roman"/>
          <w:i/>
          <w:color w:val="000000"/>
          <w:sz w:val="24"/>
        </w:rPr>
        <w:t>Computers in Human Behavior, 104</w:t>
      </w:r>
      <w:r>
        <w:rPr>
          <w:rFonts w:ascii="Times New Roman" w:hAnsi="Times New Roman" w:eastAsia="Times New Roman"/>
          <w:color w:val="000000"/>
          <w:sz w:val="24"/>
        </w:rPr>
        <w:t>, 106189. https://doi.org/10.1016/j.chb.2019.106189</w:t>
      </w:r>
    </w:p>
    <w:p>
      <w:pPr>
        <w:spacing w:before="0" w:after="120" w:lineRule="auto" w:line="276"/>
        <w:ind w:left="720" w:hanging="720"/>
      </w:pPr>
      <w:r>
        <w:rPr>
          <w:rFonts w:ascii="Times New Roman" w:hAnsi="Times New Roman" w:eastAsia="Times New Roman"/>
          <w:color w:val="000000"/>
          <w:sz w:val="24"/>
        </w:rPr>
        <w:t xml:space="preserve">Yağcı, M. (2022). Educational data mining: Prediction of students' academic performance using machine learning algorithms. </w:t>
      </w:r>
      <w:r>
        <w:rPr>
          <w:rFonts w:ascii="Times New Roman" w:hAnsi="Times New Roman" w:eastAsia="Times New Roman"/>
          <w:i/>
          <w:color w:val="000000"/>
          <w:sz w:val="24"/>
        </w:rPr>
        <w:t>Smart Learning Environments, 9</w:t>
      </w:r>
      <w:r>
        <w:rPr>
          <w:rFonts w:ascii="Times New Roman" w:hAnsi="Times New Roman" w:eastAsia="Times New Roman"/>
          <w:color w:val="000000"/>
          <w:sz w:val="24"/>
        </w:rPr>
        <w:t>(1), Article 11. https://doi.org/10.1186/s40561-022-00192-z</w:t>
      </w:r>
    </w:p>
    <w:p>
      <w:pPr>
        <w:spacing w:before="0" w:after="120" w:lineRule="auto" w:line="276"/>
        <w:ind w:left="720" w:hanging="720"/>
      </w:pPr>
      <w:r>
        <w:rPr>
          <w:rFonts w:ascii="Times New Roman" w:hAnsi="Times New Roman" w:eastAsia="Times New Roman"/>
          <w:color w:val="000000"/>
          <w:sz w:val="24"/>
        </w:rPr>
        <w:t xml:space="preserve">Zawacki-Richter, O., Marín, V. I., Bond, M., &amp; Gouverneur, F. (2019). Systematic review of research on artificial intelligence applications in higher education: Where are the educators? </w:t>
      </w:r>
      <w:r>
        <w:rPr>
          <w:rFonts w:ascii="Times New Roman" w:hAnsi="Times New Roman" w:eastAsia="Times New Roman"/>
          <w:i/>
          <w:color w:val="000000"/>
          <w:sz w:val="24"/>
        </w:rPr>
        <w:t>International Journal of Educational Technology in Higher Education, 16</w:t>
      </w:r>
      <w:r>
        <w:rPr>
          <w:rFonts w:ascii="Times New Roman" w:hAnsi="Times New Roman" w:eastAsia="Times New Roman"/>
          <w:color w:val="000000"/>
          <w:sz w:val="24"/>
        </w:rPr>
        <w:t>(1), Article 39. https://doi.org/10.1186/s41239-019-0171-0</w:t>
      </w:r>
    </w:p>
    <w:p>
      <w:pPr>
        <w:pStyle w:val="Heading1"/>
        <w:keepNext/>
        <w:keepLines/>
      </w:pPr>
      <w:r>
        <w:rPr>
          <w:rFonts w:ascii="Times New Roman" w:hAnsi="Times New Roman" w:eastAsia="Times New Roman"/>
          <w:color w:val="000000"/>
          <w:sz w:val="24"/>
        </w:rPr>
        <w:t>Acknowledgements</w:t>
      </w:r>
    </w:p>
    <w:p>
      <w:pPr>
        <w:spacing w:before="0" w:after="120" w:lineRule="auto" w:line="360"/>
        <w:keepLines/>
      </w:pPr>
      <w:r>
        <w:rPr>
          <w:rFonts w:ascii="Times New Roman" w:hAnsi="Times New Roman" w:eastAsia="Times New Roman"/>
          <w:color w:val="000000"/>
          <w:sz w:val="24"/>
        </w:rPr>
        <w:t xml:space="preserve">The author acknowledges Nagi sisiro for making the </w:t>
      </w:r>
      <w:r>
        <w:rPr>
          <w:rFonts w:ascii="Times New Roman" w:hAnsi="Times New Roman" w:eastAsia="Times New Roman"/>
          <w:color w:val="000000"/>
          <w:sz w:val="24"/>
        </w:rPr>
        <w:t>Impact of AI on Students</w:t>
      </w:r>
      <w:r>
        <w:rPr>
          <w:rFonts w:ascii="Times New Roman" w:hAnsi="Times New Roman" w:eastAsia="Times New Roman"/>
          <w:color w:val="000000"/>
          <w:sz w:val="24"/>
        </w:rPr>
        <w:t xml:space="preserve"> dataset available through Kaggle, the CT046-3-M-AML teaching team for the learning materials, and the open-source contributors to Python, pandas, NumPy, scikit-learn, Matplotlib, seaborn and Jupyter.</w:t>
      </w:r>
    </w:p>
    <w:p>
      <w:pPr>
        <w:spacing w:before="0" w:after="120" w:lineRule="auto" w:line="360"/>
        <w:keepLines/>
      </w:pPr>
      <w:r>
        <w:rPr>
          <w:rFonts w:ascii="Times New Roman" w:hAnsi="Times New Roman" w:eastAsia="Times New Roman"/>
          <w:color w:val="000000"/>
          <w:sz w:val="24"/>
        </w:rPr>
        <w:t>OpenAI Codex was used for literature organisation, code review, language editing and document preparation. The author verified the cited sources, executed model outputs, numerical results, analysis and final wording and remains responsible for the submitted work.</w:t>
      </w:r>
    </w:p>
    <w:sectPr w:rsidR="00575939" w:rsidSect="00034616">
      <w:headerReference w:type="default" r:id="rId32"/>
      <w:footerReference w:type="default" r:id="rId33"/>
      <w:pgSz w:w="11909" w:h="16834"/>
      <w:pgMar w:top="1440" w:right="1440" w:bottom="1440" w:left="2160" w:header="648" w:footer="648" w:gutter="0"/>
      <w:pgNumType w:start="1"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96D61" w14:textId="77777777" w:rsidR="00435053" w:rsidRDefault="00435053">
      <w:pPr>
        <w:spacing w:after="0" w:line="240" w:lineRule="auto"/>
      </w:pPr>
      <w:r>
        <w:separator/>
      </w:r>
    </w:p>
  </w:endnote>
  <w:endnote w:type="continuationSeparator" w:id="0">
    <w:p w14:paraId="2071C9B0" w14:textId="77777777" w:rsidR="00435053" w:rsidRDefault="0043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0034" w14:textId="77777777" w:rsidR="00575939" w:rsidRDefault="005759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10FB" w14:textId="77777777" w:rsidR="00575939" w:rsidRDefault="00000000">
    <w:pPr>
      <w:pStyle w:val="Footer"/>
      <w:jc w:val="center"/>
    </w:pPr>
    <w:r>
      <w:rPr>
        <w:rFonts w:eastAsia="Times New Roman" w:cs="Times New Roman"/>
        <w:sz w:val="18"/>
      </w:rPr>
      <w:fldChar w:fldCharType="begin"/>
    </w:r>
    <w:r>
      <w:rPr>
        <w:rFonts w:eastAsia="Times New Roman" w:cs="Times New Roman"/>
        <w:sz w:val="18"/>
      </w:rPr>
      <w:instrText>PAGE</w:instrText>
    </w:r>
    <w:r>
      <w:rPr>
        <w:rFonts w:eastAsia="Times New Roman" w:cs="Times New Roman"/>
        <w:sz w:val="18"/>
      </w:rPr>
      <w:fldChar w:fldCharType="separate"/>
    </w:r>
    <w:r>
      <w:rPr>
        <w:rFonts w:eastAsia="Times New Roman" w:cs="Times New Roman"/>
        <w:sz w:val="18"/>
      </w:rPr>
      <w:t>1</w:t>
    </w:r>
    <w:r>
      <w:rPr>
        <w:rFonts w:eastAsia="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71AE" w14:textId="77777777" w:rsidR="00575939" w:rsidRDefault="00000000">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86246" w14:textId="77777777" w:rsidR="00435053" w:rsidRDefault="00435053">
      <w:pPr>
        <w:spacing w:after="0" w:line="240" w:lineRule="auto"/>
      </w:pPr>
      <w:r>
        <w:separator/>
      </w:r>
    </w:p>
  </w:footnote>
  <w:footnote w:type="continuationSeparator" w:id="0">
    <w:p w14:paraId="17887DC2" w14:textId="77777777" w:rsidR="00435053" w:rsidRDefault="00435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70AE" w14:textId="77777777" w:rsidR="00575939" w:rsidRDefault="005759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C6989" w14:textId="77777777" w:rsidR="00575939" w:rsidRDefault="00575939">
    <w:pPr>
      <w:pStyle w:val="Heade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154"/>
      <w:gridCol w:w="4154"/>
    </w:tblGrid>
    <w:tr w:rsidR="00575939" w14:paraId="2DF97E45" w14:textId="77777777">
      <w:trPr>
        <w:tblHeader w:val="true"/>
      </w:trPr>
      <w:tc>
        <w:tcPr>
          <w:tcW w:w="4154" w:type="dxa"/>
          <w:tcMar>
            <w:top w:w="0" w:type="dxa"/>
            <w:left w:w="0" w:type="dxa"/>
            <w:bottom w:w="0" w:type="dxa"/>
            <w:right w:w="0" w:type="dxa"/>
          </w:tcMar>
        </w:tcPr>
        <w:p w14:paraId="347990F3" w14:textId="77777777" w:rsidR="00575939" w:rsidRDefault="00000000">
          <w:pPr>
            <w:jc w:val="left"/>
          </w:pPr>
          <w:r>
            <w:rPr>
              <w:rFonts w:eastAsia="Times New Roman" w:cs="Times New Roman"/>
              <w:color w:val="777777"/>
              <w:sz w:val="18"/>
            </w:rPr>
            <w:t>CT046-3-M-AML</w:t>
          </w:r>
        </w:p>
      </w:tc>
      <w:tc>
        <w:tcPr>
          <w:tcW w:w="4154" w:type="dxa"/>
          <w:tcMar>
            <w:top w:w="0" w:type="dxa"/>
            <w:left w:w="0" w:type="dxa"/>
            <w:bottom w:w="0" w:type="dxa"/>
            <w:right w:w="0" w:type="dxa"/>
          </w:tcMar>
        </w:tcPr>
        <w:p w14:paraId="36BA8E7F" w14:textId="77777777" w:rsidR="00575939" w:rsidRDefault="00000000">
          <w:pPr>
            <w:jc w:val="right"/>
          </w:pPr>
          <w:r>
            <w:rPr>
              <w:rFonts w:eastAsia="Times New Roman" w:cs="Times New Roman"/>
              <w:color w:val="777777"/>
              <w:sz w:val="18"/>
            </w:rPr>
            <w:t>Applied Machine Learning</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B82CC" w14:textId="77777777" w:rsidR="00575939" w:rsidRDefault="00575939">
    <w:pPr>
      <w:pStyle w:val="Header"/>
      <w:tabs>
        <w:tab w:pos="8309" w:val="right"/>
      </w:tabs>
      <w:spacing w:before="0" w:after="0" w:lineRule="auto" w:line="240"/>
      <w:jc w:val="left"/>
    </w:pPr>
    <w:r>
      <w:rPr>
        <w:rFonts w:ascii="Times New Roman" w:hAnsi="Times New Roman" w:eastAsia="Times New Roman"/>
        <w:color w:val="000000"/>
        <w:sz w:val="20"/>
      </w:rPr>
    </w:r>
    <w:r>
      <w:rPr>
        <w:rFonts w:ascii="Times New Roman" w:hAnsi="Times New Roman" w:eastAsia="Times New Roman"/>
        <w:color w:val="000000"/>
        <w:sz w:val="20"/>
      </w:rPr>
      <w:tab/>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309"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Applied Machine Learning</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309"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GPA Change Prediction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647926">
    <w:abstractNumId w:val="8"/>
  </w:num>
  <w:num w:numId="2" w16cid:durableId="860702007">
    <w:abstractNumId w:val="6"/>
  </w:num>
  <w:num w:numId="3" w16cid:durableId="1048065047">
    <w:abstractNumId w:val="5"/>
  </w:num>
  <w:num w:numId="4" w16cid:durableId="1297223398">
    <w:abstractNumId w:val="4"/>
  </w:num>
  <w:num w:numId="5" w16cid:durableId="1662196843">
    <w:abstractNumId w:val="7"/>
  </w:num>
  <w:num w:numId="6" w16cid:durableId="326910758">
    <w:abstractNumId w:val="3"/>
  </w:num>
  <w:num w:numId="7" w16cid:durableId="1573855215">
    <w:abstractNumId w:val="2"/>
  </w:num>
  <w:num w:numId="8" w16cid:durableId="1465781010">
    <w:abstractNumId w:val="1"/>
  </w:num>
  <w:num w:numId="9" w16cid:durableId="106209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C2F"/>
    <w:rsid w:val="0029639D"/>
    <w:rsid w:val="00326F90"/>
    <w:rsid w:val="00435053"/>
    <w:rsid w:val="00575939"/>
    <w:rsid w:val="00AA1D8D"/>
    <w:rsid w:val="00B47730"/>
    <w:rsid w:val="00CB0664"/>
    <w:rsid w:val="00E12C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03DC7"/>
  <w14:defaultImageDpi w14:val="300"/>
  <w15:docId w15:val="{5462F7A5-002F-4F1B-A414-1429EA5A436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pageBreakBefore/>
      <w:spacing w:after="160" w:line="240" w:lineRule="auto" w:before="240"/>
      <w:ind w:firstLine="0"/>
      <w:outlineLvl w:val="0"/>
    </w:pPr>
    <w:rPr>
      <w:rFonts w:asciiTheme="majorHAnsi" w:eastAsiaTheme="majorEastAsia" w:hAnsiTheme="majorHAnsi" w:cstheme="majorBidi" w:ascii="Times New Roman" w:hAnsi="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ind w:firstLine="0"/>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80" w:after="120" w:line="276" w:lineRule="auto"/>
      <w:ind w:firstLine="0"/>
      <w:jc w:val="center"/>
    </w:pPr>
    <w:rPr>
      <w:rFonts w:ascii="Times New Roman" w:hAnsi="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20"/>
      <w:ind w:left="720" w:hanging="720"/>
    </w:pPr>
    <w:rPr>
      <w:rFonts w:ascii="Times New Roman" w:hAnsi="Times New Roman"/>
    </w:rPr>
  </w:style>
  <w:style w:type="paragraph" w:customStyle="1" w:styleId="TOC11">
    <w:name w:val="TOC 11"/>
    <w:pPr>
      <w:spacing w:after="40" w:line="240" w:lineRule="auto"/>
    </w:pPr>
    <w:rPr>
      <w:rFonts w:ascii="Times New Roman" w:hAnsi="Times New Roman"/>
      <w:color w:val="000000"/>
    </w:rPr>
  </w:style>
  <w:style w:type="paragraph" w:customStyle="1" w:styleId="TOC21">
    <w:name w:val="TOC 21"/>
    <w:pPr>
      <w:spacing w:after="40" w:line="240" w:lineRule="auto"/>
      <w:ind w:left="360"/>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4.xml"/><Relationship Id="rId28" Type="http://schemas.openxmlformats.org/officeDocument/2006/relationships/footer" Target="footer4.xml"/><Relationship Id="rId29" Type="http://schemas.openxmlformats.org/officeDocument/2006/relationships/image" Target="media/image12.png"/><Relationship Id="rId30" Type="http://schemas.openxmlformats.org/officeDocument/2006/relationships/header" Target="header5.xml"/><Relationship Id="rId31" Type="http://schemas.openxmlformats.org/officeDocument/2006/relationships/footer" Target="footer5.xml"/><Relationship Id="rId32" Type="http://schemas.openxmlformats.org/officeDocument/2006/relationships/header" Target="header6.xml"/><Relationship Id="rId33" Type="http://schemas.openxmlformats.org/officeDocument/2006/relationships/footer" Target="footer6.xml"/><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header" Target="header7.xml"/><Relationship Id="rId4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10151</Words>
  <Characters>57866</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Semester GPA Change from Student Context and Generative AI Use: A Comparative Machine Learning Study</dc:title>
  <dc:subject>Comparative machine learning study of semester GPA change</dc:subject>
  <dc:creator>Tanjim Noor</dc:creator>
  <cp:keywords>Applied Machine Learning, GPA change, generative AI, regression, validation</cp:keywords>
  <dc:description>generated by python-docx</dc:description>
  <cp:lastModifiedBy>TANJIM NOOR</cp:lastModifiedBy>
  <cp:revision>2</cp:revision>
  <dcterms:created xsi:type="dcterms:W3CDTF">2013-12-23T23:15:00Z</dcterms:created>
  <dcterms:modified xsi:type="dcterms:W3CDTF">2026-07-19T12:27:00Z</dcterms:modified>
  <cp:category/>
</cp:coreProperties>
</file>