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drawing>
          <wp:inline xmlns:a="http://schemas.openxmlformats.org/drawingml/2006/main" xmlns:pic="http://schemas.openxmlformats.org/drawingml/2006/picture">
            <wp:extent cx="1224000" cy="1224000"/>
            <wp:docPr id="1" name="Picture 1"/>
            <wp:cNvGraphicFramePr>
              <a:graphicFrameLocks noChangeAspect="1"/>
            </wp:cNvGraphicFramePr>
            <a:graphic>
              <a:graphicData uri="http://schemas.openxmlformats.org/drawingml/2006/picture">
                <pic:pic>
                  <pic:nvPicPr>
                    <pic:cNvPr id="0" name="apu_logo_rgb.png"/>
                    <pic:cNvPicPr/>
                  </pic:nvPicPr>
                  <pic:blipFill>
                    <a:blip r:embed="rId11"/>
                    <a:stretch>
                      <a:fillRect/>
                    </a:stretch>
                  </pic:blipFill>
                  <pic:spPr>
                    <a:xfrm>
                      <a:off x="0" y="0"/>
                      <a:ext cx="1224000" cy="1224000"/>
                    </a:xfrm>
                    <a:prstGeom prst="rect"/>
                  </pic:spPr>
                </pic:pic>
              </a:graphicData>
            </a:graphic>
          </wp:inline>
        </w:drawing>
      </w:r>
    </w:p>
    <w:p>
      <w:pPr>
        <w:spacing w:after="200"/>
        <w:jc w:val="center"/>
      </w:pPr>
      <w:r>
        <w:rPr>
          <w:rFonts w:ascii="Times New Roman" w:hAnsi="Times New Roman" w:eastAsia="Times New Roman" w:cs="Times New Roman"/>
          <w:b/>
          <w:sz w:val="28"/>
        </w:rPr>
        <w:t>ASIA PACIFIC UNIVERSITY OF TECHNOLOGY &amp; INNOVATION</w:t>
      </w:r>
    </w:p>
    <w:p>
      <w:pPr>
        <w:spacing w:after="280"/>
        <w:jc w:val="center"/>
      </w:pPr>
      <w:r>
        <w:rPr>
          <w:rFonts w:ascii="Times New Roman" w:hAnsi="Times New Roman" w:eastAsia="Times New Roman" w:cs="Times New Roman"/>
          <w:b/>
          <w:color w:val="D71920"/>
          <w:sz w:val="36"/>
        </w:rPr>
        <w:t>Individual Assignment</w:t>
      </w:r>
    </w:p>
    <w:tbl>
      <w:tblPr>
        <w:tblW w:type="auto" w:w="0"/>
        <w:jc w:val="center"/>
        <w:tblLayout w:type="fixed"/>
        <w:tblLook w:firstColumn="1" w:firstRow="1" w:lastColumn="0" w:lastRow="0" w:noHBand="0" w:noVBand="1" w:val="04A0"/>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2520"/>
        <w:gridCol w:w="5400"/>
      </w:tblGrid>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Module code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CT046-3-M</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Module name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Applied Machine Learning</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Intake code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CSSE___CT046-3-M-AML-L-1___2026-01-26</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Hand-out date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25 May 2026</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Hand-in date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24 July 2026</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Weightage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100%</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Student name</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ENTER STUDENT NAME</w:t>
            </w:r>
          </w:p>
        </w:tc>
      </w:tr>
      <w:tr>
        <w:tc>
          <w:tcPr>
            <w:tcW w:type="dxa" w:w="4153"/>
            <w:shd w:fill="F2F2F2"/>
            <w:tcMar>
              <w:top w:w="90" w:type="dxa"/>
              <w:start w:w="100" w:type="dxa"/>
              <w:bottom w:w="90" w:type="dxa"/>
              <w:end w:w="100" w:type="dxa"/>
            </w:tcMar>
            <w:vAlign w:val="center"/>
          </w:tcPr>
          <w:p>
            <w:pPr>
              <w:spacing w:after="0"/>
            </w:pPr>
            <w:r>
              <w:rPr>
                <w:rFonts w:ascii="Times New Roman" w:hAnsi="Times New Roman" w:eastAsia="Times New Roman" w:cs="Times New Roman"/>
                <w:b/>
                <w:sz w:val="20"/>
              </w:rPr>
              <w:t>Student ID</w:t>
            </w:r>
          </w:p>
        </w:tc>
        <w:tc>
          <w:tcPr>
            <w:tcW w:type="dxa" w:w="4153"/>
            <w:tcMar>
              <w:top w:w="90" w:type="dxa"/>
              <w:start w:w="100" w:type="dxa"/>
              <w:bottom w:w="90" w:type="dxa"/>
              <w:end w:w="100" w:type="dxa"/>
            </w:tcMar>
            <w:vAlign w:val="center"/>
          </w:tcPr>
          <w:p>
            <w:pPr>
              <w:spacing w:after="0"/>
            </w:pPr>
            <w:r>
              <w:rPr>
                <w:rFonts w:ascii="Times New Roman" w:hAnsi="Times New Roman" w:eastAsia="Times New Roman" w:cs="Times New Roman"/>
                <w:sz w:val="20"/>
              </w:rPr>
              <w:t>ENTER STUDENT ID</w:t>
            </w:r>
          </w:p>
        </w:tc>
      </w:tr>
    </w:tbl>
    <w:p>
      <w:pPr>
        <w:keepLines/>
        <w:spacing w:before="280" w:after="240"/>
        <w:jc w:val="center"/>
      </w:pPr>
      <w:r>
        <w:rPr>
          <w:rFonts w:ascii="Times New Roman" w:hAnsi="Times New Roman" w:eastAsia="Times New Roman" w:cs="Times New Roman"/>
          <w:b/>
          <w:sz w:val="28"/>
        </w:rPr>
        <w:t>Predicting Semester GPA Change Using Student Context and Generative AI Usage: A Leakage-Controlled Machine Learning Study</w:t>
      </w:r>
    </w:p>
    <w:p>
      <w:pPr>
        <w:spacing w:after="240"/>
      </w:pPr>
      <w:r>
        <w:rPr>
          <w:rFonts w:ascii="Times New Roman" w:hAnsi="Times New Roman" w:eastAsia="Times New Roman" w:cs="Times New Roman"/>
          <w:sz w:val="24"/>
        </w:rPr>
        <w:br/>
        <w:br/>
      </w:r>
    </w:p>
    <w:tbl>
      <w:tblPr>
        <w:tblW w:type="auto" w:w="0"/>
        <w:jc w:val="center"/>
        <w:tblLayout w:type="fixed"/>
        <w:tblLook w:firstColumn="1" w:firstRow="1" w:lastColumn="0" w:lastRow="0" w:noHBand="0" w:noVBand="1" w:val="04A0"/>
        <w:tblBorders>
          <w:top w:val="single" w:sz="4" w:space="0" w:color="8C8C8C"/>
          <w:start w:val="single" w:sz="4" w:space="0" w:color="8C8C8C"/>
          <w:bottom w:val="single" w:sz="4" w:space="0" w:color="8C8C8C"/>
          <w:end w:val="single" w:sz="4" w:space="0" w:color="8C8C8C"/>
          <w:insideH w:val="single" w:sz="4" w:space="0" w:color="8C8C8C"/>
          <w:insideV w:val="single" w:sz="4" w:space="0" w:color="8C8C8C"/>
        </w:tblBorders>
      </w:tblPr>
      <w:tblGrid>
        <w:gridCol w:w="7992"/>
      </w:tblGrid>
      <w:tr>
        <w:tc>
          <w:tcPr>
            <w:tcW w:type="dxa" w:w="8306"/>
            <w:tcMar>
              <w:top w:w="90" w:type="dxa"/>
              <w:start w:w="110" w:type="dxa"/>
              <w:bottom w:w="90" w:type="dxa"/>
              <w:end w:w="110" w:type="dxa"/>
            </w:tcMar>
          </w:tcPr>
          <w:p>
            <w:pPr>
              <w:spacing w:after="60"/>
              <w:ind w:firstLine="0"/>
            </w:pPr>
            <w:r>
              <w:rPr>
                <w:rFonts w:ascii="Times New Roman" w:hAnsi="Times New Roman" w:eastAsia="Times New Roman" w:cs="Times New Roman"/>
                <w:b/>
                <w:sz w:val="19"/>
              </w:rPr>
              <w:t>Instructions to candidates</w:t>
            </w:r>
          </w:p>
          <w:p>
            <w:pPr>
              <w:spacing w:after="0" w:line="240" w:lineRule="auto"/>
              <w:ind w:left="259" w:hanging="259"/>
            </w:pPr>
            <w:r>
              <w:rPr>
                <w:rFonts w:ascii="Times New Roman" w:hAnsi="Times New Roman" w:eastAsia="Times New Roman" w:cs="Times New Roman"/>
                <w:sz w:val="18"/>
              </w:rPr>
              <w:t>• Submit the assignment through Moodle.</w:t>
            </w:r>
          </w:p>
          <w:p>
            <w:pPr>
              <w:spacing w:after="0" w:line="240" w:lineRule="auto"/>
              <w:ind w:left="259" w:hanging="259"/>
            </w:pPr>
            <w:r>
              <w:rPr>
                <w:rFonts w:ascii="Times New Roman" w:hAnsi="Times New Roman" w:eastAsia="Times New Roman" w:cs="Times New Roman"/>
                <w:sz w:val="18"/>
              </w:rPr>
              <w:t>• Support answers with references cited in APA 7th edition style.</w:t>
            </w:r>
          </w:p>
          <w:p>
            <w:pPr>
              <w:spacing w:after="0" w:line="240" w:lineRule="auto"/>
              <w:ind w:left="259" w:hanging="259"/>
            </w:pPr>
            <w:r>
              <w:rPr>
                <w:rFonts w:ascii="Times New Roman" w:hAnsi="Times New Roman" w:eastAsia="Times New Roman" w:cs="Times New Roman"/>
                <w:sz w:val="18"/>
              </w:rPr>
              <w:t>• Late submission receives zero unless Extenuating Circumstances are upheld.</w:t>
            </w:r>
          </w:p>
          <w:p>
            <w:pPr>
              <w:spacing w:after="0" w:line="240" w:lineRule="auto"/>
              <w:ind w:left="259" w:hanging="259"/>
            </w:pPr>
            <w:r>
              <w:rPr>
                <w:rFonts w:ascii="Times New Roman" w:hAnsi="Times New Roman" w:eastAsia="Times New Roman" w:cs="Times New Roman"/>
                <w:sz w:val="18"/>
              </w:rPr>
              <w:t>• Plagiarism cases will be penalised.</w:t>
            </w:r>
          </w:p>
          <w:p>
            <w:pPr>
              <w:spacing w:after="0" w:line="240" w:lineRule="auto"/>
              <w:ind w:left="259" w:hanging="259"/>
            </w:pPr>
            <w:r>
              <w:rPr>
                <w:rFonts w:ascii="Times New Roman" w:hAnsi="Times New Roman" w:eastAsia="Times New Roman" w:cs="Times New Roman"/>
                <w:sz w:val="18"/>
              </w:rPr>
              <w:t>• A minimum overall mark of 50% is required to pass the module.</w:t>
            </w:r>
          </w:p>
        </w:tc>
      </w:tr>
    </w:tbl>
    <w:p>
      <w:pPr>
        <w:sectPr>
          <w:headerReference w:type="default" r:id="rId9"/>
          <w:footerReference w:type="default" r:id="rId10"/>
          <w:pgSz w:w="11906" w:h="16838"/>
          <w:pgMar w:top="1440" w:right="1440" w:bottom="1440" w:left="2160" w:header="648" w:footer="648" w:gutter="0"/>
          <w:cols w:space="720"/>
          <w:docGrid w:linePitch="360"/>
        </w:sectPr>
      </w:pPr>
    </w:p>
    <w:p>
      <w:pPr>
        <w:spacing w:after="360"/>
        <w:ind w:firstLine="0"/>
        <w:jc w:val="center"/>
      </w:pPr>
      <w:r>
        <w:rPr>
          <w:rFonts w:ascii="Times New Roman" w:hAnsi="Times New Roman" w:eastAsia="Times New Roman" w:cs="Times New Roman"/>
          <w:b/>
          <w:sz w:val="32"/>
        </w:rPr>
        <w:t>Declaration</w:t>
      </w:r>
    </w:p>
    <w:p>
      <w:pPr>
        <w:ind w:firstLine="720"/>
      </w:pPr>
      <w:r>
        <w:t>I declare that this report is my own work except where the work of others is clearly acknowledged and cited. The submitted analysis is based on the stated dataset and the accompanying source code and notebooks. I have not presented this report, in whole or in part, for another academic award.</w:t>
      </w:r>
    </w:p>
    <w:p>
      <w:pPr>
        <w:ind w:firstLine="720"/>
      </w:pPr>
      <w:r>
        <w:t>Generative-AI assistance was used for research-workflow support, code and report review, language editing, and document assembly. All literature claims, references, notebook outputs, numerical results, interpretations, and final wording were checked against the cited sources and the saved assignment evidence. Responsibility for the submitted work remains with the student.</w:t>
      </w:r>
    </w:p>
    <w:p>
      <w:pPr>
        <w:spacing w:after="160"/>
      </w:pPr>
    </w:p>
    <w:tbl>
      <w:tblPr>
        <w:tblW w:type="auto" w:w="0"/>
        <w:jc w:val="center"/>
        <w:tblLayout w:type="fixed"/>
        <w:tblLook w:firstColumn="1" w:firstRow="1" w:lastColumn="0" w:lastRow="0" w:noHBand="0" w:noVBand="1" w:val="04A0"/>
        <w:tblBorders>
          <w:top w:val="nil"/>
          <w:start w:val="nil"/>
          <w:bottom w:val="nil"/>
          <w:end w:val="nil"/>
          <w:insideH w:val="nil"/>
          <w:insideV w:val="nil"/>
        </w:tblBorders>
      </w:tblPr>
      <w:tblGrid>
        <w:gridCol w:w="2160"/>
        <w:gridCol w:w="5472"/>
      </w:tblGrid>
      <w:tr>
        <w:tc>
          <w:tcPr>
            <w:tcW w:type="dxa" w:w="4153"/>
            <w:tcMar>
              <w:top w:w="100" w:type="dxa"/>
              <w:start w:w="50" w:type="dxa"/>
              <w:bottom w:w="100" w:type="dxa"/>
              <w:end w:w="50" w:type="dxa"/>
            </w:tcMar>
          </w:tcPr>
          <w:p>
            <w:r>
              <w:rPr>
                <w:rFonts w:ascii="Times New Roman" w:hAnsi="Times New Roman" w:eastAsia="Times New Roman" w:cs="Times New Roman"/>
                <w:b/>
                <w:sz w:val="22"/>
              </w:rPr>
              <w:t>Student name</w:t>
            </w:r>
          </w:p>
        </w:tc>
        <w:tc>
          <w:tcPr>
            <w:tcW w:type="dxa" w:w="4153"/>
            <w:tcMar>
              <w:top w:w="100" w:type="dxa"/>
              <w:start w:w="50" w:type="dxa"/>
              <w:bottom w:w="100" w:type="dxa"/>
              <w:end w:w="50" w:type="dxa"/>
            </w:tcMar>
          </w:tcPr>
          <w:p>
            <w:r>
              <w:rPr>
                <w:rFonts w:ascii="Times New Roman" w:hAnsi="Times New Roman" w:eastAsia="Times New Roman" w:cs="Times New Roman"/>
                <w:sz w:val="22"/>
              </w:rPr>
              <w:t>ENTER STUDENT NAME</w:t>
            </w:r>
          </w:p>
        </w:tc>
      </w:tr>
      <w:tr>
        <w:tc>
          <w:tcPr>
            <w:tcW w:type="dxa" w:w="4153"/>
            <w:tcMar>
              <w:top w:w="100" w:type="dxa"/>
              <w:start w:w="50" w:type="dxa"/>
              <w:bottom w:w="100" w:type="dxa"/>
              <w:end w:w="50" w:type="dxa"/>
            </w:tcMar>
          </w:tcPr>
          <w:p>
            <w:r>
              <w:rPr>
                <w:rFonts w:ascii="Times New Roman" w:hAnsi="Times New Roman" w:eastAsia="Times New Roman" w:cs="Times New Roman"/>
                <w:b/>
                <w:sz w:val="22"/>
              </w:rPr>
              <w:t>Student ID</w:t>
            </w:r>
          </w:p>
        </w:tc>
        <w:tc>
          <w:tcPr>
            <w:tcW w:type="dxa" w:w="4153"/>
            <w:tcMar>
              <w:top w:w="100" w:type="dxa"/>
              <w:start w:w="50" w:type="dxa"/>
              <w:bottom w:w="100" w:type="dxa"/>
              <w:end w:w="50" w:type="dxa"/>
            </w:tcMar>
          </w:tcPr>
          <w:p>
            <w:r>
              <w:rPr>
                <w:rFonts w:ascii="Times New Roman" w:hAnsi="Times New Roman" w:eastAsia="Times New Roman" w:cs="Times New Roman"/>
                <w:sz w:val="22"/>
              </w:rPr>
              <w:t>ENTER STUDENT ID</w:t>
            </w:r>
          </w:p>
        </w:tc>
      </w:tr>
      <w:tr>
        <w:tc>
          <w:tcPr>
            <w:tcW w:type="dxa" w:w="4153"/>
            <w:tcMar>
              <w:top w:w="100" w:type="dxa"/>
              <w:start w:w="50" w:type="dxa"/>
              <w:bottom w:w="100" w:type="dxa"/>
              <w:end w:w="50" w:type="dxa"/>
            </w:tcMar>
          </w:tcPr>
          <w:p>
            <w:r>
              <w:rPr>
                <w:rFonts w:ascii="Times New Roman" w:hAnsi="Times New Roman" w:eastAsia="Times New Roman" w:cs="Times New Roman"/>
                <w:b/>
                <w:sz w:val="22"/>
              </w:rPr>
              <w:t>Signature</w:t>
            </w:r>
          </w:p>
        </w:tc>
        <w:tc>
          <w:tcPr>
            <w:tcW w:type="dxa" w:w="4153"/>
            <w:tcMar>
              <w:top w:w="100" w:type="dxa"/>
              <w:start w:w="50" w:type="dxa"/>
              <w:bottom w:w="100" w:type="dxa"/>
              <w:end w:w="50" w:type="dxa"/>
            </w:tcMar>
          </w:tcPr>
          <w:p>
            <w:r>
              <w:rPr>
                <w:rFonts w:ascii="Times New Roman" w:hAnsi="Times New Roman" w:eastAsia="Times New Roman" w:cs="Times New Roman"/>
                <w:sz w:val="22"/>
              </w:rPr>
              <w:t>_______________________________</w:t>
            </w:r>
          </w:p>
        </w:tc>
      </w:tr>
      <w:tr>
        <w:tc>
          <w:tcPr>
            <w:tcW w:type="dxa" w:w="4153"/>
            <w:tcMar>
              <w:top w:w="100" w:type="dxa"/>
              <w:start w:w="50" w:type="dxa"/>
              <w:bottom w:w="100" w:type="dxa"/>
              <w:end w:w="50" w:type="dxa"/>
            </w:tcMar>
          </w:tcPr>
          <w:p>
            <w:r>
              <w:rPr>
                <w:rFonts w:ascii="Times New Roman" w:hAnsi="Times New Roman" w:eastAsia="Times New Roman" w:cs="Times New Roman"/>
                <w:b/>
                <w:sz w:val="22"/>
              </w:rPr>
              <w:t>Date</w:t>
            </w:r>
          </w:p>
        </w:tc>
        <w:tc>
          <w:tcPr>
            <w:tcW w:type="dxa" w:w="4153"/>
            <w:tcMar>
              <w:top w:w="100" w:type="dxa"/>
              <w:start w:w="50" w:type="dxa"/>
              <w:bottom w:w="100" w:type="dxa"/>
              <w:end w:w="50" w:type="dxa"/>
            </w:tcMar>
          </w:tcPr>
          <w:p>
            <w:r>
              <w:rPr>
                <w:rFonts w:ascii="Times New Roman" w:hAnsi="Times New Roman" w:eastAsia="Times New Roman" w:cs="Times New Roman"/>
                <w:sz w:val="22"/>
              </w:rPr>
              <w:t>ENTER DECLARATION DATE</w:t>
            </w:r>
          </w:p>
        </w:tc>
      </w:tr>
    </w:tbl>
    <w:p>
      <w:r>
        <w:br w:type="page"/>
      </w:r>
    </w:p>
    <w:p>
      <w:pPr>
        <w:spacing w:before="1200"/>
        <w:ind w:firstLine="0"/>
        <w:jc w:val="center"/>
      </w:pPr>
      <w:r>
        <w:rPr>
          <w:rFonts w:ascii="Times New Roman" w:hAnsi="Times New Roman" w:eastAsia="Times New Roman" w:cs="Times New Roman"/>
          <w:b/>
          <w:sz w:val="38"/>
        </w:rPr>
        <w:t>Predicting Semester GPA Change Using Student Context and Generative AI Usage: A Leakage-Controlled Machine Learning Study</w:t>
      </w:r>
    </w:p>
    <w:p>
      <w:pPr>
        <w:spacing w:before="560" w:after="560"/>
        <w:jc w:val="center"/>
      </w:pPr>
      <w:r>
        <w:rPr>
          <w:rFonts w:ascii="Times New Roman" w:hAnsi="Times New Roman" w:eastAsia="Times New Roman" w:cs="Times New Roman"/>
          <w:color w:val="D71920"/>
          <w:sz w:val="28"/>
        </w:rPr>
        <w:t>────────────────────────</w:t>
      </w:r>
    </w:p>
    <w:p>
      <w:pPr>
        <w:spacing w:before="0" w:after="0"/>
        <w:ind w:firstLine="0"/>
        <w:jc w:val="center"/>
      </w:pPr>
      <w:r>
        <w:rPr>
          <w:rFonts w:ascii="Times New Roman" w:hAnsi="Times New Roman" w:eastAsia="Times New Roman" w:cs="Times New Roman"/>
          <w:b/>
          <w:sz w:val="28"/>
        </w:rPr>
        <w:t>CT046-3-M: Applied Machine Learning</w:t>
      </w:r>
    </w:p>
    <w:p>
      <w:pPr>
        <w:spacing w:before="160" w:after="0"/>
        <w:ind w:firstLine="0"/>
        <w:jc w:val="center"/>
      </w:pPr>
      <w:r>
        <w:rPr>
          <w:rFonts w:ascii="Times New Roman" w:hAnsi="Times New Roman" w:eastAsia="Times New Roman" w:cs="Times New Roman"/>
          <w:b w:val="0"/>
          <w:sz w:val="26"/>
        </w:rPr>
        <w:t>Individual Assignment</w:t>
      </w:r>
    </w:p>
    <w:p>
      <w:pPr>
        <w:spacing w:before="680" w:after="0"/>
        <w:ind w:firstLine="0"/>
        <w:jc w:val="center"/>
      </w:pPr>
      <w:r>
        <w:rPr>
          <w:rFonts w:ascii="Times New Roman" w:hAnsi="Times New Roman" w:eastAsia="Times New Roman" w:cs="Times New Roman"/>
          <w:b w:val="0"/>
          <w:sz w:val="24"/>
        </w:rPr>
        <w:t>Submitted by</w:t>
      </w:r>
    </w:p>
    <w:p>
      <w:pPr>
        <w:spacing w:before="100" w:after="0"/>
        <w:ind w:firstLine="0"/>
        <w:jc w:val="center"/>
      </w:pPr>
      <w:r>
        <w:rPr>
          <w:rFonts w:ascii="Times New Roman" w:hAnsi="Times New Roman" w:eastAsia="Times New Roman" w:cs="Times New Roman"/>
          <w:b/>
          <w:sz w:val="26"/>
        </w:rPr>
        <w:t>ENTER STUDENT NAME</w:t>
      </w:r>
    </w:p>
    <w:p>
      <w:pPr>
        <w:spacing w:before="0" w:after="0"/>
        <w:ind w:firstLine="0"/>
        <w:jc w:val="center"/>
      </w:pPr>
      <w:r>
        <w:rPr>
          <w:rFonts w:ascii="Times New Roman" w:hAnsi="Times New Roman" w:eastAsia="Times New Roman" w:cs="Times New Roman"/>
          <w:b w:val="0"/>
          <w:sz w:val="24"/>
        </w:rPr>
        <w:t>ENTER STUDENT ID</w:t>
      </w:r>
    </w:p>
    <w:p>
      <w:pPr>
        <w:spacing w:before="680" w:after="0"/>
        <w:ind w:firstLine="0"/>
        <w:jc w:val="center"/>
      </w:pPr>
      <w:r>
        <w:rPr>
          <w:rFonts w:ascii="Times New Roman" w:hAnsi="Times New Roman" w:eastAsia="Times New Roman" w:cs="Times New Roman"/>
          <w:b w:val="0"/>
          <w:sz w:val="24"/>
        </w:rPr>
        <w:t>Asia Pacific University of Technology &amp; Innovation</w:t>
      </w:r>
    </w:p>
    <w:p>
      <w:pPr>
        <w:spacing w:before="160" w:after="0"/>
        <w:ind w:firstLine="0"/>
        <w:jc w:val="center"/>
      </w:pPr>
      <w:r>
        <w:rPr>
          <w:rFonts w:ascii="Times New Roman" w:hAnsi="Times New Roman" w:eastAsia="Times New Roman" w:cs="Times New Roman"/>
          <w:b w:val="0"/>
          <w:sz w:val="24"/>
        </w:rPr>
        <w:t>Submission date: 24 July 2026</w:t>
      </w:r>
    </w:p>
    <w:p>
      <w:r>
        <w:br w:type="page"/>
      </w:r>
    </w:p>
    <w:p>
      <w:pPr>
        <w:spacing w:after="360"/>
        <w:ind w:firstLine="0"/>
        <w:jc w:val="center"/>
      </w:pPr>
      <w:r>
        <w:rPr>
          <w:rFonts w:ascii="Times New Roman" w:hAnsi="Times New Roman" w:eastAsia="Times New Roman" w:cs="Times New Roman"/>
          <w:b/>
          <w:sz w:val="28"/>
        </w:rPr>
        <w:t>Abstract</w:t>
      </w:r>
    </w:p>
    <w:p>
      <w:pPr>
        <w:ind w:firstLine="720"/>
      </w:pPr>
      <w:r>
        <w:rPr>
          <w:rFonts w:ascii="Times New Roman" w:hAnsi="Times New Roman" w:eastAsia="Times New Roman" w:cs="Times New Roman"/>
          <w:b w:val="0"/>
          <w:i w:val="0"/>
          <w:sz w:val="24"/>
        </w:rPr>
        <w:t>Generative-AI tools are used in higher education, but evidence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about their relationship with academic performance remains mixed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context-dependent. This study investigated whether recorded AI-use variables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improved out-of-sample prediction of semester GPA change beyond previous GPA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general study context, and which regression model provided the strongest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validated performance. The Kaggle </w:t>
      </w:r>
      <w:r>
        <w:rPr>
          <w:rFonts w:ascii="Times New Roman" w:hAnsi="Times New Roman" w:eastAsia="Times New Roman" w:cs="Times New Roman"/>
          <w:b w:val="0"/>
          <w:i/>
          <w:sz w:val="24"/>
        </w:rPr>
        <w:t>Impact of Ai on Students</w:t>
      </w:r>
      <w:r>
        <w:rPr>
          <w:rFonts w:ascii="Times New Roman" w:hAnsi="Times New Roman" w:eastAsia="Times New Roman" w:cs="Times New Roman"/>
          <w:b w:val="0"/>
          <w:i w:val="0"/>
          <w:sz w:val="24"/>
        </w:rPr>
        <w:t xml:space="preserve"> dataset contained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50,000 records and 16 source columns. Every field was audited for completeness,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validity and distribution; no valid observations were changed.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GPA change was defined as post-semester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minus pre-semester GPA. </w:t>
      </w:r>
      <w:r>
        <w:rPr>
          <w:rFonts w:ascii="Times New Roman" w:hAnsi="Times New Roman" w:eastAsia="Times New Roman" w:cs="Times New Roman"/>
          <w:b w:val="0"/>
          <w:i w:val="0"/>
          <w:sz w:val="24"/>
          <w:szCs w:val="24"/>
        </w:rPr>
        <w:t>Student_ID</w:t>
      </w:r>
      <w:r>
        <w:rPr>
          <w:rFonts w:ascii="Times New Roman" w:hAnsi="Times New Roman" w:eastAsia="Times New Roman" w:cs="Times New Roman"/>
          <w:b w:val="0"/>
          <w:i w:val="0"/>
          <w:sz w:val="24"/>
        </w:rPr>
        <w:t>, post-semester GPA and two other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post-outcome fields were excluded to prevent meaningless identification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outcome leakage. Numeric and categorical variables were processed through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fold-fitted imputation, standardisation and one-hot encoding. A mean baseline,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Linear Regression, Ridge Regression, Random Forest and Histogram Gradient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Boosting (HGB) were compared using an 80/20 development-test split and shuffled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five-fold cross-validation; HGB was subsequently tuned within the development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 The combined context-and-AI model achieved test R² = 0.4170, compared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 0.2382 for context only and 0.1703 for AI variables only. Untuned HGB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produced the strongest model-comparison CV RMSE of 0.1443, while tuning reduced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best CV RMSE to 0.1441. On the reserved test set, tuned HGB achieved MAE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0.1112, RMSE 0.1414 and R² = 0.4185; 84.34% of predictions were within 0.20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GPA points. Traditional study hours, primary AI use case and weekly GenAI hours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were the three largest permutation importances. These findings indicate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AI-related fields supplied additional predictive information when combined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 student context and that nonlinear ensembles represented the recorded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relationships better than linear models. However, undocumented dataset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provenance and much higher error for GPA decreases prohibit causal 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individual-decision conclusions.</w:t>
      </w:r>
    </w:p>
    <w:p>
      <w:r>
        <w:br w:type="page"/>
      </w:r>
    </w:p>
    <w:p>
      <w:pPr>
        <w:keepNext/>
        <w:spacing w:after="240"/>
        <w:ind w:firstLine="0"/>
      </w:pPr>
      <w:r>
        <w:rPr>
          <w:rFonts w:ascii="Times New Roman" w:hAnsi="Times New Roman" w:eastAsia="Times New Roman" w:cs="Times New Roman"/>
          <w:b/>
          <w:sz w:val="28"/>
        </w:rPr>
        <w:t>Table of Contents</w:t>
      </w:r>
    </w:p>
    <w:p>
      <w:pPr>
        <w:pStyle w:val="TOC1"/>
        <w:tabs>
          <w:tab w:pos="7992" w:val="right" w:leader="dot"/>
        </w:tabs>
      </w:pPr>
      <w:r>
        <w:rPr>
          <w:rFonts w:ascii="Times New Roman" w:hAnsi="Times New Roman" w:eastAsia="Times New Roman" w:cs="Times New Roman"/>
          <w:sz w:val="22"/>
        </w:rPr>
        <w:t>1 Introduction, Aim and Objectives</w:t>
      </w:r>
      <w:r>
        <w:tab/>
      </w:r>
      <w:r>
        <w:rPr>
          <w:rFonts w:ascii="Times New Roman" w:hAnsi="Times New Roman" w:eastAsia="Times New Roman" w:cs="Times New Roman"/>
          <w:sz w:val="22"/>
        </w:rPr>
        <w:t>1</w:t>
      </w:r>
    </w:p>
    <w:p>
      <w:pPr>
        <w:pStyle w:val="TOC2"/>
        <w:tabs>
          <w:tab w:pos="7992" w:val="right" w:leader="dot"/>
        </w:tabs>
      </w:pPr>
      <w:r>
        <w:rPr>
          <w:rFonts w:ascii="Times New Roman" w:hAnsi="Times New Roman" w:eastAsia="Times New Roman" w:cs="Times New Roman"/>
          <w:sz w:val="22"/>
        </w:rPr>
        <w:t>1.1 Problem context</w:t>
      </w:r>
      <w:r>
        <w:tab/>
      </w:r>
      <w:r>
        <w:rPr>
          <w:rFonts w:ascii="Times New Roman" w:hAnsi="Times New Roman" w:eastAsia="Times New Roman" w:cs="Times New Roman"/>
          <w:sz w:val="22"/>
        </w:rPr>
        <w:t>1</w:t>
      </w:r>
    </w:p>
    <w:p>
      <w:pPr>
        <w:pStyle w:val="TOC2"/>
        <w:tabs>
          <w:tab w:pos="7992" w:val="right" w:leader="dot"/>
        </w:tabs>
      </w:pPr>
      <w:r>
        <w:rPr>
          <w:rFonts w:ascii="Times New Roman" w:hAnsi="Times New Roman" w:eastAsia="Times New Roman" w:cs="Times New Roman"/>
          <w:sz w:val="22"/>
        </w:rPr>
        <w:t>1.2 Dataset and analytical problem</w:t>
      </w:r>
      <w:r>
        <w:tab/>
      </w:r>
      <w:r>
        <w:rPr>
          <w:rFonts w:ascii="Times New Roman" w:hAnsi="Times New Roman" w:eastAsia="Times New Roman" w:cs="Times New Roman"/>
          <w:sz w:val="22"/>
        </w:rPr>
        <w:t>1</w:t>
      </w:r>
    </w:p>
    <w:p>
      <w:pPr>
        <w:pStyle w:val="TOC2"/>
        <w:tabs>
          <w:tab w:pos="7992" w:val="right" w:leader="dot"/>
        </w:tabs>
      </w:pPr>
      <w:r>
        <w:rPr>
          <w:rFonts w:ascii="Times New Roman" w:hAnsi="Times New Roman" w:eastAsia="Times New Roman" w:cs="Times New Roman"/>
          <w:sz w:val="22"/>
        </w:rPr>
        <w:t>1.3 Research question</w:t>
      </w:r>
      <w:r>
        <w:tab/>
      </w:r>
      <w:r>
        <w:rPr>
          <w:rFonts w:ascii="Times New Roman" w:hAnsi="Times New Roman" w:eastAsia="Times New Roman" w:cs="Times New Roman"/>
          <w:sz w:val="22"/>
        </w:rPr>
        <w:t>2</w:t>
      </w:r>
    </w:p>
    <w:p>
      <w:pPr>
        <w:pStyle w:val="TOC2"/>
        <w:tabs>
          <w:tab w:pos="7992" w:val="right" w:leader="dot"/>
        </w:tabs>
      </w:pPr>
      <w:r>
        <w:rPr>
          <w:rFonts w:ascii="Times New Roman" w:hAnsi="Times New Roman" w:eastAsia="Times New Roman" w:cs="Times New Roman"/>
          <w:sz w:val="22"/>
        </w:rPr>
        <w:t>1.4 Aim</w:t>
      </w:r>
      <w:r>
        <w:tab/>
      </w:r>
      <w:r>
        <w:rPr>
          <w:rFonts w:ascii="Times New Roman" w:hAnsi="Times New Roman" w:eastAsia="Times New Roman" w:cs="Times New Roman"/>
          <w:sz w:val="22"/>
        </w:rPr>
        <w:t>2</w:t>
      </w:r>
    </w:p>
    <w:p>
      <w:pPr>
        <w:pStyle w:val="TOC2"/>
        <w:tabs>
          <w:tab w:pos="7992" w:val="right" w:leader="dot"/>
        </w:tabs>
      </w:pPr>
      <w:r>
        <w:rPr>
          <w:rFonts w:ascii="Times New Roman" w:hAnsi="Times New Roman" w:eastAsia="Times New Roman" w:cs="Times New Roman"/>
          <w:sz w:val="22"/>
        </w:rPr>
        <w:t>1.5 Objectives</w:t>
      </w:r>
      <w:r>
        <w:tab/>
      </w:r>
      <w:r>
        <w:rPr>
          <w:rFonts w:ascii="Times New Roman" w:hAnsi="Times New Roman" w:eastAsia="Times New Roman" w:cs="Times New Roman"/>
          <w:sz w:val="22"/>
        </w:rPr>
        <w:t>2</w:t>
      </w:r>
    </w:p>
    <w:p>
      <w:pPr>
        <w:pStyle w:val="TOC2"/>
        <w:tabs>
          <w:tab w:pos="7992" w:val="right" w:leader="dot"/>
        </w:tabs>
      </w:pPr>
      <w:r>
        <w:rPr>
          <w:rFonts w:ascii="Times New Roman" w:hAnsi="Times New Roman" w:eastAsia="Times New Roman" w:cs="Times New Roman"/>
          <w:sz w:val="22"/>
        </w:rPr>
        <w:t>1.6 Scope and contribution</w:t>
      </w:r>
      <w:r>
        <w:tab/>
      </w:r>
      <w:r>
        <w:rPr>
          <w:rFonts w:ascii="Times New Roman" w:hAnsi="Times New Roman" w:eastAsia="Times New Roman" w:cs="Times New Roman"/>
          <w:sz w:val="22"/>
        </w:rPr>
        <w:t>3</w:t>
      </w:r>
    </w:p>
    <w:p>
      <w:pPr>
        <w:pStyle w:val="TOC1"/>
        <w:tabs>
          <w:tab w:pos="7992" w:val="right" w:leader="dot"/>
        </w:tabs>
      </w:pPr>
      <w:r>
        <w:rPr>
          <w:rFonts w:ascii="Times New Roman" w:hAnsi="Times New Roman" w:eastAsia="Times New Roman" w:cs="Times New Roman"/>
          <w:sz w:val="22"/>
        </w:rPr>
        <w:t>2 Related Works</w:t>
      </w:r>
      <w:r>
        <w:tab/>
      </w:r>
      <w:r>
        <w:rPr>
          <w:rFonts w:ascii="Times New Roman" w:hAnsi="Times New Roman" w:eastAsia="Times New Roman" w:cs="Times New Roman"/>
          <w:sz w:val="22"/>
        </w:rPr>
        <w:t>4</w:t>
      </w:r>
    </w:p>
    <w:p>
      <w:pPr>
        <w:pStyle w:val="TOC2"/>
        <w:tabs>
          <w:tab w:pos="7992" w:val="right" w:leader="dot"/>
        </w:tabs>
      </w:pPr>
      <w:r>
        <w:rPr>
          <w:rFonts w:ascii="Times New Roman" w:hAnsi="Times New Roman" w:eastAsia="Times New Roman" w:cs="Times New Roman"/>
          <w:sz w:val="22"/>
        </w:rPr>
        <w:t>2.1 Review method</w:t>
      </w:r>
      <w:r>
        <w:tab/>
      </w:r>
      <w:r>
        <w:rPr>
          <w:rFonts w:ascii="Times New Roman" w:hAnsi="Times New Roman" w:eastAsia="Times New Roman" w:cs="Times New Roman"/>
          <w:sz w:val="22"/>
        </w:rPr>
        <w:t>4</w:t>
      </w:r>
    </w:p>
    <w:p>
      <w:pPr>
        <w:pStyle w:val="TOC2"/>
        <w:tabs>
          <w:tab w:pos="7992" w:val="right" w:leader="dot"/>
        </w:tabs>
      </w:pPr>
      <w:r>
        <w:rPr>
          <w:rFonts w:ascii="Times New Roman" w:hAnsi="Times New Roman" w:eastAsia="Times New Roman" w:cs="Times New Roman"/>
          <w:sz w:val="22"/>
        </w:rPr>
        <w:t>2.2 AI in higher education</w:t>
      </w:r>
      <w:r>
        <w:tab/>
      </w:r>
      <w:r>
        <w:rPr>
          <w:rFonts w:ascii="Times New Roman" w:hAnsi="Times New Roman" w:eastAsia="Times New Roman" w:cs="Times New Roman"/>
          <w:sz w:val="22"/>
        </w:rPr>
        <w:t>5</w:t>
      </w:r>
    </w:p>
    <w:p>
      <w:pPr>
        <w:pStyle w:val="TOC2"/>
        <w:tabs>
          <w:tab w:pos="7992" w:val="right" w:leader="dot"/>
        </w:tabs>
      </w:pPr>
      <w:r>
        <w:rPr>
          <w:rFonts w:ascii="Times New Roman" w:hAnsi="Times New Roman" w:eastAsia="Times New Roman" w:cs="Times New Roman"/>
          <w:sz w:val="22"/>
        </w:rPr>
        <w:t>2.3 Mixed evidence on academic outcomes</w:t>
      </w:r>
      <w:r>
        <w:tab/>
      </w:r>
      <w:r>
        <w:rPr>
          <w:rFonts w:ascii="Times New Roman" w:hAnsi="Times New Roman" w:eastAsia="Times New Roman" w:cs="Times New Roman"/>
          <w:sz w:val="22"/>
        </w:rPr>
        <w:t>5</w:t>
      </w:r>
    </w:p>
    <w:p>
      <w:pPr>
        <w:pStyle w:val="TOC2"/>
        <w:tabs>
          <w:tab w:pos="7992" w:val="right" w:leader="dot"/>
        </w:tabs>
      </w:pPr>
      <w:r>
        <w:rPr>
          <w:rFonts w:ascii="Times New Roman" w:hAnsi="Times New Roman" w:eastAsia="Times New Roman" w:cs="Times New Roman"/>
          <w:sz w:val="22"/>
        </w:rPr>
        <w:t>2.4 AI literacy and prompt skill</w:t>
      </w:r>
      <w:r>
        <w:tab/>
      </w:r>
      <w:r>
        <w:rPr>
          <w:rFonts w:ascii="Times New Roman" w:hAnsi="Times New Roman" w:eastAsia="Times New Roman" w:cs="Times New Roman"/>
          <w:sz w:val="22"/>
        </w:rPr>
        <w:t>6</w:t>
      </w:r>
    </w:p>
    <w:p>
      <w:pPr>
        <w:pStyle w:val="TOC2"/>
        <w:tabs>
          <w:tab w:pos="7992" w:val="right" w:leader="dot"/>
        </w:tabs>
      </w:pPr>
      <w:r>
        <w:rPr>
          <w:rFonts w:ascii="Times New Roman" w:hAnsi="Times New Roman" w:eastAsia="Times New Roman" w:cs="Times New Roman"/>
          <w:sz w:val="22"/>
        </w:rPr>
        <w:t>2.5 Predicting academic performance</w:t>
      </w:r>
      <w:r>
        <w:tab/>
      </w:r>
      <w:r>
        <w:rPr>
          <w:rFonts w:ascii="Times New Roman" w:hAnsi="Times New Roman" w:eastAsia="Times New Roman" w:cs="Times New Roman"/>
          <w:sz w:val="22"/>
        </w:rPr>
        <w:t>7</w:t>
      </w:r>
    </w:p>
    <w:p>
      <w:pPr>
        <w:pStyle w:val="TOC2"/>
        <w:tabs>
          <w:tab w:pos="7992" w:val="right" w:leader="dot"/>
        </w:tabs>
      </w:pPr>
      <w:r>
        <w:rPr>
          <w:rFonts w:ascii="Times New Roman" w:hAnsi="Times New Roman" w:eastAsia="Times New Roman" w:cs="Times New Roman"/>
          <w:sz w:val="22"/>
        </w:rPr>
        <w:t>2.6 Methodological and software foundations</w:t>
      </w:r>
      <w:r>
        <w:tab/>
      </w:r>
      <w:r>
        <w:rPr>
          <w:rFonts w:ascii="Times New Roman" w:hAnsi="Times New Roman" w:eastAsia="Times New Roman" w:cs="Times New Roman"/>
          <w:sz w:val="22"/>
        </w:rPr>
        <w:t>8</w:t>
      </w:r>
    </w:p>
    <w:p>
      <w:pPr>
        <w:pStyle w:val="TOC2"/>
        <w:tabs>
          <w:tab w:pos="7992" w:val="right" w:leader="dot"/>
        </w:tabs>
      </w:pPr>
      <w:r>
        <w:rPr>
          <w:rFonts w:ascii="Times New Roman" w:hAnsi="Times New Roman" w:eastAsia="Times New Roman" w:cs="Times New Roman"/>
          <w:sz w:val="22"/>
        </w:rPr>
        <w:t>2.7 Comparative synthesis and research gap</w:t>
      </w:r>
      <w:r>
        <w:tab/>
      </w:r>
      <w:r>
        <w:rPr>
          <w:rFonts w:ascii="Times New Roman" w:hAnsi="Times New Roman" w:eastAsia="Times New Roman" w:cs="Times New Roman"/>
          <w:sz w:val="22"/>
        </w:rPr>
        <w:t>8</w:t>
      </w:r>
    </w:p>
    <w:p>
      <w:pPr>
        <w:pStyle w:val="TOC1"/>
        <w:tabs>
          <w:tab w:pos="7992" w:val="right" w:leader="dot"/>
        </w:tabs>
      </w:pPr>
      <w:r>
        <w:rPr>
          <w:rFonts w:ascii="Times New Roman" w:hAnsi="Times New Roman" w:eastAsia="Times New Roman" w:cs="Times New Roman"/>
          <w:sz w:val="22"/>
        </w:rPr>
        <w:t>3 Methods</w:t>
      </w:r>
      <w:r>
        <w:tab/>
      </w:r>
      <w:r>
        <w:rPr>
          <w:rFonts w:ascii="Times New Roman" w:hAnsi="Times New Roman" w:eastAsia="Times New Roman" w:cs="Times New Roman"/>
          <w:sz w:val="22"/>
        </w:rPr>
        <w:t>10</w:t>
      </w:r>
    </w:p>
    <w:p>
      <w:pPr>
        <w:pStyle w:val="TOC2"/>
        <w:tabs>
          <w:tab w:pos="7992" w:val="right" w:leader="dot"/>
        </w:tabs>
      </w:pPr>
      <w:r>
        <w:rPr>
          <w:rFonts w:ascii="Times New Roman" w:hAnsi="Times New Roman" w:eastAsia="Times New Roman" w:cs="Times New Roman"/>
          <w:sz w:val="22"/>
        </w:rPr>
        <w:t>3.1 Research design</w:t>
      </w:r>
      <w:r>
        <w:tab/>
      </w:r>
      <w:r>
        <w:rPr>
          <w:rFonts w:ascii="Times New Roman" w:hAnsi="Times New Roman" w:eastAsia="Times New Roman" w:cs="Times New Roman"/>
          <w:sz w:val="22"/>
        </w:rPr>
        <w:t>10</w:t>
      </w:r>
    </w:p>
    <w:p>
      <w:pPr>
        <w:pStyle w:val="TOC2"/>
        <w:tabs>
          <w:tab w:pos="7992" w:val="right" w:leader="dot"/>
        </w:tabs>
      </w:pPr>
      <w:r>
        <w:rPr>
          <w:rFonts w:ascii="Times New Roman" w:hAnsi="Times New Roman" w:eastAsia="Times New Roman" w:cs="Times New Roman"/>
          <w:sz w:val="22"/>
        </w:rPr>
        <w:t>3.2 Data and feature groups</w:t>
      </w:r>
      <w:r>
        <w:tab/>
      </w:r>
      <w:r>
        <w:rPr>
          <w:rFonts w:ascii="Times New Roman" w:hAnsi="Times New Roman" w:eastAsia="Times New Roman" w:cs="Times New Roman"/>
          <w:sz w:val="22"/>
        </w:rPr>
        <w:t>10</w:t>
      </w:r>
    </w:p>
    <w:p>
      <w:pPr>
        <w:pStyle w:val="TOC2"/>
        <w:tabs>
          <w:tab w:pos="7992" w:val="right" w:leader="dot"/>
        </w:tabs>
      </w:pPr>
      <w:r>
        <w:rPr>
          <w:rFonts w:ascii="Times New Roman" w:hAnsi="Times New Roman" w:eastAsia="Times New Roman" w:cs="Times New Roman"/>
          <w:sz w:val="22"/>
        </w:rPr>
        <w:t>3.3 Experimental procedure</w:t>
      </w:r>
      <w:r>
        <w:tab/>
      </w:r>
      <w:r>
        <w:rPr>
          <w:rFonts w:ascii="Times New Roman" w:hAnsi="Times New Roman" w:eastAsia="Times New Roman" w:cs="Times New Roman"/>
          <w:sz w:val="22"/>
        </w:rPr>
        <w:t>10</w:t>
      </w:r>
    </w:p>
    <w:p>
      <w:pPr>
        <w:pStyle w:val="TOC1"/>
        <w:tabs>
          <w:tab w:pos="7992" w:val="right" w:leader="dot"/>
        </w:tabs>
      </w:pPr>
      <w:r>
        <w:rPr>
          <w:rFonts w:ascii="Times New Roman" w:hAnsi="Times New Roman" w:eastAsia="Times New Roman" w:cs="Times New Roman"/>
          <w:sz w:val="22"/>
        </w:rPr>
        <w:t>4 Dataset Preparation</w:t>
      </w:r>
      <w:r>
        <w:tab/>
      </w:r>
      <w:r>
        <w:rPr>
          <w:rFonts w:ascii="Times New Roman" w:hAnsi="Times New Roman" w:eastAsia="Times New Roman" w:cs="Times New Roman"/>
          <w:sz w:val="22"/>
        </w:rPr>
        <w:t>13</w:t>
      </w:r>
    </w:p>
    <w:p>
      <w:pPr>
        <w:pStyle w:val="TOC2"/>
        <w:tabs>
          <w:tab w:pos="7992" w:val="right" w:leader="dot"/>
        </w:tabs>
      </w:pPr>
      <w:r>
        <w:rPr>
          <w:rFonts w:ascii="Times New Roman" w:hAnsi="Times New Roman" w:eastAsia="Times New Roman" w:cs="Times New Roman"/>
          <w:sz w:val="22"/>
        </w:rPr>
        <w:t>4.1 Data understanding, audit and target construction</w:t>
      </w:r>
      <w:r>
        <w:tab/>
      </w:r>
      <w:r>
        <w:rPr>
          <w:rFonts w:ascii="Times New Roman" w:hAnsi="Times New Roman" w:eastAsia="Times New Roman" w:cs="Times New Roman"/>
          <w:sz w:val="22"/>
        </w:rPr>
        <w:t>13</w:t>
      </w:r>
    </w:p>
    <w:p>
      <w:pPr>
        <w:pStyle w:val="TOC2"/>
        <w:tabs>
          <w:tab w:pos="7992" w:val="right" w:leader="dot"/>
        </w:tabs>
      </w:pPr>
      <w:r>
        <w:rPr>
          <w:rFonts w:ascii="Times New Roman" w:hAnsi="Times New Roman" w:eastAsia="Times New Roman" w:cs="Times New Roman"/>
          <w:sz w:val="22"/>
        </w:rPr>
        <w:t>4.2 Preparation and leakage control</w:t>
      </w:r>
      <w:r>
        <w:tab/>
      </w:r>
      <w:r>
        <w:rPr>
          <w:rFonts w:ascii="Times New Roman" w:hAnsi="Times New Roman" w:eastAsia="Times New Roman" w:cs="Times New Roman"/>
          <w:sz w:val="22"/>
        </w:rPr>
        <w:t>16</w:t>
      </w:r>
    </w:p>
    <w:p>
      <w:pPr>
        <w:pStyle w:val="TOC1"/>
        <w:tabs>
          <w:tab w:pos="7992" w:val="right" w:leader="dot"/>
        </w:tabs>
      </w:pPr>
      <w:r>
        <w:rPr>
          <w:rFonts w:ascii="Times New Roman" w:hAnsi="Times New Roman" w:eastAsia="Times New Roman" w:cs="Times New Roman"/>
          <w:sz w:val="22"/>
        </w:rPr>
        <w:t>5 Model Implementation</w:t>
      </w:r>
      <w:r>
        <w:tab/>
      </w:r>
      <w:r>
        <w:rPr>
          <w:rFonts w:ascii="Times New Roman" w:hAnsi="Times New Roman" w:eastAsia="Times New Roman" w:cs="Times New Roman"/>
          <w:sz w:val="22"/>
        </w:rPr>
        <w:t>18</w:t>
      </w:r>
    </w:p>
    <w:p>
      <w:pPr>
        <w:pStyle w:val="TOC2"/>
        <w:tabs>
          <w:tab w:pos="7992" w:val="right" w:leader="dot"/>
        </w:tabs>
      </w:pPr>
      <w:r>
        <w:rPr>
          <w:rFonts w:ascii="Times New Roman" w:hAnsi="Times New Roman" w:eastAsia="Times New Roman" w:cs="Times New Roman"/>
          <w:sz w:val="22"/>
        </w:rPr>
        <w:t>5.1 Common pipeline</w:t>
      </w:r>
      <w:r>
        <w:tab/>
      </w:r>
      <w:r>
        <w:rPr>
          <w:rFonts w:ascii="Times New Roman" w:hAnsi="Times New Roman" w:eastAsia="Times New Roman" w:cs="Times New Roman"/>
          <w:sz w:val="22"/>
        </w:rPr>
        <w:t>18</w:t>
      </w:r>
    </w:p>
    <w:p>
      <w:pPr>
        <w:pStyle w:val="TOC2"/>
        <w:tabs>
          <w:tab w:pos="7992" w:val="right" w:leader="dot"/>
        </w:tabs>
      </w:pPr>
      <w:r>
        <w:rPr>
          <w:rFonts w:ascii="Times New Roman" w:hAnsi="Times New Roman" w:eastAsia="Times New Roman" w:cs="Times New Roman"/>
          <w:sz w:val="22"/>
        </w:rPr>
        <w:t>5.2 Candidate regressors</w:t>
      </w:r>
      <w:r>
        <w:tab/>
      </w:r>
      <w:r>
        <w:rPr>
          <w:rFonts w:ascii="Times New Roman" w:hAnsi="Times New Roman" w:eastAsia="Times New Roman" w:cs="Times New Roman"/>
          <w:sz w:val="22"/>
        </w:rPr>
        <w:t>18</w:t>
      </w:r>
    </w:p>
    <w:p>
      <w:pPr>
        <w:pStyle w:val="TOC2"/>
        <w:tabs>
          <w:tab w:pos="7992" w:val="right" w:leader="dot"/>
        </w:tabs>
      </w:pPr>
      <w:r>
        <w:rPr>
          <w:rFonts w:ascii="Times New Roman" w:hAnsi="Times New Roman" w:eastAsia="Times New Roman" w:cs="Times New Roman"/>
          <w:sz w:val="22"/>
        </w:rPr>
        <w:t>5.3 Feature-set ablation</w:t>
      </w:r>
      <w:r>
        <w:tab/>
      </w:r>
      <w:r>
        <w:rPr>
          <w:rFonts w:ascii="Times New Roman" w:hAnsi="Times New Roman" w:eastAsia="Times New Roman" w:cs="Times New Roman"/>
          <w:sz w:val="22"/>
        </w:rPr>
        <w:t>19</w:t>
      </w:r>
    </w:p>
    <w:p>
      <w:pPr>
        <w:pStyle w:val="TOC2"/>
        <w:tabs>
          <w:tab w:pos="7992" w:val="right" w:leader="dot"/>
        </w:tabs>
      </w:pPr>
      <w:r>
        <w:rPr>
          <w:rFonts w:ascii="Times New Roman" w:hAnsi="Times New Roman" w:eastAsia="Times New Roman" w:cs="Times New Roman"/>
          <w:sz w:val="22"/>
        </w:rPr>
        <w:t>5.4 Hyperparameter optimisation</w:t>
      </w:r>
      <w:r>
        <w:tab/>
      </w:r>
      <w:r>
        <w:rPr>
          <w:rFonts w:ascii="Times New Roman" w:hAnsi="Times New Roman" w:eastAsia="Times New Roman" w:cs="Times New Roman"/>
          <w:sz w:val="22"/>
        </w:rPr>
        <w:t>19</w:t>
      </w:r>
    </w:p>
    <w:p>
      <w:pPr>
        <w:pStyle w:val="TOC2"/>
        <w:tabs>
          <w:tab w:pos="7992" w:val="right" w:leader="dot"/>
        </w:tabs>
      </w:pPr>
      <w:r>
        <w:rPr>
          <w:rFonts w:ascii="Times New Roman" w:hAnsi="Times New Roman" w:eastAsia="Times New Roman" w:cs="Times New Roman"/>
          <w:sz w:val="22"/>
        </w:rPr>
        <w:t>5.5 Final fitting and interpretation outputs</w:t>
      </w:r>
      <w:r>
        <w:tab/>
      </w:r>
      <w:r>
        <w:rPr>
          <w:rFonts w:ascii="Times New Roman" w:hAnsi="Times New Roman" w:eastAsia="Times New Roman" w:cs="Times New Roman"/>
          <w:sz w:val="22"/>
        </w:rPr>
        <w:t>20</w:t>
      </w:r>
    </w:p>
    <w:p>
      <w:pPr>
        <w:pStyle w:val="TOC1"/>
        <w:tabs>
          <w:tab w:pos="7992" w:val="right" w:leader="dot"/>
        </w:tabs>
      </w:pPr>
      <w:r>
        <w:rPr>
          <w:rFonts w:ascii="Times New Roman" w:hAnsi="Times New Roman" w:eastAsia="Times New Roman" w:cs="Times New Roman"/>
          <w:sz w:val="22"/>
        </w:rPr>
        <w:t>6 Model Validation</w:t>
      </w:r>
      <w:r>
        <w:tab/>
      </w:r>
      <w:r>
        <w:rPr>
          <w:rFonts w:ascii="Times New Roman" w:hAnsi="Times New Roman" w:eastAsia="Times New Roman" w:cs="Times New Roman"/>
          <w:sz w:val="22"/>
        </w:rPr>
        <w:t>21</w:t>
      </w:r>
    </w:p>
    <w:p>
      <w:pPr>
        <w:pStyle w:val="TOC2"/>
        <w:tabs>
          <w:tab w:pos="7992" w:val="right" w:leader="dot"/>
        </w:tabs>
      </w:pPr>
      <w:r>
        <w:rPr>
          <w:rFonts w:ascii="Times New Roman" w:hAnsi="Times New Roman" w:eastAsia="Times New Roman" w:cs="Times New Roman"/>
          <w:sz w:val="22"/>
        </w:rPr>
        <w:t>6.1 Cross-validation and model selection</w:t>
      </w:r>
      <w:r>
        <w:tab/>
      </w:r>
      <w:r>
        <w:rPr>
          <w:rFonts w:ascii="Times New Roman" w:hAnsi="Times New Roman" w:eastAsia="Times New Roman" w:cs="Times New Roman"/>
          <w:sz w:val="22"/>
        </w:rPr>
        <w:t>21</w:t>
      </w:r>
    </w:p>
    <w:p>
      <w:pPr>
        <w:pStyle w:val="TOC2"/>
        <w:tabs>
          <w:tab w:pos="7992" w:val="right" w:leader="dot"/>
        </w:tabs>
      </w:pPr>
      <w:r>
        <w:rPr>
          <w:rFonts w:ascii="Times New Roman" w:hAnsi="Times New Roman" w:eastAsia="Times New Roman" w:cs="Times New Roman"/>
          <w:sz w:val="22"/>
        </w:rPr>
        <w:t>6.2 Test confirmation</w:t>
      </w:r>
      <w:r>
        <w:tab/>
      </w:r>
      <w:r>
        <w:rPr>
          <w:rFonts w:ascii="Times New Roman" w:hAnsi="Times New Roman" w:eastAsia="Times New Roman" w:cs="Times New Roman"/>
          <w:sz w:val="22"/>
        </w:rPr>
        <w:t>21</w:t>
      </w:r>
    </w:p>
    <w:p>
      <w:pPr>
        <w:pStyle w:val="TOC2"/>
        <w:tabs>
          <w:tab w:pos="7992" w:val="right" w:leader="dot"/>
        </w:tabs>
      </w:pPr>
      <w:r>
        <w:rPr>
          <w:rFonts w:ascii="Times New Roman" w:hAnsi="Times New Roman" w:eastAsia="Times New Roman" w:cs="Times New Roman"/>
          <w:sz w:val="22"/>
        </w:rPr>
        <w:t>6.3 Residual behaviour</w:t>
      </w:r>
      <w:r>
        <w:tab/>
      </w:r>
      <w:r>
        <w:rPr>
          <w:rFonts w:ascii="Times New Roman" w:hAnsi="Times New Roman" w:eastAsia="Times New Roman" w:cs="Times New Roman"/>
          <w:sz w:val="22"/>
        </w:rPr>
        <w:t>22</w:t>
      </w:r>
    </w:p>
    <w:p>
      <w:pPr>
        <w:pStyle w:val="TOC2"/>
        <w:tabs>
          <w:tab w:pos="7992" w:val="right" w:leader="dot"/>
        </w:tabs>
      </w:pPr>
      <w:r>
        <w:rPr>
          <w:rFonts w:ascii="Times New Roman" w:hAnsi="Times New Roman" w:eastAsia="Times New Roman" w:cs="Times New Roman"/>
          <w:sz w:val="22"/>
        </w:rPr>
        <w:t>6.4 Direction-specific error and bias risk</w:t>
      </w:r>
      <w:r>
        <w:tab/>
      </w:r>
      <w:r>
        <w:rPr>
          <w:rFonts w:ascii="Times New Roman" w:hAnsi="Times New Roman" w:eastAsia="Times New Roman" w:cs="Times New Roman"/>
          <w:sz w:val="22"/>
        </w:rPr>
        <w:t>23</w:t>
      </w:r>
    </w:p>
    <w:p>
      <w:pPr>
        <w:pStyle w:val="TOC1"/>
        <w:tabs>
          <w:tab w:pos="7992" w:val="right" w:leader="dot"/>
        </w:tabs>
      </w:pPr>
      <w:r>
        <w:rPr>
          <w:rFonts w:ascii="Times New Roman" w:hAnsi="Times New Roman" w:eastAsia="Times New Roman" w:cs="Times New Roman"/>
          <w:sz w:val="22"/>
        </w:rPr>
        <w:t>7 Analysis and Recommendations</w:t>
      </w:r>
      <w:r>
        <w:tab/>
      </w:r>
      <w:r>
        <w:rPr>
          <w:rFonts w:ascii="Times New Roman" w:hAnsi="Times New Roman" w:eastAsia="Times New Roman" w:cs="Times New Roman"/>
          <w:sz w:val="22"/>
        </w:rPr>
        <w:t>24</w:t>
      </w:r>
    </w:p>
    <w:p>
      <w:pPr>
        <w:pStyle w:val="TOC2"/>
        <w:tabs>
          <w:tab w:pos="7992" w:val="right" w:leader="dot"/>
        </w:tabs>
      </w:pPr>
      <w:r>
        <w:rPr>
          <w:rFonts w:ascii="Times New Roman" w:hAnsi="Times New Roman" w:eastAsia="Times New Roman" w:cs="Times New Roman"/>
          <w:sz w:val="22"/>
        </w:rPr>
        <w:t>7.1 Answer to the research question</w:t>
      </w:r>
      <w:r>
        <w:tab/>
      </w:r>
      <w:r>
        <w:rPr>
          <w:rFonts w:ascii="Times New Roman" w:hAnsi="Times New Roman" w:eastAsia="Times New Roman" w:cs="Times New Roman"/>
          <w:sz w:val="22"/>
        </w:rPr>
        <w:t>24</w:t>
      </w:r>
    </w:p>
    <w:p>
      <w:pPr>
        <w:pStyle w:val="TOC2"/>
        <w:tabs>
          <w:tab w:pos="7992" w:val="right" w:leader="dot"/>
        </w:tabs>
      </w:pPr>
      <w:r>
        <w:rPr>
          <w:rFonts w:ascii="Times New Roman" w:hAnsi="Times New Roman" w:eastAsia="Times New Roman" w:cs="Times New Roman"/>
          <w:sz w:val="22"/>
        </w:rPr>
        <w:t>7.2 Why nonlinear models performed better</w:t>
      </w:r>
      <w:r>
        <w:tab/>
      </w:r>
      <w:r>
        <w:rPr>
          <w:rFonts w:ascii="Times New Roman" w:hAnsi="Times New Roman" w:eastAsia="Times New Roman" w:cs="Times New Roman"/>
          <w:sz w:val="22"/>
        </w:rPr>
        <w:t>24</w:t>
      </w:r>
    </w:p>
    <w:p>
      <w:pPr>
        <w:pStyle w:val="TOC2"/>
        <w:tabs>
          <w:tab w:pos="7992" w:val="right" w:leader="dot"/>
        </w:tabs>
      </w:pPr>
      <w:r>
        <w:rPr>
          <w:rFonts w:ascii="Times New Roman" w:hAnsi="Times New Roman" w:eastAsia="Times New Roman" w:cs="Times New Roman"/>
          <w:sz w:val="22"/>
        </w:rPr>
        <w:t>7.3 Predictive importance and anomalies</w:t>
      </w:r>
      <w:r>
        <w:tab/>
      </w:r>
      <w:r>
        <w:rPr>
          <w:rFonts w:ascii="Times New Roman" w:hAnsi="Times New Roman" w:eastAsia="Times New Roman" w:cs="Times New Roman"/>
          <w:sz w:val="22"/>
        </w:rPr>
        <w:t>25</w:t>
      </w:r>
    </w:p>
    <w:p>
      <w:pPr>
        <w:pStyle w:val="TOC2"/>
        <w:tabs>
          <w:tab w:pos="7992" w:val="right" w:leader="dot"/>
        </w:tabs>
      </w:pPr>
      <w:r>
        <w:rPr>
          <w:rFonts w:ascii="Times New Roman" w:hAnsi="Times New Roman" w:eastAsia="Times New Roman" w:cs="Times New Roman"/>
          <w:sz w:val="22"/>
        </w:rPr>
        <w:t>7.4 Relationship to prior evidence</w:t>
      </w:r>
      <w:r>
        <w:tab/>
      </w:r>
      <w:r>
        <w:rPr>
          <w:rFonts w:ascii="Times New Roman" w:hAnsi="Times New Roman" w:eastAsia="Times New Roman" w:cs="Times New Roman"/>
          <w:sz w:val="22"/>
        </w:rPr>
        <w:t>26</w:t>
      </w:r>
    </w:p>
    <w:p>
      <w:pPr>
        <w:pStyle w:val="TOC2"/>
        <w:tabs>
          <w:tab w:pos="7992" w:val="right" w:leader="dot"/>
        </w:tabs>
      </w:pPr>
      <w:r>
        <w:rPr>
          <w:rFonts w:ascii="Times New Roman" w:hAnsi="Times New Roman" w:eastAsia="Times New Roman" w:cs="Times New Roman"/>
          <w:sz w:val="22"/>
        </w:rPr>
        <w:t>7.5 Evidence-Based Recommendations and Future Work</w:t>
      </w:r>
      <w:r>
        <w:tab/>
      </w:r>
      <w:r>
        <w:rPr>
          <w:rFonts w:ascii="Times New Roman" w:hAnsi="Times New Roman" w:eastAsia="Times New Roman" w:cs="Times New Roman"/>
          <w:sz w:val="22"/>
        </w:rPr>
        <w:t>27</w:t>
      </w:r>
    </w:p>
    <w:p>
      <w:pPr>
        <w:pStyle w:val="TOC1"/>
        <w:tabs>
          <w:tab w:pos="7992" w:val="right" w:leader="dot"/>
        </w:tabs>
      </w:pPr>
      <w:r>
        <w:rPr>
          <w:rFonts w:ascii="Times New Roman" w:hAnsi="Times New Roman" w:eastAsia="Times New Roman" w:cs="Times New Roman"/>
          <w:sz w:val="22"/>
        </w:rPr>
        <w:t>8 Conclusion</w:t>
      </w:r>
      <w:r>
        <w:tab/>
      </w:r>
      <w:r>
        <w:rPr>
          <w:rFonts w:ascii="Times New Roman" w:hAnsi="Times New Roman" w:eastAsia="Times New Roman" w:cs="Times New Roman"/>
          <w:sz w:val="22"/>
        </w:rPr>
        <w:t>29</w:t>
      </w:r>
    </w:p>
    <w:p>
      <w:pPr>
        <w:pStyle w:val="TOC1"/>
        <w:tabs>
          <w:tab w:pos="7992" w:val="right" w:leader="dot"/>
        </w:tabs>
      </w:pPr>
      <w:r>
        <w:rPr>
          <w:rFonts w:ascii="Times New Roman" w:hAnsi="Times New Roman" w:eastAsia="Times New Roman" w:cs="Times New Roman"/>
          <w:sz w:val="22"/>
        </w:rPr>
        <w:t>References</w:t>
      </w:r>
      <w:r>
        <w:tab/>
      </w:r>
      <w:r>
        <w:rPr>
          <w:rFonts w:ascii="Times New Roman" w:hAnsi="Times New Roman" w:eastAsia="Times New Roman" w:cs="Times New Roman"/>
          <w:sz w:val="22"/>
        </w:rPr>
        <w:t>31</w:t>
      </w:r>
    </w:p>
    <w:p>
      <w:pPr>
        <w:pStyle w:val="TOC1"/>
        <w:tabs>
          <w:tab w:pos="7992" w:val="right" w:leader="dot"/>
        </w:tabs>
      </w:pPr>
      <w:r>
        <w:rPr>
          <w:rFonts w:ascii="Times New Roman" w:hAnsi="Times New Roman" w:eastAsia="Times New Roman" w:cs="Times New Roman"/>
          <w:sz w:val="22"/>
        </w:rPr>
        <w:t>Acknowledgements</w:t>
      </w:r>
      <w:r>
        <w:tab/>
      </w:r>
      <w:r>
        <w:rPr>
          <w:rFonts w:ascii="Times New Roman" w:hAnsi="Times New Roman" w:eastAsia="Times New Roman" w:cs="Times New Roman"/>
          <w:sz w:val="22"/>
        </w:rPr>
        <w:t>34</w:t>
      </w:r>
    </w:p>
    <w:p>
      <w:r>
        <w:br w:type="page"/>
      </w:r>
    </w:p>
    <w:p>
      <w:pPr>
        <w:keepNext/>
        <w:spacing w:after="240"/>
        <w:ind w:firstLine="0"/>
      </w:pPr>
      <w:r>
        <w:rPr>
          <w:rFonts w:ascii="Times New Roman" w:hAnsi="Times New Roman" w:eastAsia="Times New Roman" w:cs="Times New Roman"/>
          <w:b/>
          <w:sz w:val="28"/>
        </w:rPr>
        <w:t>List of Figures</w:t>
      </w:r>
    </w:p>
    <w:p>
      <w:pPr>
        <w:pStyle w:val="TOC1"/>
        <w:tabs>
          <w:tab w:pos="7992" w:val="right" w:leader="dot"/>
        </w:tabs>
      </w:pPr>
      <w:r>
        <w:rPr>
          <w:rFonts w:ascii="Times New Roman" w:hAnsi="Times New Roman" w:eastAsia="Times New Roman" w:cs="Times New Roman"/>
          <w:sz w:val="20"/>
        </w:rPr>
        <w:t>Figure 1. Data-quality results and original field-type composition. Zero counts for missing cells, duplicate rows, duplicate identifiers and invalid-range rows document why no corrective cleaning was applied.</w:t>
      </w:r>
      <w:r>
        <w:tab/>
      </w:r>
      <w:r>
        <w:rPr>
          <w:rFonts w:ascii="Times New Roman" w:hAnsi="Times New Roman" w:eastAsia="Times New Roman" w:cs="Times New Roman"/>
          <w:sz w:val="20"/>
        </w:rPr>
        <w:t>13</w:t>
      </w:r>
    </w:p>
    <w:p>
      <w:pPr>
        <w:pStyle w:val="TOC1"/>
        <w:tabs>
          <w:tab w:pos="7992" w:val="right" w:leader="dot"/>
        </w:tabs>
      </w:pPr>
      <w:r>
        <w:rPr>
          <w:rFonts w:ascii="Times New Roman" w:hAnsi="Times New Roman" w:eastAsia="Times New Roman" w:cs="Times New Roman"/>
          <w:sz w:val="20"/>
        </w:rPr>
        <w:t>Figure 2. Distributions of all original numeric and ordinal measures except the unique student identifier.</w:t>
      </w:r>
      <w:r>
        <w:tab/>
      </w:r>
      <w:r>
        <w:rPr>
          <w:rFonts w:ascii="Times New Roman" w:hAnsi="Times New Roman" w:eastAsia="Times New Roman" w:cs="Times New Roman"/>
          <w:sz w:val="20"/>
        </w:rPr>
        <w:t>14</w:t>
      </w:r>
    </w:p>
    <w:p>
      <w:pPr>
        <w:pStyle w:val="TOC1"/>
        <w:tabs>
          <w:tab w:pos="7992" w:val="right" w:leader="dot"/>
        </w:tabs>
      </w:pPr>
      <w:r>
        <w:rPr>
          <w:rFonts w:ascii="Times New Roman" w:hAnsi="Times New Roman" w:eastAsia="Times New Roman" w:cs="Times New Roman"/>
          <w:sz w:val="20"/>
        </w:rPr>
        <w:t>Figure 3. Frequency distributions for every categorical and Boolean source field.</w:t>
      </w:r>
      <w:r>
        <w:tab/>
      </w:r>
      <w:r>
        <w:rPr>
          <w:rFonts w:ascii="Times New Roman" w:hAnsi="Times New Roman" w:eastAsia="Times New Roman" w:cs="Times New Roman"/>
          <w:sz w:val="20"/>
        </w:rPr>
        <w:t>14</w:t>
      </w:r>
    </w:p>
    <w:p>
      <w:pPr>
        <w:pStyle w:val="TOC1"/>
        <w:tabs>
          <w:tab w:pos="7992" w:val="right" w:leader="dot"/>
        </w:tabs>
      </w:pPr>
      <w:r>
        <w:rPr>
          <w:rFonts w:ascii="Times New Roman" w:hAnsi="Times New Roman" w:eastAsia="Times New Roman" w:cs="Times New Roman"/>
          <w:sz w:val="20"/>
        </w:rPr>
        <w:t>Figure 4. Numeric correlation matrix and sampled relationship between previous GPA and GPA change. Post-semester outcomes are excluded from the predictor-focused matrix.</w:t>
      </w:r>
      <w:r>
        <w:tab/>
      </w:r>
      <w:r>
        <w:rPr>
          <w:rFonts w:ascii="Times New Roman" w:hAnsi="Times New Roman" w:eastAsia="Times New Roman" w:cs="Times New Roman"/>
          <w:sz w:val="20"/>
        </w:rPr>
        <w:t>15</w:t>
      </w:r>
    </w:p>
    <w:p>
      <w:pPr>
        <w:pStyle w:val="TOC1"/>
        <w:tabs>
          <w:tab w:pos="7992" w:val="right" w:leader="dot"/>
        </w:tabs>
      </w:pPr>
      <w:r>
        <w:rPr>
          <w:rFonts w:ascii="Times New Roman" w:hAnsi="Times New Roman" w:eastAsia="Times New Roman" w:cs="Times New Roman"/>
          <w:sz w:val="20"/>
        </w:rPr>
        <w:t>Figure 5. Counts and continuous distributions of GPA decreases, unchanged values and increases. The continuous target was retained without balancing.</w:t>
      </w:r>
      <w:r>
        <w:tab/>
      </w:r>
      <w:r>
        <w:rPr>
          <w:rFonts w:ascii="Times New Roman" w:hAnsi="Times New Roman" w:eastAsia="Times New Roman" w:cs="Times New Roman"/>
          <w:sz w:val="20"/>
        </w:rPr>
        <w:t>15</w:t>
      </w:r>
    </w:p>
    <w:p>
      <w:pPr>
        <w:pStyle w:val="TOC1"/>
        <w:tabs>
          <w:tab w:pos="7992" w:val="right" w:leader="dot"/>
        </w:tabs>
      </w:pPr>
      <w:r>
        <w:rPr>
          <w:rFonts w:ascii="Times New Roman" w:hAnsi="Times New Roman" w:eastAsia="Times New Roman" w:cs="Times New Roman"/>
          <w:sz w:val="20"/>
        </w:rPr>
        <w:t>Figure 6. Distribution of GPA change and descriptive relationships with previous GPA, prompt-engineering skill and weekly generative-AI hours. Error bars show 95% confidence intervals for group means.</w:t>
      </w:r>
      <w:r>
        <w:tab/>
      </w:r>
      <w:r>
        <w:rPr>
          <w:rFonts w:ascii="Times New Roman" w:hAnsi="Times New Roman" w:eastAsia="Times New Roman" w:cs="Times New Roman"/>
          <w:sz w:val="20"/>
        </w:rPr>
        <w:t>16</w:t>
      </w:r>
    </w:p>
    <w:p>
      <w:pPr>
        <w:pStyle w:val="TOC1"/>
        <w:tabs>
          <w:tab w:pos="7992" w:val="right" w:leader="dot"/>
        </w:tabs>
      </w:pPr>
      <w:r>
        <w:rPr>
          <w:rFonts w:ascii="Times New Roman" w:hAnsi="Times New Roman" w:eastAsia="Times New Roman" w:cs="Times New Roman"/>
          <w:sz w:val="20"/>
        </w:rPr>
        <w:t>Figure 7. Reserved-test RMSE by model and actual versus predicted GPA change for the selected tuned HGB model. The dashed diagonal represents perfect predictions.</w:t>
      </w:r>
      <w:r>
        <w:tab/>
      </w:r>
      <w:r>
        <w:rPr>
          <w:rFonts w:ascii="Times New Roman" w:hAnsi="Times New Roman" w:eastAsia="Times New Roman" w:cs="Times New Roman"/>
          <w:sz w:val="20"/>
        </w:rPr>
        <w:t>22</w:t>
      </w:r>
    </w:p>
    <w:p>
      <w:pPr>
        <w:pStyle w:val="TOC1"/>
        <w:tabs>
          <w:tab w:pos="7992" w:val="right" w:leader="dot"/>
        </w:tabs>
      </w:pPr>
      <w:r>
        <w:rPr>
          <w:rFonts w:ascii="Times New Roman" w:hAnsi="Times New Roman" w:eastAsia="Times New Roman" w:cs="Times New Roman"/>
          <w:sz w:val="20"/>
        </w:rPr>
        <w:t>Figure 8. Residuals against predicted GPA change and the residual distribution for tuned HGB.</w:t>
      </w:r>
      <w:r>
        <w:tab/>
      </w:r>
      <w:r>
        <w:rPr>
          <w:rFonts w:ascii="Times New Roman" w:hAnsi="Times New Roman" w:eastAsia="Times New Roman" w:cs="Times New Roman"/>
          <w:sz w:val="20"/>
        </w:rPr>
        <w:t>22</w:t>
      </w:r>
    </w:p>
    <w:p>
      <w:pPr>
        <w:pStyle w:val="TOC1"/>
        <w:tabs>
          <w:tab w:pos="7992" w:val="right" w:leader="dot"/>
        </w:tabs>
      </w:pPr>
      <w:r>
        <w:rPr>
          <w:rFonts w:ascii="Times New Roman" w:hAnsi="Times New Roman" w:eastAsia="Times New Roman" w:cs="Times New Roman"/>
          <w:sz w:val="20"/>
        </w:rPr>
        <w:t>Figure 9. Test MAE, RMSE and residual distributions separated by observed GPA-change direction. The same tuned model and untouched test set are used for all groups.</w:t>
      </w:r>
      <w:r>
        <w:tab/>
      </w:r>
      <w:r>
        <w:rPr>
          <w:rFonts w:ascii="Times New Roman" w:hAnsi="Times New Roman" w:eastAsia="Times New Roman" w:cs="Times New Roman"/>
          <w:sz w:val="20"/>
        </w:rPr>
        <w:t>23</w:t>
      </w:r>
    </w:p>
    <w:p>
      <w:pPr>
        <w:pStyle w:val="TOC1"/>
        <w:tabs>
          <w:tab w:pos="7992" w:val="right" w:leader="dot"/>
        </w:tabs>
      </w:pPr>
      <w:r>
        <w:rPr>
          <w:rFonts w:ascii="Times New Roman" w:hAnsi="Times New Roman" w:eastAsia="Times New Roman" w:cs="Times New Roman"/>
          <w:sz w:val="20"/>
        </w:rPr>
        <w:t>Figure 10. Test-set permutation importance for the selected tuned HGB model. Values show the mean deterioration in RMSE-based score after shuffling each source feature across five repetitions.</w:t>
      </w:r>
      <w:r>
        <w:tab/>
      </w:r>
      <w:r>
        <w:rPr>
          <w:rFonts w:ascii="Times New Roman" w:hAnsi="Times New Roman" w:eastAsia="Times New Roman" w:cs="Times New Roman"/>
          <w:sz w:val="20"/>
        </w:rPr>
        <w:t>26</w:t>
      </w:r>
    </w:p>
    <w:p>
      <w:r>
        <w:br w:type="page"/>
      </w:r>
    </w:p>
    <w:p>
      <w:pPr>
        <w:keepNext/>
        <w:spacing w:after="240"/>
        <w:ind w:firstLine="0"/>
      </w:pPr>
      <w:r>
        <w:rPr>
          <w:rFonts w:ascii="Times New Roman" w:hAnsi="Times New Roman" w:eastAsia="Times New Roman" w:cs="Times New Roman"/>
          <w:b/>
          <w:sz w:val="28"/>
        </w:rPr>
        <w:t>List of Tables</w:t>
      </w:r>
    </w:p>
    <w:p>
      <w:pPr>
        <w:pStyle w:val="TOC1"/>
        <w:tabs>
          <w:tab w:pos="7992" w:val="right" w:leader="dot"/>
        </w:tabs>
      </w:pPr>
      <w:r>
        <w:rPr>
          <w:rFonts w:ascii="Times New Roman" w:hAnsi="Times New Roman" w:eastAsia="Times New Roman" w:cs="Times New Roman"/>
          <w:sz w:val="20"/>
        </w:rPr>
        <w:t>Table 1. Search coverage and screening outcome</w:t>
      </w:r>
      <w:r>
        <w:tab/>
      </w:r>
      <w:r>
        <w:rPr>
          <w:rFonts w:ascii="Times New Roman" w:hAnsi="Times New Roman" w:eastAsia="Times New Roman" w:cs="Times New Roman"/>
          <w:sz w:val="20"/>
        </w:rPr>
        <w:t>4</w:t>
      </w:r>
    </w:p>
    <w:p>
      <w:pPr>
        <w:pStyle w:val="TOC1"/>
        <w:tabs>
          <w:tab w:pos="7992" w:val="right" w:leader="dot"/>
        </w:tabs>
      </w:pPr>
      <w:r>
        <w:rPr>
          <w:rFonts w:ascii="Times New Roman" w:hAnsi="Times New Roman" w:eastAsia="Times New Roman" w:cs="Times New Roman"/>
          <w:sz w:val="20"/>
        </w:rPr>
        <w:t>Table 2. Core literature informing the study</w:t>
      </w:r>
      <w:r>
        <w:tab/>
      </w:r>
      <w:r>
        <w:rPr>
          <w:rFonts w:ascii="Times New Roman" w:hAnsi="Times New Roman" w:eastAsia="Times New Roman" w:cs="Times New Roman"/>
          <w:sz w:val="20"/>
        </w:rPr>
        <w:t>8</w:t>
      </w:r>
    </w:p>
    <w:p>
      <w:pPr>
        <w:pStyle w:val="TOC1"/>
        <w:tabs>
          <w:tab w:pos="7992" w:val="right" w:leader="dot"/>
        </w:tabs>
      </w:pPr>
      <w:r>
        <w:rPr>
          <w:rFonts w:ascii="Times New Roman" w:hAnsi="Times New Roman" w:eastAsia="Times New Roman" w:cs="Times New Roman"/>
          <w:sz w:val="20"/>
        </w:rPr>
        <w:t>Table 3. Experimental workflow and evidence role</w:t>
      </w:r>
      <w:r>
        <w:tab/>
      </w:r>
      <w:r>
        <w:rPr>
          <w:rFonts w:ascii="Times New Roman" w:hAnsi="Times New Roman" w:eastAsia="Times New Roman" w:cs="Times New Roman"/>
          <w:sz w:val="20"/>
        </w:rPr>
        <w:t>12</w:t>
      </w:r>
    </w:p>
    <w:p>
      <w:pPr>
        <w:pStyle w:val="TOC1"/>
        <w:tabs>
          <w:tab w:pos="7992" w:val="right" w:leader="dot"/>
        </w:tabs>
      </w:pPr>
      <w:r>
        <w:rPr>
          <w:rFonts w:ascii="Times New Roman" w:hAnsi="Times New Roman" w:eastAsia="Times New Roman" w:cs="Times New Roman"/>
          <w:sz w:val="20"/>
        </w:rPr>
        <w:t>Table 4. Dataset preparation decisions</w:t>
      </w:r>
      <w:r>
        <w:tab/>
      </w:r>
      <w:r>
        <w:rPr>
          <w:rFonts w:ascii="Times New Roman" w:hAnsi="Times New Roman" w:eastAsia="Times New Roman" w:cs="Times New Roman"/>
          <w:sz w:val="20"/>
        </w:rPr>
        <w:t>16</w:t>
      </w:r>
    </w:p>
    <w:p>
      <w:pPr>
        <w:pStyle w:val="TOC1"/>
        <w:tabs>
          <w:tab w:pos="7992" w:val="right" w:leader="dot"/>
        </w:tabs>
      </w:pPr>
      <w:r>
        <w:rPr>
          <w:rFonts w:ascii="Times New Roman" w:hAnsi="Times New Roman" w:eastAsia="Times New Roman" w:cs="Times New Roman"/>
          <w:sz w:val="20"/>
        </w:rPr>
        <w:t>Table 5. Candidate model specification</w:t>
      </w:r>
      <w:r>
        <w:tab/>
      </w:r>
      <w:r>
        <w:rPr>
          <w:rFonts w:ascii="Times New Roman" w:hAnsi="Times New Roman" w:eastAsia="Times New Roman" w:cs="Times New Roman"/>
          <w:sz w:val="20"/>
        </w:rPr>
        <w:t>19</w:t>
      </w:r>
    </w:p>
    <w:p>
      <w:pPr>
        <w:pStyle w:val="TOC1"/>
        <w:tabs>
          <w:tab w:pos="7992" w:val="right" w:leader="dot"/>
        </w:tabs>
      </w:pPr>
      <w:r>
        <w:rPr>
          <w:rFonts w:ascii="Times New Roman" w:hAnsi="Times New Roman" w:eastAsia="Times New Roman" w:cs="Times New Roman"/>
          <w:sz w:val="20"/>
        </w:rPr>
        <w:t>Table 6. HGB randomised-search space and selected configuration</w:t>
      </w:r>
      <w:r>
        <w:tab/>
      </w:r>
      <w:r>
        <w:rPr>
          <w:rFonts w:ascii="Times New Roman" w:hAnsi="Times New Roman" w:eastAsia="Times New Roman" w:cs="Times New Roman"/>
          <w:sz w:val="20"/>
        </w:rPr>
        <w:t>20</w:t>
      </w:r>
    </w:p>
    <w:p>
      <w:pPr>
        <w:pStyle w:val="TOC1"/>
        <w:tabs>
          <w:tab w:pos="7992" w:val="right" w:leader="dot"/>
        </w:tabs>
      </w:pPr>
      <w:r>
        <w:rPr>
          <w:rFonts w:ascii="Times New Roman" w:hAnsi="Times New Roman" w:eastAsia="Times New Roman" w:cs="Times New Roman"/>
          <w:sz w:val="20"/>
        </w:rPr>
        <w:t>Table 7. Five-fold cross-validation and reserved-test performance</w:t>
      </w:r>
      <w:r>
        <w:tab/>
      </w:r>
      <w:r>
        <w:rPr>
          <w:rFonts w:ascii="Times New Roman" w:hAnsi="Times New Roman" w:eastAsia="Times New Roman" w:cs="Times New Roman"/>
          <w:sz w:val="20"/>
        </w:rPr>
        <w:t>21</w:t>
      </w:r>
    </w:p>
    <w:p>
      <w:pPr>
        <w:pStyle w:val="TOC1"/>
        <w:tabs>
          <w:tab w:pos="7992" w:val="right" w:leader="dot"/>
        </w:tabs>
      </w:pPr>
      <w:r>
        <w:rPr>
          <w:rFonts w:ascii="Times New Roman" w:hAnsi="Times New Roman" w:eastAsia="Times New Roman" w:cs="Times New Roman"/>
          <w:sz w:val="20"/>
        </w:rPr>
        <w:t>Table 8. HGB feature-set comparison</w:t>
      </w:r>
      <w:r>
        <w:tab/>
      </w:r>
      <w:r>
        <w:rPr>
          <w:rFonts w:ascii="Times New Roman" w:hAnsi="Times New Roman" w:eastAsia="Times New Roman" w:cs="Times New Roman"/>
          <w:sz w:val="20"/>
        </w:rPr>
        <w:t>24</w:t>
      </w:r>
    </w:p>
    <w:p>
      <w:pPr>
        <w:sectPr>
          <w:headerReference w:type="default" r:id="rId12"/>
          <w:footerReference w:type="default" r:id="rId13"/>
          <w:pgSz w:w="11906" w:h="16838"/>
          <w:pgMar w:top="1440" w:right="1440" w:bottom="1440" w:left="2160" w:header="648" w:footer="648" w:gutter="0"/>
          <w:cols w:space="720"/>
          <w:docGrid w:linePitch="360"/>
          <w:pgNumType w:fmt="lowerRoman" w:start="1"/>
        </w:sectPr>
      </w:pPr>
    </w:p>
    <w:p>
      <w:pPr>
        <w:pStyle w:val="Heading1"/>
        <w:pageBreakBefore/>
      </w:pPr>
      <w:r>
        <w:rPr>
          <w:rFonts w:ascii="Times New Roman" w:hAnsi="Times New Roman" w:eastAsia="Times New Roman" w:cs="Times New Roman"/>
          <w:b/>
          <w:sz w:val="28"/>
        </w:rPr>
        <w:t>1 Introduction, Aim and Objectives</w:t>
      </w:r>
    </w:p>
    <w:p>
      <w:pPr>
        <w:pStyle w:val="Heading2"/>
      </w:pPr>
      <w:r>
        <w:rPr>
          <w:rFonts w:ascii="Times New Roman" w:hAnsi="Times New Roman" w:eastAsia="Times New Roman" w:cs="Times New Roman"/>
          <w:b/>
          <w:sz w:val="24"/>
        </w:rPr>
        <w:t>1.1 Problem context</w:t>
      </w:r>
    </w:p>
    <w:p>
      <w:pPr/>
      <w:r>
        <w:rPr>
          <w:rFonts w:ascii="Times New Roman" w:hAnsi="Times New Roman" w:eastAsia="Times New Roman" w:cs="Times New Roman"/>
          <w:b w:val="0"/>
          <w:i w:val="0"/>
          <w:sz w:val="24"/>
        </w:rPr>
        <w:t>Generative artificial intelligence (GenAI) tools can produce explanations,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drafts, summaries, code and feedback in response to natural-language prompts.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Their rapid adoption has moved educational AI beyond systems selected by 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institution: students can now decide whether, why and how intensively to 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such tools. Earlier higher-education research already treated profiling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prediction as major AI applications (Zawacki-Richter et al., 2019), while more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recent reviews identify prediction, assessment, tutoring and AI assistance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across the field (Crompton &amp; Burke, 2023). GenAI adds a difficult question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this landscape: do recorded differences in student use help explain or predict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academic outcomes after conventional study context is considered?</w:t>
      </w:r>
    </w:p>
    <w:p>
      <w:pPr/>
      <w:r>
        <w:rPr>
          <w:rFonts w:ascii="Times New Roman" w:hAnsi="Times New Roman" w:eastAsia="Times New Roman" w:cs="Times New Roman"/>
          <w:b w:val="0"/>
          <w:i w:val="0"/>
          <w:sz w:val="24"/>
        </w:rPr>
        <w:t>Academic performance is often represented by grade point average (GPA). Raw</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post-semester GPA, however, is strongly related to previous GPA and can make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model appear successful without explaining academic change. In this report,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sz w:val="24"/>
        </w:rPr>
        <w:t>GPA change</w:t>
      </w:r>
      <w:r>
        <w:rPr>
          <w:rFonts w:ascii="Times New Roman" w:hAnsi="Times New Roman" w:eastAsia="Times New Roman" w:cs="Times New Roman"/>
          <w:b w:val="0"/>
          <w:i w:val="0"/>
          <w:sz w:val="24"/>
        </w:rPr>
        <w:t xml:space="preserve"> refers to post-semester GPA minus pre-semester GPA. A positive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number indicates improvement and a negative number indicates decline.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Predicting this continuous difference retains both direction and magnitude,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whereas a binary “improved/not improved” label would treat a change of 0.02 as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equivalent to a change of 0.80.</w:t>
      </w:r>
    </w:p>
    <w:p>
      <w:pPr/>
      <w:r>
        <w:rPr>
          <w:rFonts w:ascii="Times New Roman" w:hAnsi="Times New Roman" w:eastAsia="Times New Roman" w:cs="Times New Roman"/>
          <w:b w:val="0"/>
          <w:i w:val="0"/>
          <w:sz w:val="24"/>
        </w:rPr>
        <w:t>The educational literature does not justify assuming that greater AI exposure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will improve performance. Early reviews describe opportunities for tutoring,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feedback and independent study but also identify inaccuracy, over-reliance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academic-integrity risks (Kasneci et al., 2023; Lo, 2023). Empirical results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also depend on how use and performance are measured. It is therefore more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defensible to ask whether AI-related fields contain </w:t>
      </w:r>
      <w:r>
        <w:rPr>
          <w:rFonts w:ascii="Times New Roman" w:hAnsi="Times New Roman" w:eastAsia="Times New Roman" w:cs="Times New Roman"/>
          <w:b w:val="0"/>
          <w:i/>
          <w:sz w:val="24"/>
        </w:rPr>
        <w:t>predictive information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than whether AI use </w:t>
      </w:r>
      <w:r>
        <w:rPr>
          <w:rFonts w:ascii="Times New Roman" w:hAnsi="Times New Roman" w:eastAsia="Times New Roman" w:cs="Times New Roman"/>
          <w:b w:val="0"/>
          <w:i/>
          <w:sz w:val="24"/>
        </w:rPr>
        <w:t>caused</w:t>
      </w:r>
      <w:r>
        <w:rPr>
          <w:rFonts w:ascii="Times New Roman" w:hAnsi="Times New Roman" w:eastAsia="Times New Roman" w:cs="Times New Roman"/>
          <w:b w:val="0"/>
          <w:i w:val="0"/>
          <w:sz w:val="24"/>
        </w:rPr>
        <w:t xml:space="preserve"> GPA change.</w:t>
      </w:r>
    </w:p>
    <w:p>
      <w:pPr>
        <w:pStyle w:val="Heading2"/>
      </w:pPr>
      <w:r>
        <w:rPr>
          <w:rFonts w:ascii="Times New Roman" w:hAnsi="Times New Roman" w:eastAsia="Times New Roman" w:cs="Times New Roman"/>
          <w:b/>
          <w:sz w:val="24"/>
        </w:rPr>
        <w:t>1.2 Dataset and analytical problem</w:t>
      </w:r>
    </w:p>
    <w:p>
      <w:pPr/>
      <w:r>
        <w:rPr>
          <w:rFonts w:ascii="Times New Roman" w:hAnsi="Times New Roman" w:eastAsia="Times New Roman" w:cs="Times New Roman"/>
          <w:b w:val="0"/>
          <w:i w:val="0"/>
          <w:sz w:val="24"/>
        </w:rPr>
        <w:t xml:space="preserve">The analysis used the Kaggle </w:t>
      </w:r>
      <w:r>
        <w:rPr>
          <w:rFonts w:ascii="Times New Roman" w:hAnsi="Times New Roman" w:eastAsia="Times New Roman" w:cs="Times New Roman"/>
          <w:b w:val="0"/>
          <w:i/>
          <w:sz w:val="24"/>
        </w:rPr>
        <w:t>Impact of Ai on Students</w:t>
      </w:r>
      <w:r>
        <w:rPr>
          <w:rFonts w:ascii="Times New Roman" w:hAnsi="Times New Roman" w:eastAsia="Times New Roman" w:cs="Times New Roman"/>
          <w:b w:val="0"/>
          <w:i w:val="0"/>
          <w:sz w:val="24"/>
        </w:rPr>
        <w:t xml:space="preserve"> dataset (Nagi sisiro,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2026). It contains 50,000 student records and 16 source columns covering major,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year of study, previous GPA, conventional study hours, exam anxiety, weekly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GenAI hours, use case, prompt skill, tool diversity, subscription, perceived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dependency, institutional policy and post-semester outcomes. The file is large,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mixed-type and suitable for comparing regression algorithms.</w:t>
      </w:r>
    </w:p>
    <w:p>
      <w:pPr/>
      <w:r>
        <w:rPr>
          <w:rFonts w:ascii="Times New Roman" w:hAnsi="Times New Roman" w:eastAsia="Times New Roman" w:cs="Times New Roman"/>
          <w:b w:val="0"/>
          <w:i w:val="0"/>
          <w:sz w:val="24"/>
        </w:rPr>
        <w:t>Its strengths are accompanied by substantial limitations. Kaggle does not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document the institution, country, sampling design, collection instrument,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observation period, ethics procedure or whether the records are observed 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synthetic. The file also has no missing values or duplicate rows, despite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assignment's preference for an imperfect dataset. These conditions make it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appropriate for demonstrating a rigorous machine-learning workflow, but not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for estimating population prevalence or recommending that students change AI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use to alter GPA.</w:t>
      </w:r>
    </w:p>
    <w:p>
      <w:pPr/>
      <w:r>
        <w:rPr>
          <w:rFonts w:ascii="Times New Roman" w:hAnsi="Times New Roman" w:eastAsia="Times New Roman" w:cs="Times New Roman"/>
          <w:b w:val="0"/>
          <w:i w:val="0"/>
          <w:sz w:val="24"/>
        </w:rPr>
        <w:t>The modelling problem was designed around leakage control. The derived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GPA_Change</w:t>
      </w:r>
      <w:r>
        <w:rPr>
          <w:rFonts w:ascii="Times New Roman" w:hAnsi="Times New Roman" w:eastAsia="Times New Roman" w:cs="Times New Roman"/>
          <w:b w:val="0"/>
          <w:i w:val="0"/>
          <w:sz w:val="24"/>
        </w:rPr>
        <w:t xml:space="preserve"> target could be reconstructed if </w:t>
      </w:r>
      <w:r>
        <w:rPr>
          <w:rFonts w:ascii="Times New Roman" w:hAnsi="Times New Roman" w:eastAsia="Times New Roman" w:cs="Times New Roman"/>
          <w:b w:val="0"/>
          <w:i w:val="0"/>
          <w:sz w:val="24"/>
          <w:szCs w:val="24"/>
        </w:rPr>
        <w:t>Post_Semester_GPA</w:t>
      </w:r>
      <w:r>
        <w:rPr>
          <w:rFonts w:ascii="Times New Roman" w:hAnsi="Times New Roman" w:eastAsia="Times New Roman" w:cs="Times New Roman"/>
          <w:b w:val="0"/>
          <w:i w:val="0"/>
          <w:sz w:val="24"/>
        </w:rPr>
        <w:t xml:space="preserve"> were retained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as a predictor, so that field was excluded. </w:t>
      </w:r>
      <w:r>
        <w:rPr>
          <w:rFonts w:ascii="Times New Roman" w:hAnsi="Times New Roman" w:eastAsia="Times New Roman" w:cs="Times New Roman"/>
          <w:b w:val="0"/>
          <w:i w:val="0"/>
          <w:sz w:val="24"/>
          <w:szCs w:val="24"/>
        </w:rPr>
        <w:t>Student_ID</w:t>
      </w:r>
      <w:r>
        <w:rPr>
          <w:rFonts w:ascii="Times New Roman" w:hAnsi="Times New Roman" w:eastAsia="Times New Roman" w:cs="Times New Roman"/>
          <w:b w:val="0"/>
          <w:i w:val="0"/>
          <w:sz w:val="24"/>
        </w:rPr>
        <w:t xml:space="preserve"> and the separate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post-semester outcomes </w:t>
      </w:r>
      <w:r>
        <w:rPr>
          <w:rFonts w:ascii="Times New Roman" w:hAnsi="Times New Roman" w:eastAsia="Times New Roman" w:cs="Times New Roman"/>
          <w:b w:val="0"/>
          <w:i w:val="0"/>
          <w:sz w:val="24"/>
          <w:szCs w:val="24"/>
        </w:rPr>
        <w:t>Skill_Retention_Score</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szCs w:val="24"/>
        </w:rPr>
        <w:t>Burnout_Risk_Level</w:t>
      </w:r>
      <w:r>
        <w:rPr>
          <w:rFonts w:ascii="Times New Roman" w:hAnsi="Times New Roman" w:eastAsia="Times New Roman" w:cs="Times New Roman"/>
          <w:b w:val="0"/>
          <w:i w:val="0"/>
          <w:sz w:val="24"/>
        </w:rPr>
        <w:t xml:space="preserve"> were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also removed. Context variables and AI variables were compared separately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together, then five candidate regressors were evaluated using a common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development-test split and five-fold cross-validation.</w:t>
      </w:r>
    </w:p>
    <w:p>
      <w:pPr>
        <w:pStyle w:val="Heading2"/>
      </w:pPr>
      <w:r>
        <w:rPr>
          <w:rFonts w:ascii="Times New Roman" w:hAnsi="Times New Roman" w:eastAsia="Times New Roman" w:cs="Times New Roman"/>
          <w:b/>
          <w:sz w:val="24"/>
        </w:rPr>
        <w:t>1.3 Research question</w:t>
      </w:r>
    </w:p>
    <w:p>
      <w:pPr>
        <w:spacing w:before="100" w:after="160"/>
        <w:ind w:firstLine="0" w:left="317" w:right="216"/>
        <w:pBdr>
          <w:left w:val="single" w:sz="12" w:space="8" w:color="D71920"/>
        </w:pBdr>
        <w:shd w:fill="F2F2F2"/>
      </w:pPr>
      <w:r>
        <w:rPr>
          <w:rFonts w:ascii="Times New Roman" w:hAnsi="Times New Roman" w:eastAsia="Times New Roman" w:cs="Times New Roman"/>
          <w:b w:val="0"/>
          <w:i/>
          <w:sz w:val="23"/>
        </w:rPr>
        <w:t>To what extent do AI-usage variables improve out-of-sample prediction of</w:t>
      </w:r>
      <w:r>
        <w:rPr>
          <w:rFonts w:ascii="Times New Roman" w:hAnsi="Times New Roman" w:eastAsia="Times New Roman" w:cs="Times New Roman"/>
          <w:b w:val="0"/>
          <w:i/>
          <w:sz w:val="23"/>
        </w:rPr>
        <w:t xml:space="preserve"> </w:t>
      </w:r>
      <w:r>
        <w:rPr>
          <w:rFonts w:ascii="Times New Roman" w:hAnsi="Times New Roman" w:eastAsia="Times New Roman" w:cs="Times New Roman"/>
          <w:b w:val="0"/>
          <w:i/>
          <w:sz w:val="23"/>
        </w:rPr>
        <w:t>semester GPA change beyond previous GPA and general study context, and which</w:t>
      </w:r>
      <w:r>
        <w:rPr>
          <w:rFonts w:ascii="Times New Roman" w:hAnsi="Times New Roman" w:eastAsia="Times New Roman" w:cs="Times New Roman"/>
          <w:b w:val="0"/>
          <w:i/>
          <w:sz w:val="23"/>
        </w:rPr>
        <w:t xml:space="preserve"> </w:t>
      </w:r>
      <w:r>
        <w:rPr>
          <w:rFonts w:ascii="Times New Roman" w:hAnsi="Times New Roman" w:eastAsia="Times New Roman" w:cs="Times New Roman"/>
          <w:b w:val="0"/>
          <w:i/>
          <w:sz w:val="23"/>
        </w:rPr>
        <w:t>regression model provides the strongest validated performance?</w:t>
      </w:r>
    </w:p>
    <w:p>
      <w:pPr/>
      <w:r>
        <w:rPr>
          <w:rFonts w:ascii="Times New Roman" w:hAnsi="Times New Roman" w:eastAsia="Times New Roman" w:cs="Times New Roman"/>
          <w:b w:val="0"/>
          <w:i w:val="0"/>
          <w:sz w:val="24"/>
        </w:rPr>
        <w:t>This wording sets two boundaries. “Out-of-sample” requires evaluation on rows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used to fit the corresponding model. “Prediction” limits the conclusion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associations within the supplied data.</w:t>
      </w:r>
    </w:p>
    <w:p>
      <w:pPr>
        <w:pStyle w:val="Heading2"/>
      </w:pPr>
      <w:r>
        <w:rPr>
          <w:rFonts w:ascii="Times New Roman" w:hAnsi="Times New Roman" w:eastAsia="Times New Roman" w:cs="Times New Roman"/>
          <w:b/>
          <w:sz w:val="24"/>
        </w:rPr>
        <w:t>1.4 Aim</w:t>
      </w:r>
    </w:p>
    <w:p>
      <w:pPr/>
      <w:r>
        <w:rPr>
          <w:rFonts w:ascii="Times New Roman" w:hAnsi="Times New Roman" w:eastAsia="Times New Roman" w:cs="Times New Roman"/>
          <w:b w:val="0"/>
          <w:i w:val="0"/>
          <w:sz w:val="24"/>
        </w:rPr>
        <w:t>The primary aim of this study was to build and critically evaluate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leakage-controlled regression models for semester GPA change, with particular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attention to the incremental predictive value of AI-usage variables.</w:t>
      </w:r>
    </w:p>
    <w:p>
      <w:pPr>
        <w:pStyle w:val="Heading2"/>
      </w:pPr>
      <w:r>
        <w:rPr>
          <w:rFonts w:ascii="Times New Roman" w:hAnsi="Times New Roman" w:eastAsia="Times New Roman" w:cs="Times New Roman"/>
          <w:b/>
          <w:sz w:val="24"/>
        </w:rPr>
        <w:t>1.5 Objectives</w:t>
      </w:r>
    </w:p>
    <w:p>
      <w:pPr>
        <w:spacing w:after="60" w:line="360" w:lineRule="auto"/>
        <w:ind w:left="504" w:hanging="360"/>
      </w:pPr>
      <w:r>
        <w:rPr>
          <w:rFonts w:ascii="Times New Roman" w:hAnsi="Times New Roman" w:eastAsia="Times New Roman" w:cs="Times New Roman"/>
          <w:sz w:val="24"/>
        </w:rPr>
        <w:t xml:space="preserve">1. </w:t>
      </w:r>
      <w:r>
        <w:rPr>
          <w:rFonts w:ascii="Times New Roman" w:hAnsi="Times New Roman" w:eastAsia="Times New Roman" w:cs="Times New Roman"/>
          <w:b w:val="0"/>
          <w:i w:val="0"/>
          <w:sz w:val="24"/>
        </w:rPr>
        <w:t>Examine the dataset's structure, integrity and GPA-change distribution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without modifying the raw CSV or manufacturing data-quality problems.</w:t>
      </w:r>
    </w:p>
    <w:p>
      <w:pPr>
        <w:spacing w:after="60" w:line="360" w:lineRule="auto"/>
        <w:ind w:left="504" w:hanging="360"/>
      </w:pPr>
      <w:r>
        <w:rPr>
          <w:rFonts w:ascii="Times New Roman" w:hAnsi="Times New Roman" w:eastAsia="Times New Roman" w:cs="Times New Roman"/>
          <w:sz w:val="24"/>
        </w:rPr>
        <w:t xml:space="preserve">2. </w:t>
      </w:r>
      <w:r>
        <w:rPr>
          <w:rFonts w:ascii="Times New Roman" w:hAnsi="Times New Roman" w:eastAsia="Times New Roman" w:cs="Times New Roman"/>
          <w:b w:val="0"/>
          <w:i w:val="0"/>
          <w:sz w:val="24"/>
        </w:rPr>
        <w:t>Construct a defensible continuous GPA-change target and define separate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context, AI-only and combined predictor groups.</w:t>
      </w:r>
    </w:p>
    <w:p>
      <w:pPr>
        <w:spacing w:after="60" w:line="360" w:lineRule="auto"/>
        <w:ind w:left="504" w:hanging="360"/>
      </w:pPr>
      <w:r>
        <w:rPr>
          <w:rFonts w:ascii="Times New Roman" w:hAnsi="Times New Roman" w:eastAsia="Times New Roman" w:cs="Times New Roman"/>
          <w:sz w:val="24"/>
        </w:rPr>
        <w:t xml:space="preserve">3. </w:t>
      </w:r>
      <w:r>
        <w:rPr>
          <w:rFonts w:ascii="Times New Roman" w:hAnsi="Times New Roman" w:eastAsia="Times New Roman" w:cs="Times New Roman"/>
          <w:b w:val="0"/>
          <w:i w:val="0"/>
          <w:sz w:val="24"/>
        </w:rPr>
        <w:t>Prevent identifier and post-outcome leakage through explicit feature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exclusions and fold-local preprocessing.</w:t>
      </w:r>
    </w:p>
    <w:p>
      <w:pPr>
        <w:spacing w:after="60" w:line="360" w:lineRule="auto"/>
        <w:ind w:left="504" w:hanging="360"/>
      </w:pPr>
      <w:r>
        <w:rPr>
          <w:rFonts w:ascii="Times New Roman" w:hAnsi="Times New Roman" w:eastAsia="Times New Roman" w:cs="Times New Roman"/>
          <w:sz w:val="24"/>
        </w:rPr>
        <w:t xml:space="preserve">4. </w:t>
      </w:r>
      <w:r>
        <w:rPr>
          <w:rFonts w:ascii="Times New Roman" w:hAnsi="Times New Roman" w:eastAsia="Times New Roman" w:cs="Times New Roman"/>
          <w:b w:val="0"/>
          <w:i w:val="0"/>
          <w:sz w:val="24"/>
        </w:rPr>
        <w:t>Compare a mean baseline, Linear Regression, Ridge Regression, Random Forest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Histogram Gradient Boosting using consistent five-fold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cross-validation.</w:t>
      </w:r>
    </w:p>
    <w:p>
      <w:pPr>
        <w:spacing w:after="60" w:line="360" w:lineRule="auto"/>
        <w:ind w:left="504" w:hanging="360"/>
      </w:pPr>
      <w:r>
        <w:rPr>
          <w:rFonts w:ascii="Times New Roman" w:hAnsi="Times New Roman" w:eastAsia="Times New Roman" w:cs="Times New Roman"/>
          <w:sz w:val="24"/>
        </w:rPr>
        <w:t xml:space="preserve">5. </w:t>
      </w:r>
      <w:r>
        <w:rPr>
          <w:rFonts w:ascii="Times New Roman" w:hAnsi="Times New Roman" w:eastAsia="Times New Roman" w:cs="Times New Roman"/>
          <w:b w:val="0"/>
          <w:i w:val="0"/>
          <w:sz w:val="24"/>
        </w:rPr>
        <w:t>Tune the strongest nonlinear model using development data only and confirm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performance on a reserved 20% test set.</w:t>
      </w:r>
    </w:p>
    <w:p>
      <w:pPr>
        <w:spacing w:after="60" w:line="360" w:lineRule="auto"/>
        <w:ind w:left="504" w:hanging="360"/>
      </w:pPr>
      <w:r>
        <w:rPr>
          <w:rFonts w:ascii="Times New Roman" w:hAnsi="Times New Roman" w:eastAsia="Times New Roman" w:cs="Times New Roman"/>
          <w:sz w:val="24"/>
        </w:rPr>
        <w:t xml:space="preserve">6. </w:t>
      </w:r>
      <w:r>
        <w:rPr>
          <w:rFonts w:ascii="Times New Roman" w:hAnsi="Times New Roman" w:eastAsia="Times New Roman" w:cs="Times New Roman"/>
          <w:b w:val="0"/>
          <w:i w:val="0"/>
          <w:sz w:val="24"/>
        </w:rPr>
        <w:t>Interpret residuals, error tolerances and permutation importance against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literature, then make recommendations proportionate to the evidence.</w:t>
      </w:r>
    </w:p>
    <w:p>
      <w:pPr>
        <w:pStyle w:val="Heading2"/>
      </w:pPr>
      <w:r>
        <w:rPr>
          <w:rFonts w:ascii="Times New Roman" w:hAnsi="Times New Roman" w:eastAsia="Times New Roman" w:cs="Times New Roman"/>
          <w:b/>
          <w:sz w:val="24"/>
        </w:rPr>
        <w:t>1.6 Scope and contribution</w:t>
      </w:r>
    </w:p>
    <w:p>
      <w:pPr/>
      <w:r>
        <w:rPr>
          <w:rFonts w:ascii="Times New Roman" w:hAnsi="Times New Roman" w:eastAsia="Times New Roman" w:cs="Times New Roman"/>
          <w:b w:val="0"/>
          <w:i w:val="0"/>
          <w:sz w:val="24"/>
        </w:rPr>
        <w:t>The reported implementation is a single leakage-controlled regression workflow; supplementary deep-learning experiments are outside the report scope. Its technical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contribution is a reproducible comparison of linear and nonlinear models, 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explicit context-versus-AI feature ablation, and a validation hierarchy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uses cross-validation for selection and the test set for confirmation. Its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critical contribution is equally important: it connects model results to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structured 15-source literature review while distinguishing predictive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association from causal explanation. The following sections first synthesise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evidence base, then describe preparation, implementation and validation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before analysing the findings and their practical limits.</w:t>
      </w:r>
    </w:p>
    <w:p>
      <w:pPr>
        <w:pStyle w:val="Heading1"/>
        <w:pageBreakBefore/>
      </w:pPr>
      <w:r>
        <w:rPr>
          <w:rFonts w:ascii="Times New Roman" w:hAnsi="Times New Roman" w:eastAsia="Times New Roman" w:cs="Times New Roman"/>
          <w:b/>
          <w:sz w:val="28"/>
        </w:rPr>
        <w:t>2 Related Works</w:t>
      </w:r>
    </w:p>
    <w:p>
      <w:pPr>
        <w:pStyle w:val="Heading2"/>
      </w:pPr>
      <w:r>
        <w:rPr>
          <w:rFonts w:ascii="Times New Roman" w:hAnsi="Times New Roman" w:eastAsia="Times New Roman" w:cs="Times New Roman"/>
          <w:b/>
          <w:sz w:val="24"/>
        </w:rPr>
        <w:t>2.1 Review method</w:t>
      </w:r>
    </w:p>
    <w:p>
      <w:pPr/>
      <w:r>
        <w:rPr>
          <w:rFonts w:ascii="Times New Roman" w:hAnsi="Times New Roman" w:eastAsia="Times New Roman" w:cs="Times New Roman"/>
          <w:b w:val="0"/>
          <w:i w:val="0"/>
          <w:sz w:val="24"/>
        </w:rPr>
        <w:t>A structured multi-database search was conducted on 1 July 2026 to identify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work relevant to generative-AI use, academic outcomes, AI literacy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student-performance prediction in higher education. Four query families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combined: (1) generative AI or ChatGPT with academic performance; (2) AI-use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behaviour, prompt engineering or AI literacy with student outcomes; (3) machine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learning with GPA or academic-performance prediction; and (4) the exact Kaggle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title, filename and creator. Searches were run through ERIC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Crossref, supplemented by public Semantic Scholar result pages and publisher 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DOI records. OpenAlex was attempted but its anonymous API required an API key 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returned a rate-limit response; this was recorded as unavailable rather than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interpreted as no evidence.</w:t>
      </w:r>
    </w:p>
    <w:p>
      <w:pPr/>
      <w:r>
        <w:rPr>
          <w:rFonts w:ascii="Times New Roman" w:hAnsi="Times New Roman" w:eastAsia="Times New Roman" w:cs="Times New Roman"/>
          <w:b w:val="0"/>
          <w:i w:val="0"/>
          <w:sz w:val="24"/>
        </w:rPr>
        <w:t>English publications from 2016 to 2026 were prioritised, with emphasis on work</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published after 2022 for generative AI. Eligible records included empirical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higher-education studies, relevant reviews and methodological sources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could support model design or validation. Promotional material, unverifiable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records, school-only studies, perception studies without a relevant outcome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duplicates were excluded. Records were deduplicated by DOI and normalised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title. The review inspected 50 discovery records, verified 15 domain records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by DOI, title, author and year, and retained them as the problem-focused core.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Ten primary software or methodological publications were then verified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document tools, algorithms, tuning, validation and interpretation used in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implementation.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exact-dataset search located the Kaggle metadata but no inspectable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peer-reviewed benchmark. The review is therefore reproducible and systematic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 its search logic, but it is not presented as a complete PRISMA systematic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review.</w:t>
      </w:r>
    </w:p>
    <w:p>
      <w:pPr>
        <w:pStyle w:val="Caption"/>
        <w:keepNext/>
        <w:jc w:val="left"/>
      </w:pPr>
      <w:r>
        <w:rPr>
          <w:rFonts w:ascii="Times New Roman" w:hAnsi="Times New Roman" w:eastAsia="Times New Roman" w:cs="Times New Roman"/>
          <w:b/>
          <w:sz w:val="20"/>
        </w:rPr>
        <w:t>Table 1. Search coverage and screening outcome</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728"/>
        <w:gridCol w:w="2088"/>
        <w:gridCol w:w="2088"/>
        <w:gridCol w:w="2405"/>
      </w:tblGrid>
      <w:tr>
        <w:trPr>
          <w:cantSplit/>
          <w:tblHeader w:val="true"/>
        </w:trPr>
        <w:tc>
          <w:tcPr>
            <w:tcW w:type="dxa" w:w="1728"/>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Source</w:t>
            </w:r>
          </w:p>
        </w:tc>
        <w:tc>
          <w:tcPr>
            <w:tcW w:type="dxa" w:w="2088"/>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Search role</w:t>
            </w:r>
          </w:p>
        </w:tc>
        <w:tc>
          <w:tcPr>
            <w:tcW w:type="dxa" w:w="208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Records inspected</w:t>
            </w:r>
          </w:p>
        </w:tc>
        <w:tc>
          <w:tcPr>
            <w:tcW w:type="dxa" w:w="2405"/>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Core records retained</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ERIC</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All four query families</w:t>
            </w:r>
          </w:p>
        </w:tc>
        <w:tc>
          <w:tcPr>
            <w:tcW w:type="dxa" w:w="208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17</w:t>
            </w:r>
          </w:p>
        </w:tc>
        <w:tc>
          <w:tcPr>
            <w:tcW w:type="dxa" w:w="2405"/>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10 before cross-database deduplication</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Crossref</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Broad discovery and targeted DOI verification</w:t>
            </w:r>
          </w:p>
        </w:tc>
        <w:tc>
          <w:tcPr>
            <w:tcW w:type="dxa" w:w="208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20 broad results plus 15 DOI checks</w:t>
            </w:r>
          </w:p>
        </w:tc>
        <w:tc>
          <w:tcPr>
            <w:tcW w:type="dxa" w:w="2405"/>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15 verified DOI records</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Semantic Scholar</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Supplementary public-result discovery</w:t>
            </w:r>
          </w:p>
        </w:tc>
        <w:tc>
          <w:tcPr>
            <w:tcW w:type="dxa" w:w="208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13</w:t>
            </w:r>
          </w:p>
        </w:tc>
        <w:tc>
          <w:tcPr>
            <w:tcW w:type="dxa" w:w="2405"/>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3 before deduplication</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OpenAlex</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Planned discovery source</w:t>
            </w:r>
          </w:p>
        </w:tc>
        <w:tc>
          <w:tcPr>
            <w:tcW w:type="dxa" w:w="208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w:t>
            </w:r>
          </w:p>
        </w:tc>
        <w:tc>
          <w:tcPr>
            <w:tcW w:type="dxa" w:w="2405"/>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 access unavailable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Kaggle</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Exact dataset and notebook search</w:t>
            </w:r>
          </w:p>
        </w:tc>
        <w:tc>
          <w:tcPr>
            <w:tcW w:type="dxa" w:w="208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Dataset metadata only</w:t>
            </w:r>
          </w:p>
        </w:tc>
        <w:tc>
          <w:tcPr>
            <w:tcW w:type="dxa" w:w="2405"/>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Dataset source; no comparative study</w:t>
            </w:r>
          </w:p>
        </w:tc>
      </w:tr>
    </w:tbl>
    <w:p>
      <w:pPr>
        <w:spacing w:before="0" w:after="0" w:line="40" w:lineRule="exact"/>
        <w:ind w:firstLine="0"/>
      </w:pPr>
    </w:p>
    <w:p>
      <w:pPr/>
      <w:r>
        <w:rPr>
          <w:rFonts w:ascii="Times New Roman" w:hAnsi="Times New Roman" w:eastAsia="Times New Roman" w:cs="Times New Roman"/>
          <w:b w:val="0"/>
          <w:i w:val="0"/>
          <w:sz w:val="24"/>
        </w:rPr>
        <w:t>Counts overlap because studies appeared through several routes. Degraded API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access was recorded rather than interpreted as negative evidence, and no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Kaggle notebook was admitted without inspectable methods and results.</w:t>
      </w:r>
    </w:p>
    <w:p>
      <w:pPr/>
      <w:r>
        <w:rPr>
          <w:rFonts w:ascii="Times New Roman" w:hAnsi="Times New Roman" w:eastAsia="Times New Roman" w:cs="Times New Roman"/>
          <w:b w:val="0"/>
          <w:i w:val="0"/>
          <w:sz w:val="24"/>
        </w:rPr>
        <w:t>Quality appraisal covered design, sample, outcome, validation, leakage,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self-reporting and causal overreach. It prevented pooled effects,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classification accuracy and observational associations from being transferred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uncritically to this regression.</w:t>
      </w:r>
    </w:p>
    <w:p>
      <w:pPr>
        <w:pStyle w:val="Heading2"/>
      </w:pPr>
      <w:r>
        <w:rPr>
          <w:rFonts w:ascii="Times New Roman" w:hAnsi="Times New Roman" w:eastAsia="Times New Roman" w:cs="Times New Roman"/>
          <w:b/>
          <w:sz w:val="24"/>
        </w:rPr>
        <w:t>2.2 AI in higher education</w:t>
      </w:r>
    </w:p>
    <w:p>
      <w:pPr/>
      <w:r>
        <w:rPr>
          <w:rFonts w:ascii="Times New Roman" w:hAnsi="Times New Roman" w:eastAsia="Times New Roman" w:cs="Times New Roman"/>
          <w:b w:val="0"/>
          <w:i w:val="0"/>
          <w:sz w:val="24"/>
        </w:rPr>
        <w:t>A considerable body of literature has examined artificial intelligence in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higher education, although the focus has changed quickly. Zawacki-Richter 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 (2019) reviewed 146 studies published between 2007 and 2018 and grouped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applications into profiling and prediction, assessment and evaluation,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adaptive systems and personalisation, and intelligent tutoring. Their review</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also identified limited involvement of educators and limited attention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pedagogical and ethical questions. Crompton and Burke (2023) subsequently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reviewed 138 studies from 2016 to 2022 and found prominent uses in prediction,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assessment, AI assistance, tutoring and learning management. Together, these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reviews establish student prediction as a longstanding application, but they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largely precede widespread student access to generative AI.</w:t>
      </w:r>
    </w:p>
    <w:p>
      <w:pPr/>
      <w:r>
        <w:rPr>
          <w:rFonts w:ascii="Times New Roman" w:hAnsi="Times New Roman" w:eastAsia="Times New Roman" w:cs="Times New Roman"/>
          <w:b w:val="0"/>
          <w:i w:val="0"/>
          <w:sz w:val="24"/>
        </w:rPr>
        <w:t>The release of general-purpose conversational systems expanded the research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problem from institutional analytics to student-controlled use. Lo's (2023)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rapid review identified opportunities for tutoring, feedback and independent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study alongside risks involving accuracy, academic integrity and over-reliance.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Kasneci et al. (2023) similarly argued that large language models could support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personalisation and feedback, but stressed reliability, bias, assessment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dependency. These sources justify examining AI use as a multidimensional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context rather than assuming that use is uniformly beneficial or harmful.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However, both reflect an early evidence base in which conceptual discussion was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more developed than direct measurement of academic outcomes.</w:t>
      </w:r>
    </w:p>
    <w:p>
      <w:pPr>
        <w:pStyle w:val="Heading2"/>
      </w:pPr>
      <w:r>
        <w:rPr>
          <w:rFonts w:ascii="Times New Roman" w:hAnsi="Times New Roman" w:eastAsia="Times New Roman" w:cs="Times New Roman"/>
          <w:b/>
          <w:sz w:val="24"/>
        </w:rPr>
        <w:t>2.3 Mixed evidence on academic outcomes</w:t>
      </w:r>
    </w:p>
    <w:p>
      <w:pPr/>
      <w:r>
        <w:rPr>
          <w:rFonts w:ascii="Times New Roman" w:hAnsi="Times New Roman" w:eastAsia="Times New Roman" w:cs="Times New Roman"/>
          <w:b w:val="0"/>
          <w:i w:val="0"/>
          <w:sz w:val="24"/>
        </w:rPr>
        <w:t>Empirical findings do not support a simple relationship between “more AI”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better performance. Sun and Zhou's (2024) meta-analysis synthesised 65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independent studies from 28 articles and reported a medium positive pooled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effect on academic achievement (g = 0.533). The effect varied across learning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activities, content and samples, and the intervention designs differed from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uncontrolled everyday use. The pooled result therefore supports the potential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value of structured GenAI-assisted learning, not a universal benefit from usage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hours.</w:t>
      </w:r>
    </w:p>
    <w:p>
      <w:pPr/>
      <w:r>
        <w:rPr>
          <w:rFonts w:ascii="Times New Roman" w:hAnsi="Times New Roman" w:eastAsia="Times New Roman" w:cs="Times New Roman"/>
          <w:b w:val="0"/>
          <w:i w:val="0"/>
          <w:sz w:val="24"/>
        </w:rPr>
        <w:t>By contrast, Abbas et al. (2024) developed a usage scale and analysed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three-wave survey of 494 university students in Pakistan. Greater reported 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associated with procrastination, memory loss and lower reported academic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performance. Temporal separation strengthened the measurement design relative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to a one-time survey, but self-reporting, contextual specificity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observational modelling still prevent a causal conclusion. Molerov et 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(2026) provide a further qualification using a German higher-education panel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verified chatbot-use information. Chatbot users completed reasoning tasks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faster but not more accurately; frequent users passed more examinations but did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obtain better grades. The authors explicitly treated self-selection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partial cross-sectional comparison as limits.</w:t>
      </w:r>
    </w:p>
    <w:p>
      <w:pPr/>
      <w:r>
        <w:rPr>
          <w:rFonts w:ascii="Times New Roman" w:hAnsi="Times New Roman" w:eastAsia="Times New Roman" w:cs="Times New Roman"/>
          <w:b w:val="0"/>
          <w:i w:val="0"/>
          <w:sz w:val="24"/>
        </w:rPr>
        <w:t>The generalisability of this evidence is restricted by differing populations,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tasks, exposure definitions and outcome measures. Positive findings are more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common in structured learning interventions, whereas naturally occurring 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may reflect workload, procrastination, prior skill or course demands. These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differences are not contradictions that can be resolved by counting studies.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They indicate that purpose, quality and context of use need to be represented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alongside quantity.</w:t>
      </w:r>
    </w:p>
    <w:p>
      <w:pPr>
        <w:pStyle w:val="Heading2"/>
      </w:pPr>
      <w:r>
        <w:rPr>
          <w:rFonts w:ascii="Times New Roman" w:hAnsi="Times New Roman" w:eastAsia="Times New Roman" w:cs="Times New Roman"/>
          <w:b/>
          <w:sz w:val="24"/>
        </w:rPr>
        <w:t>2.4 AI literacy and prompt skill</w:t>
      </w:r>
    </w:p>
    <w:p>
      <w:pPr/>
      <w:r>
        <w:rPr>
          <w:rFonts w:ascii="Times New Roman" w:hAnsi="Times New Roman" w:eastAsia="Times New Roman" w:cs="Times New Roman"/>
          <w:b w:val="0"/>
          <w:i w:val="0"/>
          <w:sz w:val="24"/>
        </w:rPr>
        <w:t>AI literacy provides one framework for representing use quality. Ng et 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(2021) synthesised 30 articles and organised AI literacy around understanding,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application, evaluation and creation, together with ethical awareness. This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definition is broader than operational knowledge of a chatbot. Laupichler 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 (2022) reached a compatible conclusion after screening 902 records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including 30 studies in higher and adult education. They found that definitions,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curricula and assessment instruments remained immature, limiting consistent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measurement.</w:t>
      </w:r>
    </w:p>
    <w:p>
      <w:pPr/>
      <w:r>
        <w:rPr>
          <w:rFonts w:ascii="Times New Roman" w:hAnsi="Times New Roman" w:eastAsia="Times New Roman" w:cs="Times New Roman"/>
          <w:b w:val="0"/>
          <w:i w:val="0"/>
          <w:sz w:val="24"/>
        </w:rPr>
        <w:t>Prompt engineering is one component within this broader capability. Lee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Palmer's (2025) systematic review of 33 articles found that prompting can be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learnt, but effective practice also requires domain knowledge, critical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evaluation and iterative refinement. The participant base and success criteria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 the literature were limited and heterogeneous. Consequently, a categorical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Prompt_Engineering_Skill</w:t>
      </w:r>
      <w:r>
        <w:rPr>
          <w:rFonts w:ascii="Times New Roman" w:hAnsi="Times New Roman" w:eastAsia="Times New Roman" w:cs="Times New Roman"/>
          <w:b w:val="0"/>
          <w:i w:val="0"/>
          <w:sz w:val="24"/>
        </w:rPr>
        <w:t xml:space="preserve"> field can be a plausible predictor, but it should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be treated as a validated measure of comprehensive AI literacy. The present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also includes purpose of use, weekly hours, tool diversity, paid access,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dependency and institutional policy, allowing a more contextual representation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than hours alone.</w:t>
      </w:r>
    </w:p>
    <w:p>
      <w:pPr>
        <w:pStyle w:val="Heading2"/>
      </w:pPr>
      <w:r>
        <w:rPr>
          <w:rFonts w:ascii="Times New Roman" w:hAnsi="Times New Roman" w:eastAsia="Times New Roman" w:cs="Times New Roman"/>
          <w:b/>
          <w:sz w:val="24"/>
        </w:rPr>
        <w:t>2.5 Predicting academic performance</w:t>
      </w:r>
    </w:p>
    <w:p>
      <w:pPr/>
      <w:r>
        <w:rPr>
          <w:rFonts w:ascii="Times New Roman" w:hAnsi="Times New Roman" w:eastAsia="Times New Roman" w:cs="Times New Roman"/>
          <w:b w:val="0"/>
          <w:i w:val="0"/>
          <w:sz w:val="24"/>
        </w:rPr>
        <w:t>Student-performance prediction is methodologically diverse. Alyahyan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Düştegör (2020) argued that a useful study begins with a precise outcome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aligns feature selection, preprocessing, algorithm choice and evaluation with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that outcome. Hellas et al. (2018), reviewing 357 studies, found growth in both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predictors and algorithms but recurring weaknesses in reporting, validation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replication. These findings support the present focus on change in GPA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rather than raw post-semester GPA, because the former asks a more specific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question and reduces the dominance of previous attainment.</w:t>
      </w:r>
    </w:p>
    <w:p>
      <w:pPr/>
      <w:r>
        <w:rPr>
          <w:rFonts w:ascii="Times New Roman" w:hAnsi="Times New Roman" w:eastAsia="Times New Roman" w:cs="Times New Roman"/>
          <w:b w:val="0"/>
          <w:i w:val="0"/>
          <w:sz w:val="24"/>
        </w:rPr>
        <w:t>Primary studies show that behavioural and contextual data can support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prediction, although published scores are not directly comparable. Waheed 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 (2020) used demographics, assessments and virtual-learning-environment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clickstream data to predict performance and reported that deep neural models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outperformed their alternatives. Yağcı (2022) compared six algorithms for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final-examination classification among 1,854 university students and found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Random Forest, neural network and support vector machine among the strongest,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 approximately 70–75% accuracy. Both studies concern classification,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different institutions and different inputs. Their accuracy cannot be compared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 RMSE or R² for GPA-change regression.</w:t>
      </w:r>
    </w:p>
    <w:p>
      <w:pPr/>
      <w:r>
        <w:rPr>
          <w:rFonts w:ascii="Times New Roman" w:hAnsi="Times New Roman" w:eastAsia="Times New Roman" w:cs="Times New Roman"/>
          <w:b w:val="0"/>
          <w:i w:val="0"/>
          <w:sz w:val="24"/>
        </w:rPr>
        <w:t>Model labels also conceal consequential implementation choices. Probst et 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(2019) showed that Random Forest behaviour depends on parameters such as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feature sampling, leaf size and tree count, supporting explicit configuration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tuning reports. More generally, preprocessing and model selection must be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confined to development folds to prevent leakage. This study therefore compares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all candidates on identical folds, reports variation across folds, tunes only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development data and reserves a test partition for confirmation.</w:t>
      </w:r>
    </w:p>
    <w:p>
      <w:pPr>
        <w:pStyle w:val="Heading2"/>
      </w:pPr>
      <w:r>
        <w:rPr>
          <w:rFonts w:ascii="Times New Roman" w:hAnsi="Times New Roman" w:eastAsia="Times New Roman" w:cs="Times New Roman"/>
          <w:b/>
          <w:sz w:val="24"/>
        </w:rPr>
        <w:t>2.6 Methodological and software foundations</w:t>
      </w:r>
    </w:p>
    <w:p>
      <w:pPr/>
      <w:r>
        <w:rPr>
          <w:rFonts w:ascii="Times New Roman" w:hAnsi="Times New Roman" w:eastAsia="Times New Roman" w:cs="Times New Roman"/>
          <w:b w:val="0"/>
          <w:i w:val="0"/>
          <w:sz w:val="24"/>
        </w:rPr>
        <w:t>The implementation also depends on literature beyond the educational problem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domain. pandas supplied labelled data structures (McKinney, 2010), NumPy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provided numerical arrays (Harris et al., 2020), and scikit-learn supplied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common estimator, pipeline and evaluation interfaces (Pedregosa et al., 2011).</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Matplotlib and seaborn supported reproducible exploratory and statistical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graphics (Hunter, 2007; Waskom, 2021). These sources document tools used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produce the work; they are cited in Methods rather than treated as evidence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about student outcomes.</w:t>
      </w:r>
    </w:p>
    <w:p>
      <w:pPr/>
      <w:r>
        <w:rPr>
          <w:rFonts w:ascii="Times New Roman" w:hAnsi="Times New Roman" w:eastAsia="Times New Roman" w:cs="Times New Roman"/>
          <w:b w:val="0"/>
          <w:i w:val="0"/>
          <w:sz w:val="24"/>
        </w:rPr>
        <w:t>Algorithm choice also had literature foundations. Ordinary and Ridge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Regression supplied additive benchmarks, with Ridge adding coefficient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shrinkage for correlated predictors (Hoerl &amp; Kennard, 1970). Random Forest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represented bootstrap-aggregated randomised trees (Breiman, 2001), while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gradient boosting represented stage-wise fitting to residual error (Friedman,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2001). Random search provided a reproducible, budget-limited alternative to 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exhaustive grid (Bergstra &amp; Bengio, 2012). Cross-validation supported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development-only model selection (Arlot &amp; Celisse, 2010), and permutation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importance was interpreted as fitted-model reliance rather than causal effect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(Fisher et al., 2019). Method citations also appear where each choice is used.</w:t>
      </w:r>
    </w:p>
    <w:p>
      <w:pPr>
        <w:pStyle w:val="Heading2"/>
      </w:pPr>
      <w:r>
        <w:rPr>
          <w:rFonts w:ascii="Times New Roman" w:hAnsi="Times New Roman" w:eastAsia="Times New Roman" w:cs="Times New Roman"/>
          <w:b/>
          <w:sz w:val="24"/>
        </w:rPr>
        <w:t>2.7 Comparative synthesis and research gap</w:t>
      </w:r>
    </w:p>
    <w:p>
      <w:pPr>
        <w:pStyle w:val="Caption"/>
        <w:keepNext/>
        <w:jc w:val="left"/>
      </w:pPr>
      <w:r>
        <w:rPr>
          <w:rFonts w:ascii="Times New Roman" w:hAnsi="Times New Roman" w:eastAsia="Times New Roman" w:cs="Times New Roman"/>
          <w:b/>
          <w:sz w:val="20"/>
        </w:rPr>
        <w:t>Table 2. Core literature informing the study</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728"/>
        <w:gridCol w:w="2088"/>
        <w:gridCol w:w="2088"/>
        <w:gridCol w:w="2405"/>
      </w:tblGrid>
      <w:tr>
        <w:trPr>
          <w:cantSplit/>
          <w:tblHeader w:val="true"/>
        </w:trPr>
        <w:tc>
          <w:tcPr>
            <w:tcW w:type="dxa" w:w="1728"/>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Source</w:t>
            </w:r>
          </w:p>
        </w:tc>
        <w:tc>
          <w:tcPr>
            <w:tcW w:type="dxa" w:w="2088"/>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Design and context</w:t>
            </w:r>
          </w:p>
        </w:tc>
        <w:tc>
          <w:tcPr>
            <w:tcW w:type="dxa" w:w="2088"/>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Main contribution</w:t>
            </w:r>
          </w:p>
        </w:tc>
        <w:tc>
          <w:tcPr>
            <w:tcW w:type="dxa" w:w="2405"/>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Limitation and relevance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Zawacki-Richter et al. (2019)</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Systematic review; 146 higher-education studies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Established prediction as a major AI application</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Predates GenAI; motivates educational and ethical scrutiny</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Crompton and Burke (2023)</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Systematic review; 138 studies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Mapped contemporary AI uses in higher education</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Search ended as ChatGPT emerged</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Lo (2023)</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Rapid review; 50 publications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Synthesised early ChatGPT opportunities and risks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Early literature was often conceptual</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Kasneci et al. (2023)</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Multidisciplinary position paper</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Connected learning support with reliability and dependency risks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No direct performance effect estimate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Abbas et al. (2024)</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Scale study and three-wave survey; Pakistan</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Linked reported use with adverse academic correlates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Self-report and observational design</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Sun and Zhou (2024)</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Meta-analysis; 65 studies, 1,909 participants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Reported a positive pooled achievement effect</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Heterogeneous, mainly structured interventions</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Molerov et al. (2026)</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Panel/quasi-experimental assessment; Germany, N = 270</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Faster completion but not higher task accuracy or grades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Self-selection and limited causal identification</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Ng et al. (2021)</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Exploratory review; 30 articles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Defined AI literacy as understanding, use, evaluation, creation and ethics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Conceptual framework, not a validated measure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Laupichler et al. (2022)</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Scoping review; 30 included studies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Found immature definitions and assessment of AI literacy</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Broad, heterogeneous evidence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Lee and Palmer (2025)</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Systematic review; 33 articles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Framed prompting as iterative and knowledge-dependent</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Small participant base and subjective criteria</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Alyahyan and Düştegör (2020)</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Review and best-practice framework</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Emphasised target definition and end-to-end design choices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Source studies used incompatible outcomes</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Hellas et al. (2018)</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Systematic review; 357 studies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Identified validation and reporting weaknesses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Broad educational contexts</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Waheed et al. (2020)</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VLE classification experiment</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Demonstrated value of behavioural and prior-assessment data</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Different target, setting and metric</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Yağcı (2022)</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Six-model classification comparison; N = 1,854</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Showed competitive nonlinear models in one course</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Accuracy not comparable with regression error</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Probst et al. (2019)</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Methodological review</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Explained ensemble parameter and tuning effects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Not education-specific</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Breiman (2001); Friedman (2001)</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Primary ensemble-method papers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Grounded Random Forest and gradient boosting choices</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General methods, not educational evidence</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Arlot and Celisse (2010); Bergstra and Bengio (2012)</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Methodological studies</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Supported cross-validation and random search</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Procedures still depend on suitable splits and search spaces</w:t>
            </w:r>
          </w:p>
        </w:tc>
      </w:tr>
      <w:tr>
        <w:trPr>
          <w:cantSplit/>
        </w:trPr>
        <w:tc>
          <w:tcPr>
            <w:tcW w:type="dxa" w:w="172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Fisher et al. (2019)</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Model-reliance methodology</w:t>
            </w:r>
          </w:p>
        </w:tc>
        <w:tc>
          <w:tcPr>
            <w:tcW w:type="dxa" w:w="2088"/>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Supported permutation-based interpretation</w:t>
            </w:r>
          </w:p>
        </w:tc>
        <w:tc>
          <w:tcPr>
            <w:tcW w:type="dxa" w:w="2405"/>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Importance remains model- and correlation-dependent</w:t>
            </w:r>
          </w:p>
        </w:tc>
      </w:tr>
    </w:tbl>
    <w:p>
      <w:pPr>
        <w:spacing w:before="0" w:after="0" w:line="40" w:lineRule="exact"/>
        <w:ind w:firstLine="0"/>
      </w:pPr>
    </w:p>
    <w:p>
      <w:pPr/>
      <w:r>
        <w:rPr>
          <w:rFonts w:ascii="Times New Roman" w:hAnsi="Times New Roman" w:eastAsia="Times New Roman" w:cs="Times New Roman"/>
          <w:b w:val="0"/>
          <w:i/>
          <w:sz w:val="24"/>
        </w:rPr>
        <w:t>Note.</w:t>
      </w:r>
      <w:r>
        <w:rPr>
          <w:rFonts w:ascii="Times New Roman" w:hAnsi="Times New Roman" w:eastAsia="Times New Roman" w:cs="Times New Roman"/>
          <w:b w:val="0"/>
          <w:i w:val="0"/>
          <w:sz w:val="24"/>
        </w:rPr>
        <w:t xml:space="preserve"> AI = artificial intelligence; GenAI = generative artificial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intelligence; VLE = virtual learning environment. The outcomes and metrics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summarised in this table are methodologically informative but are not direct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numerical benchmarks for GPA-change regression.</w:t>
      </w:r>
    </w:p>
    <w:p>
      <w:pPr/>
      <w:r>
        <w:rPr>
          <w:rFonts w:ascii="Times New Roman" w:hAnsi="Times New Roman" w:eastAsia="Times New Roman" w:cs="Times New Roman"/>
          <w:b w:val="0"/>
          <w:i w:val="0"/>
          <w:sz w:val="24"/>
        </w:rPr>
        <w:t>Table 2 shows a clear gap between the GenAI-outcomes literature and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student-prediction literature. The former asks whether or how AI relates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learning but often relies on self-report, interventions or broad achievement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measures. The latter develops predictive models but usually omits detailed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GenAI behaviours and frequently uses classification targets. No defensible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analysis using the exact Kaggle dataset was located. It would therefore be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misleading to manufacture a same-dataset benchmark.</w:t>
      </w:r>
    </w:p>
    <w:p>
      <w:pPr/>
      <w:r>
        <w:rPr>
          <w:rFonts w:ascii="Times New Roman" w:hAnsi="Times New Roman" w:eastAsia="Times New Roman" w:cs="Times New Roman"/>
          <w:b w:val="0"/>
          <w:i w:val="0"/>
          <w:sz w:val="24"/>
        </w:rPr>
        <w:t>The present work addresses a narrower gap: it tests whether AI-use variables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add held-out predictive information beyond previous GPA and general study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context, while comparing linear and nonlinear regressors under a common,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leakage-controlled validation procedure. This does not resolve whether AI 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improves learning. Its contribution is to separate incremental prediction from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causal interpretation and to show how a contemporary but provenance-opaque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can be analysed without overstating its evidential value.</w:t>
      </w:r>
    </w:p>
    <w:p>
      <w:pPr>
        <w:pStyle w:val="Heading1"/>
        <w:pageBreakBefore/>
      </w:pPr>
      <w:r>
        <w:rPr>
          <w:rFonts w:ascii="Times New Roman" w:hAnsi="Times New Roman" w:eastAsia="Times New Roman" w:cs="Times New Roman"/>
          <w:b/>
          <w:sz w:val="28"/>
        </w:rPr>
        <w:t>3 Methods</w:t>
      </w:r>
    </w:p>
    <w:p>
      <w:pPr>
        <w:pStyle w:val="Heading2"/>
      </w:pPr>
      <w:r>
        <w:rPr>
          <w:rFonts w:ascii="Times New Roman" w:hAnsi="Times New Roman" w:eastAsia="Times New Roman" w:cs="Times New Roman"/>
          <w:b/>
          <w:sz w:val="24"/>
        </w:rPr>
        <w:t>3.1 Research design</w:t>
      </w:r>
    </w:p>
    <w:p>
      <w:pPr/>
      <w:r>
        <w:rPr>
          <w:rFonts w:ascii="Times New Roman" w:hAnsi="Times New Roman" w:eastAsia="Times New Roman" w:cs="Times New Roman"/>
          <w:b w:val="0"/>
          <w:i w:val="0"/>
          <w:sz w:val="24"/>
        </w:rPr>
        <w:t>This study used a cross-sectional predictive modelling design. Its unit of</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analysis was one student record in the supplied tabular dataset, and its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outcome was the change between pre-semester and post-semester grade point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average (GPA). In this report, </w:t>
      </w:r>
      <w:r>
        <w:rPr>
          <w:rFonts w:ascii="Times New Roman" w:hAnsi="Times New Roman" w:eastAsia="Times New Roman" w:cs="Times New Roman"/>
          <w:b w:val="0"/>
          <w:i/>
          <w:sz w:val="24"/>
        </w:rPr>
        <w:t>GPA change</w:t>
      </w:r>
      <w:r>
        <w:rPr>
          <w:rFonts w:ascii="Times New Roman" w:hAnsi="Times New Roman" w:eastAsia="Times New Roman" w:cs="Times New Roman"/>
          <w:b w:val="0"/>
          <w:i w:val="0"/>
          <w:sz w:val="24"/>
        </w:rPr>
        <w:t xml:space="preserve"> refers to:</w:t>
      </w:r>
    </w:p>
    <w:p>
      <w:pPr>
        <w:spacing w:before="120" w:after="160"/>
        <w:ind w:firstLine="0"/>
        <w:jc w:val="center"/>
      </w:pPr>
      <w:r>
        <w:rPr>
          <w:rFonts w:ascii="Times New Roman" w:hAnsi="Times New Roman" w:eastAsia="Times New Roman" w:cs="Times New Roman"/>
          <w:i/>
          <w:sz w:val="24"/>
        </w:rPr>
        <w:t>GPA Change = Post-semester GPA − Pre-semester GPA</w:t>
      </w:r>
    </w:p>
    <w:p>
      <w:pPr/>
      <w:r>
        <w:rPr>
          <w:rFonts w:ascii="Times New Roman" w:hAnsi="Times New Roman" w:eastAsia="Times New Roman" w:cs="Times New Roman"/>
          <w:b w:val="0"/>
          <w:i w:val="0"/>
          <w:sz w:val="24"/>
        </w:rPr>
        <w:t>Positive values denote an increase and negative values denote a decrease.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regression design was selected because the target is continuous. This preserves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magnitude of change that would be lost by reducing the outcome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“improved” or “declined”. The design addresses prediction and comparison; it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does not estimate an effect of AI use.</w:t>
      </w:r>
    </w:p>
    <w:p>
      <w:pPr>
        <w:pStyle w:val="Heading2"/>
      </w:pPr>
      <w:r>
        <w:rPr>
          <w:rFonts w:ascii="Times New Roman" w:hAnsi="Times New Roman" w:eastAsia="Times New Roman" w:cs="Times New Roman"/>
          <w:b/>
          <w:sz w:val="24"/>
        </w:rPr>
        <w:t>3.2 Data and feature groups</w:t>
      </w:r>
    </w:p>
    <w:p>
      <w:pPr/>
      <w:r>
        <w:rPr>
          <w:rFonts w:ascii="Times New Roman" w:hAnsi="Times New Roman" w:eastAsia="Times New Roman" w:cs="Times New Roman"/>
          <w:b w:val="0"/>
          <w:i w:val="0"/>
          <w:sz w:val="24"/>
        </w:rPr>
        <w:t xml:space="preserve">The source was the </w:t>
      </w:r>
      <w:r>
        <w:rPr>
          <w:rFonts w:ascii="Times New Roman" w:hAnsi="Times New Roman" w:eastAsia="Times New Roman" w:cs="Times New Roman"/>
          <w:b w:val="0"/>
          <w:i/>
          <w:sz w:val="24"/>
        </w:rPr>
        <w:t>Impact of Ai on Students</w:t>
      </w:r>
      <w:r>
        <w:rPr>
          <w:rFonts w:ascii="Times New Roman" w:hAnsi="Times New Roman" w:eastAsia="Times New Roman" w:cs="Times New Roman"/>
          <w:b w:val="0"/>
          <w:i w:val="0"/>
          <w:sz w:val="24"/>
        </w:rPr>
        <w:t xml:space="preserve"> dataset downloaded from Kaggle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(Nagi sisiro, 2026). It contained 50,000 records and 16 source columns.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target was derived after loading the data. Twelve predictors were divided into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two conceptually distinct groups. The context group contained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Pre_Semester_GPA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Major_Category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Year_of_Study</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Traditional_Study_Hours</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szCs w:val="24"/>
        </w:rPr>
        <w:t>Anxiety_Level_During_Exams</w:t>
      </w:r>
      <w:r>
        <w:rPr>
          <w:rFonts w:ascii="Times New Roman" w:hAnsi="Times New Roman" w:eastAsia="Times New Roman" w:cs="Times New Roman"/>
          <w:b w:val="0"/>
          <w:i w:val="0"/>
          <w:sz w:val="24"/>
        </w:rPr>
        <w:t>. The AI group</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contained </w:t>
      </w:r>
      <w:r>
        <w:rPr>
          <w:rFonts w:ascii="Times New Roman" w:hAnsi="Times New Roman" w:eastAsia="Times New Roman" w:cs="Times New Roman"/>
          <w:b w:val="0"/>
          <w:i w:val="0"/>
          <w:sz w:val="24"/>
          <w:szCs w:val="24"/>
        </w:rPr>
        <w:t>Weekly_GenAI_Hours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Primary_Use_Case</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Prompt_Engineering_Skill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Tool_Diversity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Paid_Subscription</w:t>
      </w:r>
      <w:r>
        <w:rPr>
          <w:rFonts w:ascii="Times New Roman" w:hAnsi="Times New Roman" w:eastAsia="Times New Roman" w:cs="Times New Roman"/>
          <w:b w:val="0"/>
          <w:i w:val="0"/>
          <w:sz w:val="24"/>
        </w:rPr>
        <w: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Perceived_AI_Dependency</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szCs w:val="24"/>
        </w:rPr>
        <w:t>Institutional_Policy</w:t>
      </w:r>
      <w:r>
        <w:rPr>
          <w:rFonts w:ascii="Times New Roman" w:hAnsi="Times New Roman" w:eastAsia="Times New Roman" w:cs="Times New Roman"/>
          <w:b w:val="0"/>
          <w:i w:val="0"/>
          <w:sz w:val="24"/>
        </w:rPr>
        <w:t>. Comparing context-only,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AI-only and combined models made the research question directly testable.</w:t>
      </w:r>
    </w:p>
    <w:p>
      <w:pPr/>
      <w:r>
        <w:rPr>
          <w:rFonts w:ascii="Times New Roman" w:hAnsi="Times New Roman" w:eastAsia="Times New Roman" w:cs="Times New Roman"/>
          <w:b w:val="0"/>
          <w:i w:val="0"/>
          <w:sz w:val="24"/>
        </w:rPr>
        <w:t xml:space="preserve">Four fields were excluded from all predictors. </w:t>
      </w:r>
      <w:r>
        <w:rPr>
          <w:rFonts w:ascii="Times New Roman" w:hAnsi="Times New Roman" w:eastAsia="Times New Roman" w:cs="Times New Roman"/>
          <w:b w:val="0"/>
          <w:i w:val="0"/>
          <w:sz w:val="24"/>
          <w:szCs w:val="24"/>
        </w:rPr>
        <w:t>Student_ID</w:t>
      </w:r>
      <w:r>
        <w:rPr>
          <w:rFonts w:ascii="Times New Roman" w:hAnsi="Times New Roman" w:eastAsia="Times New Roman" w:cs="Times New Roman"/>
          <w:b w:val="0"/>
          <w:i w:val="0"/>
          <w:sz w:val="24"/>
        </w:rPr>
        <w:t xml:space="preserve"> was an identifier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without a defensible substantive meaning. </w:t>
      </w:r>
      <w:r>
        <w:rPr>
          <w:rFonts w:ascii="Times New Roman" w:hAnsi="Times New Roman" w:eastAsia="Times New Roman" w:cs="Times New Roman"/>
          <w:b w:val="0"/>
          <w:i w:val="0"/>
          <w:sz w:val="24"/>
          <w:szCs w:val="24"/>
        </w:rPr>
        <w:t>Post_Semester_GPA</w:t>
      </w:r>
      <w:r>
        <w:rPr>
          <w:rFonts w:ascii="Times New Roman" w:hAnsi="Times New Roman" w:eastAsia="Times New Roman" w:cs="Times New Roman"/>
          <w:b w:val="0"/>
          <w:i w:val="0"/>
          <w:sz w:val="24"/>
        </w:rPr>
        <w:t xml:space="preserve"> was used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construct the target and would reveal its outcome. </w:t>
      </w:r>
      <w:r>
        <w:rPr>
          <w:rFonts w:ascii="Times New Roman" w:hAnsi="Times New Roman" w:eastAsia="Times New Roman" w:cs="Times New Roman"/>
          <w:b w:val="0"/>
          <w:i w:val="0"/>
          <w:sz w:val="24"/>
          <w:szCs w:val="24"/>
        </w:rPr>
        <w:t>Skill_Retention_Score</w:t>
      </w:r>
      <w:r>
        <w:rPr>
          <w:rFonts w:ascii="Times New Roman" w:hAnsi="Times New Roman" w:eastAsia="Times New Roman" w:cs="Times New Roman"/>
          <w:b w:val="0"/>
          <w:i w:val="0"/>
          <w:sz w:val="24"/>
        </w:rPr>
        <w:t xml:space="preserv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Burnout_Risk_Level</w:t>
      </w:r>
      <w:r>
        <w:rPr>
          <w:rFonts w:ascii="Times New Roman" w:hAnsi="Times New Roman" w:eastAsia="Times New Roman" w:cs="Times New Roman"/>
          <w:b w:val="0"/>
          <w:i w:val="0"/>
          <w:sz w:val="24"/>
        </w:rPr>
        <w:t xml:space="preserve"> were separate post-semester outcomes. Their removal was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deliberate leakage control rather than optional feature selection.</w:t>
      </w:r>
    </w:p>
    <w:p>
      <w:pPr>
        <w:pStyle w:val="Heading2"/>
      </w:pPr>
      <w:r>
        <w:rPr>
          <w:rFonts w:ascii="Times New Roman" w:hAnsi="Times New Roman" w:eastAsia="Times New Roman" w:cs="Times New Roman"/>
          <w:b/>
          <w:sz w:val="24"/>
        </w:rPr>
        <w:t>3.3 Experimental procedure</w:t>
      </w:r>
    </w:p>
    <w:p>
      <w:pPr/>
      <w:r>
        <w:rPr>
          <w:rFonts w:ascii="Times New Roman" w:hAnsi="Times New Roman" w:eastAsia="Times New Roman" w:cs="Times New Roman"/>
          <w:b w:val="0"/>
          <w:i w:val="0"/>
          <w:sz w:val="24"/>
        </w:rPr>
        <w:t>The analysis was implemented in Python 3.13.11 with pandas 3.0.3, NumPy 2.4.6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scikit-learn 1.9.0. These libraries respectively provided labelled tabular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operations, numerical arrays and consistent machine-learning estimators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(Harris et al., 2020; McKinney, 2010; Pedregosa et al., 2011). Matplotlib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3.10.9 and seaborn 0.13.2 generated the statistical graphics (Hunter, 2007;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Waskom, 2021). A fixed random state of 42 was used. A single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random 80/20 split produced 40,000 development records and a reserved test set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of 10,000 records. All model selection was performed within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development data using shuffled five-fold cross-validation with the same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folds for every model. Cross-validation estimates performance across repeated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 partitions and supports model selection without fitting on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reserved test observations (Arlot &amp; Celisse, 2010). This consistent protocol was important because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student-performance prediction studies often differ in targets, data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evaluation choices, making disciplined within-study comparison more informative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than isolated scores (Alyahyan &amp; Düştegör, 2020; Hellas et al., 2018).</w:t>
      </w:r>
    </w:p>
    <w:p>
      <w:pPr/>
      <w:r>
        <w:rPr>
          <w:rFonts w:ascii="Times New Roman" w:hAnsi="Times New Roman" w:eastAsia="Times New Roman" w:cs="Times New Roman"/>
          <w:b w:val="0"/>
          <w:i w:val="0"/>
          <w:sz w:val="24"/>
        </w:rPr>
        <w:t>Preprocessing and estimation were joined in scikit-learn pipelines. Numeric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features passed through median imputation and standardisation; categorical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Boolean features passed through most-frequent imputation and one-hot encoding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 unknown categories ignored. Although the observed file had no missing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values, these steps made the workflow robust to missing or unseen values.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Crucially, transformer parameters were fitted within each training fold, not 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complete dataset.</w:t>
      </w:r>
    </w:p>
    <w:p>
      <w:pPr/>
      <w:r>
        <w:rPr>
          <w:rFonts w:ascii="Times New Roman" w:hAnsi="Times New Roman" w:eastAsia="Times New Roman" w:cs="Times New Roman"/>
          <w:b w:val="0"/>
          <w:i w:val="0"/>
          <w:sz w:val="24"/>
        </w:rPr>
        <w:t>The candidate set comprised a mean dummy baseline, ordinary least-squares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Linear Regression, Ridge Regression, Random Forest and Histogram Gradient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Boosting (HGB). Mean absolute error (MAE) reported typical absolute error in GPA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points. Root mean squared error (RMSE) penalised larger errors more heavily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the primary selection metric. The coefficient of determination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(R²) described the proportion of test-set variation accounted for by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predictions relative to the mean baseline. Lower MAE and RMSE and higher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R² indicate better performance.</w:t>
      </w:r>
    </w:p>
    <w:p>
      <w:pPr/>
      <w:r>
        <w:rPr>
          <w:rFonts w:ascii="Times New Roman" w:hAnsi="Times New Roman" w:eastAsia="Times New Roman" w:cs="Times New Roman"/>
          <w:b w:val="0"/>
          <w:i w:val="0"/>
          <w:sz w:val="24"/>
        </w:rPr>
        <w:t>HGB was selected for optimisation only after it achieved the lowest untuned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cross-validated RMSE. </w:t>
      </w:r>
      <w:r>
        <w:rPr>
          <w:rFonts w:ascii="Times New Roman" w:hAnsi="Times New Roman" w:eastAsia="Times New Roman" w:cs="Times New Roman"/>
          <w:b w:val="0"/>
          <w:i w:val="0"/>
          <w:sz w:val="24"/>
          <w:szCs w:val="24"/>
        </w:rPr>
        <w:t>RandomizedSearchCV</w:t>
      </w:r>
      <w:r>
        <w:rPr>
          <w:rFonts w:ascii="Times New Roman" w:hAnsi="Times New Roman" w:eastAsia="Times New Roman" w:cs="Times New Roman"/>
          <w:b w:val="0"/>
          <w:i w:val="0"/>
          <w:sz w:val="24"/>
        </w:rPr>
        <w:t xml:space="preserve"> evaluated ten parameter combinations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over learning rate, leaf count, minimum leaf size, L2 regularisation and number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of boosting iterations. Search, scoring and refitting remained inside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 data. Test outputs were treated as confirmatory: the same reserved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partition supported the prespecified feature-set comparison, candidate-model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confirmation, residual summaries and permutation importance. It did not alter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search space or trigger model refitting, but these multiple reporting uses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mean that it was not a strict single-look test benchmark.</w:t>
      </w:r>
    </w:p>
    <w:p>
      <w:pPr/>
      <w:r>
        <w:rPr>
          <w:rFonts w:ascii="Times New Roman" w:hAnsi="Times New Roman" w:eastAsia="Times New Roman" w:cs="Times New Roman"/>
          <w:b w:val="0"/>
          <w:i w:val="0"/>
          <w:sz w:val="24"/>
        </w:rPr>
        <w:t>No ethics approval is claimed for the secondary analysis because the dataset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obtained as a public CC0 modelling file and contains only a unique numeric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identifier without documented personal meaning. Nevertheless,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source provides no account of consent or ethical review. This absence is 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evidence limitation and prevents treating public availability as proof of</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ethical provenance.</w:t>
      </w:r>
    </w:p>
    <w:p>
      <w:pPr>
        <w:pStyle w:val="Caption"/>
        <w:keepNext/>
        <w:jc w:val="left"/>
      </w:pPr>
      <w:r>
        <w:rPr>
          <w:rFonts w:ascii="Times New Roman" w:hAnsi="Times New Roman" w:eastAsia="Times New Roman" w:cs="Times New Roman"/>
          <w:b/>
          <w:sz w:val="20"/>
        </w:rPr>
        <w:t>Table 3. Experimental workflow and evidence role</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987"/>
        <w:gridCol w:w="2952"/>
        <w:gridCol w:w="3370"/>
      </w:tblGrid>
      <w:tr>
        <w:trPr>
          <w:cantSplit/>
          <w:tblHeader w:val="true"/>
        </w:trPr>
        <w:tc>
          <w:tcPr>
            <w:tcW w:type="dxa" w:w="1987"/>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Stage</w:t>
            </w:r>
          </w:p>
        </w:tc>
        <w:tc>
          <w:tcPr>
            <w:tcW w:type="dxa" w:w="2952"/>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Data used</w:t>
            </w:r>
          </w:p>
        </w:tc>
        <w:tc>
          <w:tcPr>
            <w:tcW w:type="dxa" w:w="3370"/>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Purpose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Integrity checks and target construction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All raw records</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Verify schema and define the continuous outcome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Development-test split</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All eligible records</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Reserve 20% for final confirmation</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Five-fold comparison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Development data only</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Select the strongest model family</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Randomised tuning</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Development folds only</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Optimise the selected HGB family</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Final evaluation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Reserved test set</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Confirm generalisation and inspect errors</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Permutation importance</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Reserved test set</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Describe model-specific predictive contribution</w:t>
            </w:r>
          </w:p>
        </w:tc>
      </w:tr>
    </w:tbl>
    <w:p>
      <w:pPr>
        <w:spacing w:before="0" w:after="0" w:line="40" w:lineRule="exact"/>
        <w:ind w:firstLine="0"/>
      </w:pPr>
    </w:p>
    <w:p>
      <w:pPr>
        <w:pStyle w:val="Heading1"/>
        <w:pageBreakBefore/>
      </w:pPr>
      <w:r>
        <w:rPr>
          <w:rFonts w:ascii="Times New Roman" w:hAnsi="Times New Roman" w:eastAsia="Times New Roman" w:cs="Times New Roman"/>
          <w:b/>
          <w:sz w:val="28"/>
        </w:rPr>
        <w:t>4 Dataset Preparation</w:t>
      </w:r>
    </w:p>
    <w:p>
      <w:pPr>
        <w:pStyle w:val="Heading2"/>
      </w:pPr>
      <w:r>
        <w:rPr>
          <w:rFonts w:ascii="Times New Roman" w:hAnsi="Times New Roman" w:eastAsia="Times New Roman" w:cs="Times New Roman"/>
          <w:b/>
          <w:sz w:val="24"/>
        </w:rPr>
        <w:t>4.1 Data understanding, audit and target construction</w:t>
      </w:r>
    </w:p>
    <w:p>
      <w:pPr/>
      <w:r>
        <w:rPr>
          <w:rFonts w:ascii="Times New Roman" w:hAnsi="Times New Roman" w:eastAsia="Times New Roman" w:cs="Times New Roman"/>
          <w:b w:val="0"/>
          <w:i w:val="0"/>
          <w:sz w:val="24"/>
        </w:rPr>
        <w:t>The raw CSV was loaded without modification. It contained 50,000 rows and 16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source columns: eight numeric or ordinal measures, six categorical fields, one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Boolean field and one integer identifier. The fields covered academic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background, study behaviour, generative-AI use, institutional policy, exam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anxiety and post-semester outcomes (Nagi sisiro, 2026).</w:t>
      </w:r>
    </w:p>
    <w:p>
      <w:pPr/>
      <w:r>
        <w:rPr>
          <w:rFonts w:ascii="Times New Roman" w:hAnsi="Times New Roman" w:eastAsia="Times New Roman" w:cs="Times New Roman"/>
          <w:b w:val="0"/>
          <w:i w:val="0"/>
          <w:sz w:val="24"/>
        </w:rPr>
        <w:t>Every field was profiled for data type, non-null count, missing count,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cardinality and, where applicable, numeric range. The audit found 50,000 unique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student identifiers, no missing cells, no duplicated rows and no duplicated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identifiers. Both GPA fields were within 0–4; weekly AI and traditional-study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hours were within feasible weekly limits; and diversity, dependency, anxiety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retention measures stayed within their documented scale limits. Complete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category-frequency tables exposed every observed level and no inconsistent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spellings. Figure 1 summarises the quality checks and field types.</w:t>
      </w:r>
    </w:p>
    <w:p>
      <w:pPr>
        <w:keepNext/>
        <w:spacing w:before="120" w:after="40"/>
        <w:ind w:firstLine="0"/>
        <w:jc w:val="center"/>
      </w:pPr>
      <w:r>
        <w:drawing>
          <wp:inline xmlns:a="http://schemas.openxmlformats.org/drawingml/2006/main" xmlns:pic="http://schemas.openxmlformats.org/drawingml/2006/picture">
            <wp:extent cx="5212080" cy="2084831"/>
            <wp:docPr id="2" name="Picture 2"/>
            <wp:cNvGraphicFramePr>
              <a:graphicFrameLocks noChangeAspect="1"/>
            </wp:cNvGraphicFramePr>
            <a:graphic>
              <a:graphicData uri="http://schemas.openxmlformats.org/drawingml/2006/picture">
                <pic:pic>
                  <pic:nvPicPr>
                    <pic:cNvPr id="0" name="fig01_data_quality_and_schema.png"/>
                    <pic:cNvPicPr/>
                  </pic:nvPicPr>
                  <pic:blipFill>
                    <a:blip r:embed="rId16"/>
                    <a:stretch>
                      <a:fillRect/>
                    </a:stretch>
                  </pic:blipFill>
                  <pic:spPr>
                    <a:xfrm>
                      <a:off x="0" y="0"/>
                      <a:ext cx="5212080" cy="2084831"/>
                    </a:xfrm>
                    <a:prstGeom prst="rect"/>
                  </pic:spPr>
                </pic:pic>
              </a:graphicData>
            </a:graphic>
          </wp:inline>
        </w:drawing>
      </w:r>
    </w:p>
    <w:p>
      <w:pPr>
        <w:pStyle w:val="Caption"/>
        <w:jc w:val="center"/>
      </w:pPr>
      <w:r>
        <w:rPr>
          <w:rFonts w:ascii="Times New Roman" w:hAnsi="Times New Roman" w:eastAsia="Times New Roman" w:cs="Times New Roman"/>
          <w:sz w:val="20"/>
        </w:rPr>
        <w:t>Figure 1. Data-quality results and original field-type composition. Zero counts for missing cells, duplicate rows, duplicate identifiers and invalid-range rows document why no corrective cleaning was applied.</w:t>
      </w:r>
    </w:p>
    <w:p>
      <w:pPr/>
      <w:r>
        <w:rPr>
          <w:rFonts w:ascii="Times New Roman" w:hAnsi="Times New Roman" w:eastAsia="Times New Roman" w:cs="Times New Roman"/>
          <w:b w:val="0"/>
          <w:i w:val="0"/>
          <w:sz w:val="24"/>
        </w:rPr>
        <w:t>Numeric exploration reported descriptive statistics, distributions and IQR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outlier flags for every measured field (Figure 2). Flags prompted inspection,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automatic deletion. Figure 3 reports every categorical and Boolean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frequency before encoding.</w:t>
      </w:r>
    </w:p>
    <w:p>
      <w:pPr>
        <w:keepNext/>
        <w:spacing w:before="120" w:after="40"/>
        <w:ind w:firstLine="0"/>
        <w:jc w:val="center"/>
      </w:pPr>
      <w:r>
        <w:drawing>
          <wp:inline xmlns:a="http://schemas.openxmlformats.org/drawingml/2006/main" xmlns:pic="http://schemas.openxmlformats.org/drawingml/2006/picture">
            <wp:extent cx="5212080" cy="4263790"/>
            <wp:docPr id="3" name="Picture 3"/>
            <wp:cNvGraphicFramePr>
              <a:graphicFrameLocks noChangeAspect="1"/>
            </wp:cNvGraphicFramePr>
            <a:graphic>
              <a:graphicData uri="http://schemas.openxmlformats.org/drawingml/2006/picture">
                <pic:pic>
                  <pic:nvPicPr>
                    <pic:cNvPr id="0" name="fig02_numeric_distributions.png"/>
                    <pic:cNvPicPr/>
                  </pic:nvPicPr>
                  <pic:blipFill>
                    <a:blip r:embed="rId17"/>
                    <a:stretch>
                      <a:fillRect/>
                    </a:stretch>
                  </pic:blipFill>
                  <pic:spPr>
                    <a:xfrm>
                      <a:off x="0" y="0"/>
                      <a:ext cx="5212080" cy="4263790"/>
                    </a:xfrm>
                    <a:prstGeom prst="rect"/>
                  </pic:spPr>
                </pic:pic>
              </a:graphicData>
            </a:graphic>
          </wp:inline>
        </w:drawing>
      </w:r>
    </w:p>
    <w:p>
      <w:pPr>
        <w:pStyle w:val="Caption"/>
        <w:jc w:val="center"/>
      </w:pPr>
      <w:r>
        <w:rPr>
          <w:rFonts w:ascii="Times New Roman" w:hAnsi="Times New Roman" w:eastAsia="Times New Roman" w:cs="Times New Roman"/>
          <w:sz w:val="20"/>
        </w:rPr>
        <w:t>Figure 2. Distributions of all original numeric and ordinal measures except the unique student identifier.</w:t>
      </w:r>
    </w:p>
    <w:p>
      <w:pPr>
        <w:keepNext/>
        <w:spacing w:before="120" w:after="40"/>
        <w:ind w:firstLine="0"/>
        <w:jc w:val="center"/>
      </w:pPr>
      <w:r>
        <w:drawing>
          <wp:inline xmlns:a="http://schemas.openxmlformats.org/drawingml/2006/main" xmlns:pic="http://schemas.openxmlformats.org/drawingml/2006/picture">
            <wp:extent cx="5212080" cy="2993824"/>
            <wp:docPr id="4" name="Picture 4"/>
            <wp:cNvGraphicFramePr>
              <a:graphicFrameLocks noChangeAspect="1"/>
            </wp:cNvGraphicFramePr>
            <a:graphic>
              <a:graphicData uri="http://schemas.openxmlformats.org/drawingml/2006/picture">
                <pic:pic>
                  <pic:nvPicPr>
                    <pic:cNvPr id="0" name="fig03_categorical_distributions.png"/>
                    <pic:cNvPicPr/>
                  </pic:nvPicPr>
                  <pic:blipFill>
                    <a:blip r:embed="rId18"/>
                    <a:stretch>
                      <a:fillRect/>
                    </a:stretch>
                  </pic:blipFill>
                  <pic:spPr>
                    <a:xfrm>
                      <a:off x="0" y="0"/>
                      <a:ext cx="5212080" cy="2993824"/>
                    </a:xfrm>
                    <a:prstGeom prst="rect"/>
                  </pic:spPr>
                </pic:pic>
              </a:graphicData>
            </a:graphic>
          </wp:inline>
        </w:drawing>
      </w:r>
    </w:p>
    <w:p>
      <w:pPr>
        <w:pStyle w:val="Caption"/>
        <w:jc w:val="center"/>
      </w:pPr>
      <w:r>
        <w:rPr>
          <w:rFonts w:ascii="Times New Roman" w:hAnsi="Times New Roman" w:eastAsia="Times New Roman" w:cs="Times New Roman"/>
          <w:sz w:val="20"/>
        </w:rPr>
        <w:t>Figure 3. Frequency distributions for every categorical and Boolean source field.</w:t>
      </w:r>
    </w:p>
    <w:p>
      <w:pPr/>
      <w:r>
        <w:rPr>
          <w:rFonts w:ascii="Times New Roman" w:hAnsi="Times New Roman" w:eastAsia="Times New Roman" w:cs="Times New Roman"/>
          <w:b w:val="0"/>
          <w:i w:val="0"/>
          <w:sz w:val="24"/>
          <w:szCs w:val="24"/>
        </w:rPr>
        <w:t>GPA_Change</w:t>
      </w:r>
      <w:r>
        <w:rPr>
          <w:rFonts w:ascii="Times New Roman" w:hAnsi="Times New Roman" w:eastAsia="Times New Roman" w:cs="Times New Roman"/>
          <w:b w:val="0"/>
          <w:i w:val="0"/>
          <w:sz w:val="24"/>
        </w:rPr>
        <w:t xml:space="preserve"> was derived as post-semester minus pre-semester GPA, increasing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in-memory working table to 17 columns without changing the raw file.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target mean was 0.2032 GPA points, its standard deviation was 0.1872 and its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median was 0.2040, with values from -0.924 to 1.008. Figure 4 presents numeric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correlations and the bounded relationship between previous GPA and GPA change.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These correlations support exploration of predictive structure but do not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establish causation.</w:t>
      </w:r>
    </w:p>
    <w:p>
      <w:pPr>
        <w:keepNext/>
        <w:spacing w:before="120" w:after="40"/>
        <w:ind w:firstLine="0"/>
        <w:jc w:val="center"/>
      </w:pPr>
      <w:r>
        <w:drawing>
          <wp:inline xmlns:a="http://schemas.openxmlformats.org/drawingml/2006/main" xmlns:pic="http://schemas.openxmlformats.org/drawingml/2006/picture">
            <wp:extent cx="5212080" cy="2051115"/>
            <wp:docPr id="5" name="Picture 5"/>
            <wp:cNvGraphicFramePr>
              <a:graphicFrameLocks noChangeAspect="1"/>
            </wp:cNvGraphicFramePr>
            <a:graphic>
              <a:graphicData uri="http://schemas.openxmlformats.org/drawingml/2006/picture">
                <pic:pic>
                  <pic:nvPicPr>
                    <pic:cNvPr id="0" name="fig04_correlation_and_target_relationships.png"/>
                    <pic:cNvPicPr/>
                  </pic:nvPicPr>
                  <pic:blipFill>
                    <a:blip r:embed="rId19"/>
                    <a:stretch>
                      <a:fillRect/>
                    </a:stretch>
                  </pic:blipFill>
                  <pic:spPr>
                    <a:xfrm>
                      <a:off x="0" y="0"/>
                      <a:ext cx="5212080" cy="2051115"/>
                    </a:xfrm>
                    <a:prstGeom prst="rect"/>
                  </pic:spPr>
                </pic:pic>
              </a:graphicData>
            </a:graphic>
          </wp:inline>
        </w:drawing>
      </w:r>
    </w:p>
    <w:p>
      <w:pPr>
        <w:pStyle w:val="Caption"/>
        <w:jc w:val="center"/>
      </w:pPr>
      <w:r>
        <w:rPr>
          <w:rFonts w:ascii="Times New Roman" w:hAnsi="Times New Roman" w:eastAsia="Times New Roman" w:cs="Times New Roman"/>
          <w:sz w:val="20"/>
        </w:rPr>
        <w:t>Figure 4. Numeric correlation matrix and sampled relationship between previous GPA and GPA change. Post-semester outcomes are excluded from the predictor-focused matrix.</w:t>
      </w:r>
    </w:p>
    <w:p>
      <w:pPr/>
      <w:r>
        <w:rPr>
          <w:rFonts w:ascii="Times New Roman" w:hAnsi="Times New Roman" w:eastAsia="Times New Roman" w:cs="Times New Roman"/>
          <w:b w:val="0"/>
          <w:i w:val="0"/>
          <w:sz w:val="24"/>
        </w:rPr>
        <w:t>There were 43,759 positive changes (87.52%), 6,192 negative changes (12.38%)</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49 unchanged records (0.10%). Figure 5 makes this asymmetry explicit. It 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conventional class imbalance because the model predicts a continuous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quantity rather than an increase/decrease class. Resampling by sign would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change the observed target distribution and regression estimand. All records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were therefore retained, while direction-specific test errors were added to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detect performance differences hidden by aggregate metrics.</w:t>
      </w:r>
    </w:p>
    <w:p>
      <w:pPr>
        <w:keepNext/>
        <w:spacing w:before="120" w:after="40"/>
        <w:ind w:firstLine="0"/>
        <w:jc w:val="center"/>
      </w:pPr>
      <w:r>
        <w:drawing>
          <wp:inline xmlns:a="http://schemas.openxmlformats.org/drawingml/2006/main" xmlns:pic="http://schemas.openxmlformats.org/drawingml/2006/picture">
            <wp:extent cx="5212080" cy="1964678"/>
            <wp:docPr id="6" name="Picture 6"/>
            <wp:cNvGraphicFramePr>
              <a:graphicFrameLocks noChangeAspect="1"/>
            </wp:cNvGraphicFramePr>
            <a:graphic>
              <a:graphicData uri="http://schemas.openxmlformats.org/drawingml/2006/picture">
                <pic:pic>
                  <pic:nvPicPr>
                    <pic:cNvPr id="0" name="fig05_gpa_direction_imbalance.png"/>
                    <pic:cNvPicPr/>
                  </pic:nvPicPr>
                  <pic:blipFill>
                    <a:blip r:embed="rId20"/>
                    <a:stretch>
                      <a:fillRect/>
                    </a:stretch>
                  </pic:blipFill>
                  <pic:spPr>
                    <a:xfrm>
                      <a:off x="0" y="0"/>
                      <a:ext cx="5212080" cy="1964678"/>
                    </a:xfrm>
                    <a:prstGeom prst="rect"/>
                  </pic:spPr>
                </pic:pic>
              </a:graphicData>
            </a:graphic>
          </wp:inline>
        </w:drawing>
      </w:r>
    </w:p>
    <w:p>
      <w:pPr>
        <w:pStyle w:val="Caption"/>
        <w:jc w:val="center"/>
      </w:pPr>
      <w:r>
        <w:rPr>
          <w:rFonts w:ascii="Times New Roman" w:hAnsi="Times New Roman" w:eastAsia="Times New Roman" w:cs="Times New Roman"/>
          <w:sz w:val="20"/>
        </w:rPr>
        <w:t>Figure 5. Counts and continuous distributions of GPA decreases, unchanged values and increases. The continuous target was retained without balancing.</w:t>
      </w:r>
    </w:p>
    <w:p>
      <w:pPr/>
      <w:r>
        <w:rPr>
          <w:rFonts w:ascii="Times New Roman" w:hAnsi="Times New Roman" w:eastAsia="Times New Roman" w:cs="Times New Roman"/>
          <w:b w:val="0"/>
          <w:i w:val="0"/>
          <w:sz w:val="24"/>
        </w:rPr>
        <w:t>Figure 6 shows an approximately unimodal target, a GPA-ceiling relationship,</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prompt-skill differences and non-monotonic AI-hours quartiles. These unadjusted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patterns support nonlinear modelling but do not identify causal effects.</w:t>
      </w:r>
    </w:p>
    <w:p>
      <w:pPr>
        <w:keepNext/>
        <w:spacing w:before="120" w:after="40"/>
        <w:ind w:firstLine="0"/>
        <w:jc w:val="center"/>
      </w:pPr>
      <w:r>
        <w:drawing>
          <wp:inline xmlns:a="http://schemas.openxmlformats.org/drawingml/2006/main" xmlns:pic="http://schemas.openxmlformats.org/drawingml/2006/picture">
            <wp:extent cx="5212080" cy="3331510"/>
            <wp:docPr id="7" name="Picture 7"/>
            <wp:cNvGraphicFramePr>
              <a:graphicFrameLocks noChangeAspect="1"/>
            </wp:cNvGraphicFramePr>
            <a:graphic>
              <a:graphicData uri="http://schemas.openxmlformats.org/drawingml/2006/picture">
                <pic:pic>
                  <pic:nvPicPr>
                    <pic:cNvPr id="0" name="fig06_gpa_change_eda.png"/>
                    <pic:cNvPicPr/>
                  </pic:nvPicPr>
                  <pic:blipFill>
                    <a:blip r:embed="rId21"/>
                    <a:stretch>
                      <a:fillRect/>
                    </a:stretch>
                  </pic:blipFill>
                  <pic:spPr>
                    <a:xfrm>
                      <a:off x="0" y="0"/>
                      <a:ext cx="5212080" cy="3331510"/>
                    </a:xfrm>
                    <a:prstGeom prst="rect"/>
                  </pic:spPr>
                </pic:pic>
              </a:graphicData>
            </a:graphic>
          </wp:inline>
        </w:drawing>
      </w:r>
    </w:p>
    <w:p>
      <w:pPr>
        <w:pStyle w:val="Caption"/>
        <w:jc w:val="center"/>
      </w:pPr>
      <w:r>
        <w:rPr>
          <w:rFonts w:ascii="Times New Roman" w:hAnsi="Times New Roman" w:eastAsia="Times New Roman" w:cs="Times New Roman"/>
          <w:sz w:val="20"/>
        </w:rPr>
        <w:t>Figure 6. Distribution of GPA change and descriptive relationships with previous GPA, prompt-engineering skill and weekly generative-AI hours. Error bars show 95% confidence intervals for group means.</w:t>
      </w:r>
    </w:p>
    <w:p>
      <w:pPr>
        <w:pStyle w:val="Heading2"/>
      </w:pPr>
      <w:r>
        <w:rPr>
          <w:rFonts w:ascii="Times New Roman" w:hAnsi="Times New Roman" w:eastAsia="Times New Roman" w:cs="Times New Roman"/>
          <w:b/>
          <w:sz w:val="24"/>
        </w:rPr>
        <w:t>4.2 Preparation and leakage control</w:t>
      </w:r>
    </w:p>
    <w:p>
      <w:pPr/>
      <w:r>
        <w:rPr>
          <w:rFonts w:ascii="Times New Roman" w:hAnsi="Times New Roman" w:eastAsia="Times New Roman" w:cs="Times New Roman"/>
          <w:b w:val="0"/>
          <w:i w:val="0"/>
          <w:sz w:val="24"/>
        </w:rPr>
        <w:t xml:space="preserve">Table 4 records every preparation decision. </w:t>
      </w:r>
      <w:r>
        <w:rPr>
          <w:rFonts w:ascii="Times New Roman" w:hAnsi="Times New Roman" w:eastAsia="Times New Roman" w:cs="Times New Roman"/>
          <w:b w:val="0"/>
          <w:i w:val="0"/>
          <w:sz w:val="24"/>
          <w:szCs w:val="24"/>
        </w:rPr>
        <w:t>Student_ID</w:t>
      </w:r>
      <w:r>
        <w:rPr>
          <w:rFonts w:ascii="Times New Roman" w:hAnsi="Times New Roman" w:eastAsia="Times New Roman" w:cs="Times New Roman"/>
          <w:b w:val="0"/>
          <w:i w:val="0"/>
          <w:sz w:val="24"/>
        </w:rPr>
        <w:t xml:space="preserve"> was excluded because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record identity has no transferable meaning. </w:t>
      </w:r>
      <w:r>
        <w:rPr>
          <w:rFonts w:ascii="Times New Roman" w:hAnsi="Times New Roman" w:eastAsia="Times New Roman" w:cs="Times New Roman"/>
          <w:b w:val="0"/>
          <w:i w:val="0"/>
          <w:sz w:val="24"/>
          <w:szCs w:val="24"/>
        </w:rPr>
        <w:t>Post_Semester_GPA</w:t>
      </w:r>
      <w:r>
        <w:rPr>
          <w:rFonts w:ascii="Times New Roman" w:hAnsi="Times New Roman" w:eastAsia="Times New Roman" w:cs="Times New Roman"/>
          <w:b w:val="0"/>
          <w:i w:val="0"/>
          <w:sz w:val="24"/>
        </w:rPr>
        <w:t xml:space="preserve"> was used only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to construct the target; retaining it as a predictor would reveal the answer.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Skill_Retention_Score</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szCs w:val="24"/>
        </w:rPr>
        <w:t>Burnout_Risk_Level</w:t>
      </w:r>
      <w:r>
        <w:rPr>
          <w:rFonts w:ascii="Times New Roman" w:hAnsi="Times New Roman" w:eastAsia="Times New Roman" w:cs="Times New Roman"/>
          <w:b w:val="0"/>
          <w:i w:val="0"/>
          <w:sz w:val="24"/>
        </w:rPr>
        <w:t xml:space="preserve"> were excluded as separate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post-semester outcomes unavailable at the intended prediction point.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AI_Hours_Quartile</w:t>
      </w:r>
      <w:r>
        <w:rPr>
          <w:rFonts w:ascii="Times New Roman" w:hAnsi="Times New Roman" w:eastAsia="Times New Roman" w:cs="Times New Roman"/>
          <w:b w:val="0"/>
          <w:i w:val="0"/>
          <w:sz w:val="24"/>
        </w:rPr>
        <w:t xml:space="preserve"> and </w:t>
      </w:r>
      <w:r>
        <w:rPr>
          <w:rFonts w:ascii="Times New Roman" w:hAnsi="Times New Roman" w:eastAsia="Times New Roman" w:cs="Times New Roman"/>
          <w:b w:val="0"/>
          <w:i w:val="0"/>
          <w:sz w:val="24"/>
          <w:szCs w:val="24"/>
        </w:rPr>
        <w:t>GPA_Direction</w:t>
      </w:r>
      <w:r>
        <w:rPr>
          <w:rFonts w:ascii="Times New Roman" w:hAnsi="Times New Roman" w:eastAsia="Times New Roman" w:cs="Times New Roman"/>
          <w:b w:val="0"/>
          <w:i w:val="0"/>
          <w:sz w:val="24"/>
        </w:rPr>
        <w:t xml:space="preserve"> were diagnostic fields only; models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retained continuous hours and continuous GPA change.</w:t>
      </w:r>
    </w:p>
    <w:p>
      <w:pPr>
        <w:pStyle w:val="Caption"/>
        <w:keepNext/>
        <w:jc w:val="left"/>
      </w:pPr>
      <w:r>
        <w:rPr>
          <w:rFonts w:ascii="Times New Roman" w:hAnsi="Times New Roman" w:eastAsia="Times New Roman" w:cs="Times New Roman"/>
          <w:b/>
          <w:sz w:val="20"/>
        </w:rPr>
        <w:t>Table 4. Dataset preparation decisions</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987"/>
        <w:gridCol w:w="2952"/>
        <w:gridCol w:w="3370"/>
      </w:tblGrid>
      <w:tr>
        <w:trPr>
          <w:cantSplit/>
          <w:tblHeader w:val="true"/>
        </w:trPr>
        <w:tc>
          <w:tcPr>
            <w:tcW w:type="dxa" w:w="1987"/>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Action</w:t>
            </w:r>
          </w:p>
        </w:tc>
        <w:tc>
          <w:tcPr>
            <w:tcW w:type="dxa" w:w="2952"/>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Fields or rule</w:t>
            </w:r>
          </w:p>
        </w:tc>
        <w:tc>
          <w:tcPr>
            <w:tcW w:type="dxa" w:w="3370"/>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Rationale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Construct target</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Post-GPA minus pre-GPA</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Preserve magnitude and direction of academic change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Remove identifier</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Student_ID</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Avoid arbitrary record identity</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Remove target source</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Post_Semester_GPA</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Prevent direct outcome leakage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Remove other outcomes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Skill_Retention_Score</w:t>
            </w:r>
            <w:r>
              <w:rPr>
                <w:rFonts w:ascii="Times New Roman" w:hAnsi="Times New Roman" w:eastAsia="Times New Roman" w:cs="Times New Roman"/>
                <w:b w:val="0"/>
                <w:i w:val="0"/>
                <w:sz w:val="17"/>
              </w:rPr>
              <w:t xml:space="preserve">, </w:t>
            </w:r>
            <w:r>
              <w:rPr>
                <w:rFonts w:ascii="Times New Roman" w:hAnsi="Times New Roman" w:eastAsia="Times New Roman" w:cs="Times New Roman"/>
                <w:b w:val="0"/>
                <w:i w:val="0"/>
                <w:sz w:val="17"/>
                <w:szCs w:val="17"/>
              </w:rPr>
              <w:t>Burnout_Risk_Level</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Preserve a predictor-only feature set</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Audit validity</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Missingness, duplicates, ranges, categories, IQR flags</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Demonstrate cleaning decisions from evidence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Encode categories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Fold-fitted one-hot encoding; ignore unknown levels</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Represent nominal values without artificial ordering</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Prepare numeric fields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Fold-fitted median imputation and standardisation</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Provide robustness and linear-model comparability</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Retain clean observations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No deletion, fabrication or forced transformation</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Preserve valid supplied data</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Retain target distribution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No balancing by GPA-change sign</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Preserve the continuous regression estimand</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Add direction diagnostic</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GPA_Direction</w:t>
            </w:r>
            <w:r>
              <w:rPr>
                <w:rFonts w:ascii="Times New Roman" w:hAnsi="Times New Roman" w:eastAsia="Times New Roman" w:cs="Times New Roman"/>
                <w:b w:val="0"/>
                <w:i w:val="0"/>
                <w:sz w:val="17"/>
              </w:rPr>
              <w:t>, evaluation only</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Detect unequal errors hidden by overall averages</w:t>
            </w:r>
          </w:p>
        </w:tc>
      </w:tr>
    </w:tbl>
    <w:p>
      <w:pPr>
        <w:spacing w:before="0" w:after="0" w:line="40" w:lineRule="exact"/>
        <w:ind w:firstLine="0"/>
      </w:pPr>
    </w:p>
    <w:p>
      <w:pPr/>
      <w:r>
        <w:rPr>
          <w:rFonts w:ascii="Times New Roman" w:hAnsi="Times New Roman" w:eastAsia="Times New Roman" w:cs="Times New Roman"/>
          <w:b w:val="0"/>
          <w:i w:val="0"/>
          <w:sz w:val="24"/>
        </w:rPr>
        <w:t>Encoders, imputers and scaling remained inside model pipelines, so every fold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learned transformations from training data only. No imputation was activated,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but the pipeline defines future missing-value handling without manufacturing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present defects.</w:t>
      </w:r>
    </w:p>
    <w:p>
      <w:pPr/>
      <w:r>
        <w:rPr>
          <w:rFonts w:ascii="Times New Roman" w:hAnsi="Times New Roman" w:eastAsia="Times New Roman" w:cs="Times New Roman"/>
          <w:b w:val="0"/>
          <w:i w:val="0"/>
          <w:sz w:val="24"/>
        </w:rPr>
        <w:t>Complete cleaning was demonstrated through audits, validity rules and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decision log; it does not require changing valid data. Kaggle does not document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collection, sampling, ethics or whether records are observed or synthetic.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Perfect cleanliness is therefore a provenance warning, not proof of quality.</w:t>
      </w:r>
    </w:p>
    <w:p>
      <w:pPr>
        <w:pStyle w:val="Heading1"/>
        <w:pageBreakBefore/>
      </w:pPr>
      <w:r>
        <w:rPr>
          <w:rFonts w:ascii="Times New Roman" w:hAnsi="Times New Roman" w:eastAsia="Times New Roman" w:cs="Times New Roman"/>
          <w:b/>
          <w:sz w:val="28"/>
        </w:rPr>
        <w:t>5 Model Implementation</w:t>
      </w:r>
    </w:p>
    <w:p>
      <w:pPr>
        <w:pStyle w:val="Heading2"/>
      </w:pPr>
      <w:r>
        <w:rPr>
          <w:rFonts w:ascii="Times New Roman" w:hAnsi="Times New Roman" w:eastAsia="Times New Roman" w:cs="Times New Roman"/>
          <w:b/>
          <w:sz w:val="24"/>
        </w:rPr>
        <w:t>5.1 Common pipeline</w:t>
      </w:r>
    </w:p>
    <w:p>
      <w:pPr/>
      <w:r>
        <w:rPr>
          <w:rFonts w:ascii="Times New Roman" w:hAnsi="Times New Roman" w:eastAsia="Times New Roman" w:cs="Times New Roman"/>
          <w:b w:val="0"/>
          <w:i w:val="0"/>
          <w:sz w:val="24"/>
        </w:rPr>
        <w:t>Every candidate used the same train-test indices, five cross-validation folds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preprocessing architecture. This controlled comparison isolates differences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 the estimators rather than allowing each model to benefit from a different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 treatment. Numeric columns were median-imputed and standardised.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Categorical and Boolean columns were most-frequent-imputed and one-hot encoded.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dense encoded matrix was then supplied to the estimator. Because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preprocessor and estimator formed one </w:t>
      </w:r>
      <w:r>
        <w:rPr>
          <w:rFonts w:ascii="Times New Roman" w:hAnsi="Times New Roman" w:eastAsia="Times New Roman" w:cs="Times New Roman"/>
          <w:b w:val="0"/>
          <w:i w:val="0"/>
          <w:sz w:val="24"/>
          <w:szCs w:val="24"/>
        </w:rPr>
        <w:t>Pipeline</w:t>
      </w:r>
      <w:r>
        <w:rPr>
          <w:rFonts w:ascii="Times New Roman" w:hAnsi="Times New Roman" w:eastAsia="Times New Roman" w:cs="Times New Roman"/>
          <w:b w:val="0"/>
          <w:i w:val="0"/>
          <w:sz w:val="24"/>
        </w:rPr>
        <w:t>, fitting within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cross-validation fold could not learn category levels, medians, modes or scale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parameters from its validation partition.</w:t>
      </w:r>
    </w:p>
    <w:p>
      <w:pPr/>
      <w:r>
        <w:rPr>
          <w:rFonts w:ascii="Times New Roman" w:hAnsi="Times New Roman" w:eastAsia="Times New Roman" w:cs="Times New Roman"/>
          <w:b w:val="0"/>
          <w:i w:val="0"/>
          <w:sz w:val="24"/>
        </w:rPr>
        <w:t>The mean baseline was essential even though it was not a learning model. It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predicted the development-set mean GPA change for every record and established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minimum performance that a useful regression model should exceed. Its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expected R² is around zero on unseen data; a negative value means that even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fixed mean would perform better.</w:t>
      </w:r>
    </w:p>
    <w:p>
      <w:pPr>
        <w:pStyle w:val="Heading2"/>
      </w:pPr>
      <w:r>
        <w:rPr>
          <w:rFonts w:ascii="Times New Roman" w:hAnsi="Times New Roman" w:eastAsia="Times New Roman" w:cs="Times New Roman"/>
          <w:b/>
          <w:sz w:val="24"/>
        </w:rPr>
        <w:t>5.2 Candidate regressors</w:t>
      </w:r>
    </w:p>
    <w:p>
      <w:pPr/>
      <w:r>
        <w:rPr>
          <w:rFonts w:ascii="Times New Roman" w:hAnsi="Times New Roman" w:eastAsia="Times New Roman" w:cs="Times New Roman"/>
          <w:b w:val="0"/>
          <w:i w:val="0"/>
          <w:sz w:val="24"/>
        </w:rPr>
        <w:t>Ordinary least-squares Linear Regression provided an interpretable additive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benchmark. It assumes that the encoded predictors contribute through linear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combinations and therefore cannot directly represent thresholds 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interactions. Ridge Regression used the same functional form with an L2 penalty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 xml:space="preserve">and </w:t>
      </w:r>
      <w:r>
        <w:rPr>
          <w:rFonts w:ascii="Times New Roman" w:hAnsi="Times New Roman" w:eastAsia="Times New Roman" w:cs="Times New Roman"/>
          <w:b w:val="0"/>
          <w:i w:val="0"/>
          <w:sz w:val="24"/>
          <w:szCs w:val="24"/>
        </w:rPr>
        <w:t>alpha=1.0</w:t>
      </w:r>
      <w:r>
        <w:rPr>
          <w:rFonts w:ascii="Times New Roman" w:hAnsi="Times New Roman" w:eastAsia="Times New Roman" w:cs="Times New Roman"/>
          <w:b w:val="0"/>
          <w:i w:val="0"/>
          <w:sz w:val="24"/>
        </w:rPr>
        <w:t>. It tests whether shrinking correlated or weak coefficients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improves generalisation (Hoerl &amp; Kennard, 1970).</w:t>
      </w:r>
    </w:p>
    <w:p>
      <w:pPr/>
      <w:r>
        <w:rPr>
          <w:rFonts w:ascii="Times New Roman" w:hAnsi="Times New Roman" w:eastAsia="Times New Roman" w:cs="Times New Roman"/>
          <w:b w:val="0"/>
          <w:i w:val="0"/>
          <w:sz w:val="24"/>
        </w:rPr>
        <w:t>Random Forest represented bagged nonlinear trees with random feature selection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(Breiman, 2001). The implementation used 180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trees, a minimum of three samples per leaf and 80% of available features 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each split (</w:t>
      </w:r>
      <w:r>
        <w:rPr>
          <w:rFonts w:ascii="Times New Roman" w:hAnsi="Times New Roman" w:eastAsia="Times New Roman" w:cs="Times New Roman"/>
          <w:b w:val="0"/>
          <w:i w:val="0"/>
          <w:sz w:val="24"/>
          <w:szCs w:val="24"/>
        </w:rPr>
        <w:t>max_features=0.8</w:t>
      </w:r>
      <w:r>
        <w:rPr>
          <w:rFonts w:ascii="Times New Roman" w:hAnsi="Times New Roman" w:eastAsia="Times New Roman" w:cs="Times New Roman"/>
          <w:b w:val="0"/>
          <w:i w:val="0"/>
          <w:sz w:val="24"/>
        </w:rPr>
        <w:t xml:space="preserve">). Setting </w:t>
      </w:r>
      <w:r>
        <w:rPr>
          <w:rFonts w:ascii="Times New Roman" w:hAnsi="Times New Roman" w:eastAsia="Times New Roman" w:cs="Times New Roman"/>
          <w:b w:val="0"/>
          <w:i w:val="0"/>
          <w:sz w:val="24"/>
          <w:szCs w:val="24"/>
        </w:rPr>
        <w:t>n_jobs=1</w:t>
      </w:r>
      <w:r>
        <w:rPr>
          <w:rFonts w:ascii="Times New Roman" w:hAnsi="Times New Roman" w:eastAsia="Times New Roman" w:cs="Times New Roman"/>
          <w:b w:val="0"/>
          <w:i w:val="0"/>
          <w:sz w:val="24"/>
        </w:rPr>
        <w:t xml:space="preserve"> within the estimator avoided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nested model-level parallelism, while the cross-validation operation could run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folds in parallel. A fixed random state made bootstrap sampling and feature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selection reproducible. Tree ensembles were suitable because the exploratory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patterns suggested possible thresholds and interactions, and comparable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educational-data-mining studies have found tree-based methods competitive with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linear and other classifiers (Yağcı, 2022). That prior classification result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methodological context, not a numerical benchmark for this regression.</w:t>
      </w:r>
    </w:p>
    <w:p>
      <w:pPr/>
      <w:r>
        <w:rPr>
          <w:rFonts w:ascii="Times New Roman" w:hAnsi="Times New Roman" w:eastAsia="Times New Roman" w:cs="Times New Roman"/>
          <w:b w:val="0"/>
          <w:i w:val="0"/>
          <w:sz w:val="24"/>
        </w:rPr>
        <w:t>Histogram Gradient Boosting built trees sequentially, with each iteration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reducing residual error from the preceding ensemble. Histogram binning makes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method efficient for 50,000 rows; its stage-wise logic follows gradient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boosting (Friedman, 2001). The untuned comparison used 180 boosting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iterations, learning rate 0.07 and 31 maximum leaf nodes. Its capacity to learn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non-additive structure was relevant to the non-monotonic AI-hours pattern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ceiling-shaped relation between previous GPA and GPA change.</w:t>
      </w:r>
    </w:p>
    <w:p>
      <w:pPr>
        <w:pStyle w:val="Caption"/>
        <w:keepNext/>
        <w:jc w:val="left"/>
      </w:pPr>
      <w:r>
        <w:rPr>
          <w:rFonts w:ascii="Times New Roman" w:hAnsi="Times New Roman" w:eastAsia="Times New Roman" w:cs="Times New Roman"/>
          <w:b/>
          <w:sz w:val="20"/>
        </w:rPr>
        <w:t>Table 5. Candidate model specification</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987"/>
        <w:gridCol w:w="2952"/>
        <w:gridCol w:w="3370"/>
      </w:tblGrid>
      <w:tr>
        <w:trPr>
          <w:cantSplit/>
          <w:tblHeader w:val="true"/>
        </w:trPr>
        <w:tc>
          <w:tcPr>
            <w:tcW w:type="dxa" w:w="1987"/>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Model</w:t>
            </w:r>
          </w:p>
        </w:tc>
        <w:tc>
          <w:tcPr>
            <w:tcW w:type="dxa" w:w="2952"/>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Key implementation settings</w:t>
            </w:r>
          </w:p>
        </w:tc>
        <w:tc>
          <w:tcPr>
            <w:tcW w:type="dxa" w:w="3370"/>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Analytical role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Mean baseline</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strategy="mean"</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Minimum predictive reference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Linear Regression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scikit-learn defaults</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Unregularised additive benchmark</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Ridge Regression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szCs w:val="17"/>
              </w:rPr>
              <w:t>alpha=1.0</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Regularised additive benchmark</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Random Forest</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180 trees; minimum leaf 3; 80% features; seed 42</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Bagged nonlinear ensemble</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HGB</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180 iterations; rate 0.07; 31 leaves; seed 42</w:t>
            </w:r>
          </w:p>
        </w:tc>
        <w:tc>
          <w:tcPr>
            <w:tcW w:type="dxa" w:w="337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Boosted nonlinear ensemble</w:t>
            </w:r>
          </w:p>
        </w:tc>
      </w:tr>
    </w:tbl>
    <w:p>
      <w:pPr>
        <w:spacing w:before="0" w:after="0" w:line="40" w:lineRule="exact"/>
        <w:ind w:firstLine="0"/>
      </w:pPr>
    </w:p>
    <w:p>
      <w:pPr>
        <w:pStyle w:val="Heading2"/>
      </w:pPr>
      <w:r>
        <w:rPr>
          <w:rFonts w:ascii="Times New Roman" w:hAnsi="Times New Roman" w:eastAsia="Times New Roman" w:cs="Times New Roman"/>
          <w:b/>
          <w:sz w:val="24"/>
        </w:rPr>
        <w:t>5.3 Feature-set ablation</w:t>
      </w:r>
    </w:p>
    <w:p>
      <w:pPr/>
      <w:r>
        <w:rPr>
          <w:rFonts w:ascii="Times New Roman" w:hAnsi="Times New Roman" w:eastAsia="Times New Roman" w:cs="Times New Roman"/>
          <w:b w:val="0"/>
          <w:i w:val="0"/>
          <w:sz w:val="24"/>
        </w:rPr>
        <w:t>Before the broad model comparison, the same HGB procedure was applied to three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feature sets. The context-only model used five academic and study-context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variables. The AI-only model used seven AI behaviour, skill and institutional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variables. The combined model used all 12. For this ablation, HGB used 150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iterations, learning rate 0.08 and 31 maximum leaf nodes. Holding the estimator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data partition constant meant that the difference between context-only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combined performance could be interpreted as incremental predictive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information from the AI feature group within this dataset.</w:t>
      </w:r>
    </w:p>
    <w:p>
      <w:pPr/>
      <w:r>
        <w:rPr>
          <w:rFonts w:ascii="Times New Roman" w:hAnsi="Times New Roman" w:eastAsia="Times New Roman" w:cs="Times New Roman"/>
          <w:b w:val="0"/>
          <w:i w:val="0"/>
          <w:sz w:val="24"/>
        </w:rPr>
        <w:t>This is not the same as a treatment comparison. Some AI variables may encode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unobserved differences in courses, students or institutional settings, and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contains no random assignment or credible non-user control group.</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Accordingly, the ablation quantifies prediction, not an AI-induced GPA change.</w:t>
      </w:r>
    </w:p>
    <w:p>
      <w:pPr>
        <w:pStyle w:val="Heading2"/>
      </w:pPr>
      <w:r>
        <w:rPr>
          <w:rFonts w:ascii="Times New Roman" w:hAnsi="Times New Roman" w:eastAsia="Times New Roman" w:cs="Times New Roman"/>
          <w:b/>
          <w:sz w:val="24"/>
        </w:rPr>
        <w:t>5.4 Hyperparameter optimisation</w:t>
      </w:r>
    </w:p>
    <w:p>
      <w:pPr/>
      <w:r>
        <w:rPr>
          <w:rFonts w:ascii="Times New Roman" w:hAnsi="Times New Roman" w:eastAsia="Times New Roman" w:cs="Times New Roman"/>
          <w:b w:val="0"/>
          <w:i w:val="0"/>
          <w:sz w:val="24"/>
        </w:rPr>
        <w:t>HGB achieved the lowest mean cross-validated RMSE in the untuned comparison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therefore the only family passed to optimisation. Restricting tuning to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 data preserved the test set for confirmation. A randomised search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evaluated ten sampled combinations from the space in Table 6. RMSE was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search objective because it expresses error in GPA points while assigning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greater cost to large mistakes.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Random search was chosen because it can inspect more distinct values per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influential hyperparameter than an equally sized grid when only some dimensions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strongly affect performance (Bergstra &amp; Bengio, 2012).</w:t>
      </w:r>
    </w:p>
    <w:p>
      <w:pPr>
        <w:pStyle w:val="Caption"/>
        <w:keepNext/>
        <w:jc w:val="left"/>
      </w:pPr>
      <w:r>
        <w:rPr>
          <w:rFonts w:ascii="Times New Roman" w:hAnsi="Times New Roman" w:eastAsia="Times New Roman" w:cs="Times New Roman"/>
          <w:b/>
          <w:sz w:val="20"/>
        </w:rPr>
        <w:t>Table 6. HGB randomised-search space and selected configuration</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1987"/>
        <w:gridCol w:w="2952"/>
        <w:gridCol w:w="3370"/>
      </w:tblGrid>
      <w:tr>
        <w:trPr>
          <w:cantSplit/>
          <w:tblHeader w:val="true"/>
        </w:trPr>
        <w:tc>
          <w:tcPr>
            <w:tcW w:type="dxa" w:w="1987"/>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Hyperparameter</w:t>
            </w:r>
          </w:p>
        </w:tc>
        <w:tc>
          <w:tcPr>
            <w:tcW w:type="dxa" w:w="2952"/>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7"/>
              </w:rPr>
              <w:t>Candidate values</w:t>
            </w:r>
          </w:p>
        </w:tc>
        <w:tc>
          <w:tcPr>
            <w:tcW w:type="dxa" w:w="3370"/>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7"/>
              </w:rPr>
              <w:t>Selected</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Learning rate</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0.03, 0.05, 0.08, 0.10</w:t>
            </w:r>
          </w:p>
        </w:tc>
        <w:tc>
          <w:tcPr>
            <w:tcW w:type="dxa" w:w="3370"/>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7"/>
              </w:rPr>
              <w:t>0.05</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Maximum leaf nodes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15, 31, 63</w:t>
            </w:r>
          </w:p>
        </w:tc>
        <w:tc>
          <w:tcPr>
            <w:tcW w:type="dxa" w:w="3370"/>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7"/>
              </w:rPr>
              <w:t>15</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Minimum samples per leaf</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10, 20, 40</w:t>
            </w:r>
          </w:p>
        </w:tc>
        <w:tc>
          <w:tcPr>
            <w:tcW w:type="dxa" w:w="3370"/>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7"/>
              </w:rPr>
              <w:t>10</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L2 regularisation</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0.0, 0.1, 1.0</w:t>
            </w:r>
          </w:p>
        </w:tc>
        <w:tc>
          <w:tcPr>
            <w:tcW w:type="dxa" w:w="3370"/>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7"/>
              </w:rPr>
              <w:t>0.1</w:t>
            </w:r>
          </w:p>
        </w:tc>
      </w:tr>
      <w:tr>
        <w:trPr>
          <w:cantSplit/>
        </w:trPr>
        <w:tc>
          <w:tcPr>
            <w:tcW w:type="dxa" w:w="1987"/>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Maximum iterations</w:t>
            </w:r>
          </w:p>
        </w:tc>
        <w:tc>
          <w:tcPr>
            <w:tcW w:type="dxa" w:w="2952"/>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7"/>
              </w:rPr>
              <w:t>120, 180, 240</w:t>
            </w:r>
          </w:p>
        </w:tc>
        <w:tc>
          <w:tcPr>
            <w:tcW w:type="dxa" w:w="3370"/>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7"/>
              </w:rPr>
              <w:t>180</w:t>
            </w:r>
          </w:p>
        </w:tc>
      </w:tr>
    </w:tbl>
    <w:p>
      <w:pPr>
        <w:spacing w:before="0" w:after="0" w:line="40" w:lineRule="exact"/>
        <w:ind w:firstLine="0"/>
      </w:pPr>
    </w:p>
    <w:p>
      <w:pPr/>
      <w:r>
        <w:rPr>
          <w:rFonts w:ascii="Times New Roman" w:hAnsi="Times New Roman" w:eastAsia="Times New Roman" w:cs="Times New Roman"/>
          <w:b w:val="0"/>
          <w:i w:val="0"/>
          <w:sz w:val="24"/>
        </w:rPr>
        <w:t>The selected configuration combined a smaller learning rate with 180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iterations, fewer maximum leaves and modest L2 regularisation. This represents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gradual learning with constrained tree complexity. Explicitly reporting such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controls is important because ensemble performance depends on tuning choices,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broad algorithm labels conceal materially different model capacities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(Probst et al., 2019).</w:t>
      </w:r>
    </w:p>
    <w:p>
      <w:pPr/>
      <w:r>
        <w:rPr>
          <w:rFonts w:ascii="Times New Roman" w:hAnsi="Times New Roman" w:eastAsia="Times New Roman" w:cs="Times New Roman"/>
          <w:b w:val="0"/>
          <w:i w:val="0"/>
          <w:sz w:val="24"/>
        </w:rPr>
        <w:t>The best search score was a five-fold RMSE of 0.1441, compared with 0.1443 for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strongest untuned HGB comparison. The improvement was therefore only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0.0002 GPA points at the displayed precision. The optimisation still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demonstrated a valid tuning procedure, but its small gain indicates that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initial HGB settings were already close to the useful region of the tested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space.</w:t>
      </w:r>
    </w:p>
    <w:p>
      <w:pPr>
        <w:pStyle w:val="Heading2"/>
      </w:pPr>
      <w:r>
        <w:rPr>
          <w:rFonts w:ascii="Times New Roman" w:hAnsi="Times New Roman" w:eastAsia="Times New Roman" w:cs="Times New Roman"/>
          <w:b/>
          <w:sz w:val="24"/>
        </w:rPr>
        <w:t>5.5 Final fitting and interpretation outputs</w:t>
      </w:r>
    </w:p>
    <w:p>
      <w:pPr/>
      <w:r>
        <w:rPr>
          <w:rFonts w:ascii="Times New Roman" w:hAnsi="Times New Roman" w:eastAsia="Times New Roman" w:cs="Times New Roman"/>
          <w:b w:val="0"/>
          <w:i w:val="0"/>
          <w:sz w:val="24"/>
        </w:rPr>
        <w:t>After search completion, the best pipeline was refitted on all 40,000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development rows. The same procedure was used to fit the untuned models so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all candidates could be evaluated on the reserved 10,000-row test set.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Predictions from the tuned HGB were retained for residual analysis.</w:t>
      </w:r>
    </w:p>
    <w:p>
      <w:pPr/>
      <w:r>
        <w:rPr>
          <w:rFonts w:ascii="Times New Roman" w:hAnsi="Times New Roman" w:eastAsia="Times New Roman" w:cs="Times New Roman"/>
          <w:b w:val="0"/>
          <w:i w:val="0"/>
          <w:sz w:val="24"/>
        </w:rPr>
        <w:t>Permutation importance was calculated on the test data with RMSE scoring, five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repetitions and random state 42. Each source feature was shuffled while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fitted pipeline remained fixed; the mean deterioration in score described how</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much the model relied on that feature. This method can capture contribution in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 nonlinear pipeline but remains sensitive to correlated predictors and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specific fitted model. It was used for interpretation, not for asserting that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feature produced the outcome.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Permutation-based importance measures model reliance rather than an independent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or causal effect, and correlated predictors can share or mask reliance (Fisher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et al., 2019).</w:t>
      </w:r>
    </w:p>
    <w:p>
      <w:pPr>
        <w:pStyle w:val="Heading1"/>
        <w:pageBreakBefore/>
      </w:pPr>
      <w:r>
        <w:rPr>
          <w:rFonts w:ascii="Times New Roman" w:hAnsi="Times New Roman" w:eastAsia="Times New Roman" w:cs="Times New Roman"/>
          <w:b/>
          <w:sz w:val="28"/>
        </w:rPr>
        <w:t>6 Model Validation</w:t>
      </w:r>
    </w:p>
    <w:p>
      <w:pPr>
        <w:pStyle w:val="Heading2"/>
      </w:pPr>
      <w:r>
        <w:rPr>
          <w:rFonts w:ascii="Times New Roman" w:hAnsi="Times New Roman" w:eastAsia="Times New Roman" w:cs="Times New Roman"/>
          <w:b/>
          <w:sz w:val="24"/>
        </w:rPr>
        <w:t>6.1 Cross-validation and model selection</w:t>
      </w:r>
    </w:p>
    <w:p>
      <w:pPr/>
      <w:r>
        <w:rPr>
          <w:rFonts w:ascii="Times New Roman" w:hAnsi="Times New Roman" w:eastAsia="Times New Roman" w:cs="Times New Roman"/>
          <w:b w:val="0"/>
          <w:i w:val="0"/>
          <w:sz w:val="24"/>
        </w:rPr>
        <w:t>Table 7 reports the five-fold development results used for model selection.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All four trained regressors clearly outperformed the mean baseline. Histogram</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Gradient Boosting (HGB) had the lowest mean RMSE (0.1443), lowest MAE (0.1130)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highest R² (0.4080). Random Forest ranked second, while Linear and Ridge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Regression were effectively identical. The HGB fold-to-fold R² standard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deviation was 0.0085, compared with 0.0122 for Random Forest, indicating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winning untuned model was also comparatively stable across the five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partitions. The tuned search reduced mean CV RMSE slightly further to 0.1441.</w:t>
      </w:r>
    </w:p>
    <w:p>
      <w:pPr>
        <w:pStyle w:val="Caption"/>
        <w:keepNext/>
        <w:jc w:val="left"/>
      </w:pPr>
      <w:r>
        <w:rPr>
          <w:rFonts w:ascii="Times New Roman" w:hAnsi="Times New Roman" w:eastAsia="Times New Roman" w:cs="Times New Roman"/>
          <w:b/>
          <w:sz w:val="20"/>
        </w:rPr>
        <w:t>Table 7. Five-fold cross-validation and reserved-test performance</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2520"/>
        <w:gridCol w:w="828"/>
        <w:gridCol w:w="828"/>
        <w:gridCol w:w="828"/>
        <w:gridCol w:w="828"/>
        <w:gridCol w:w="828"/>
        <w:gridCol w:w="828"/>
        <w:gridCol w:w="828"/>
      </w:tblGrid>
      <w:tr>
        <w:trPr>
          <w:cantSplit/>
          <w:tblHeader w:val="true"/>
        </w:trPr>
        <w:tc>
          <w:tcPr>
            <w:tcW w:type="dxa" w:w="2520"/>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Model</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MAE</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RMSE</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R²</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SD of CV R²</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MAE</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RMSE</w:t>
            </w:r>
          </w:p>
        </w:tc>
        <w:tc>
          <w:tcPr>
            <w:tcW w:type="dxa" w:w="828"/>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R²</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Tuned HGB</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0.1441</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0.1112</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0.1414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0.4185</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HGB</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0.1130</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0.1443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0.4080</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0.0085</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0.1114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0.1416</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0.4166</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Random Forest</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0.1149</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0.1473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0.3833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0.0122</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0.1142</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0.1448</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0.3896</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Ridge Regression</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0.1261</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0.1608</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0.2657</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0.0104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0.1242</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0.1583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0.2712</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Linear Regression</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0.1261</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0.1608</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0.2657</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0.0104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0.1242</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0.1583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0.2712</w:t>
            </w:r>
          </w:p>
        </w:tc>
      </w:tr>
      <w:tr>
        <w:trPr>
          <w:cantSplit/>
        </w:trPr>
        <w:tc>
          <w:tcPr>
            <w:tcW w:type="dxa" w:w="2520"/>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Mean baseline</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0.1459</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0.1876</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-0.0003</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0.0004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0.1444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0.1854</w:t>
            </w:r>
          </w:p>
        </w:tc>
        <w:tc>
          <w:tcPr>
            <w:tcW w:type="dxa" w:w="828"/>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-0.0003</w:t>
            </w:r>
          </w:p>
        </w:tc>
      </w:tr>
    </w:tbl>
    <w:p>
      <w:pPr>
        <w:spacing w:before="0" w:after="0" w:line="40" w:lineRule="exact"/>
        <w:ind w:firstLine="0"/>
      </w:pPr>
    </w:p>
    <w:p>
      <w:pPr/>
      <w:r>
        <w:rPr>
          <w:rFonts w:ascii="Times New Roman" w:hAnsi="Times New Roman" w:eastAsia="Times New Roman" w:cs="Times New Roman"/>
          <w:b w:val="0"/>
          <w:i/>
          <w:sz w:val="24"/>
        </w:rPr>
        <w:t>Note.</w:t>
      </w:r>
      <w:r>
        <w:rPr>
          <w:rFonts w:ascii="Times New Roman" w:hAnsi="Times New Roman" w:eastAsia="Times New Roman" w:cs="Times New Roman"/>
          <w:b w:val="0"/>
          <w:i w:val="0"/>
          <w:sz w:val="24"/>
        </w:rPr>
        <w:t xml:space="preserve"> CV = cross-validation; HGB = Histogram Gradient Boosting; MAE = mean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absolute error; RMSE = root mean squared error; SD = standard deviation.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Bold values mark the strongest available result within their comparison.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Em dashes indicate tuned CV statistics that were not retained in the saved tuning output.</w:t>
      </w:r>
    </w:p>
    <w:p>
      <w:pPr/>
      <w:r>
        <w:rPr>
          <w:rFonts w:ascii="Times New Roman" w:hAnsi="Times New Roman" w:eastAsia="Times New Roman" w:cs="Times New Roman"/>
          <w:b w:val="0"/>
          <w:i w:val="0"/>
          <w:sz w:val="24"/>
        </w:rPr>
        <w:t>Fold deviations describe stability, not formal significance. Selection rests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on identical-fold average ranking and test confirmation; statistical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superiority is not claimed.</w:t>
      </w:r>
    </w:p>
    <w:p>
      <w:pPr>
        <w:pStyle w:val="Heading2"/>
      </w:pPr>
      <w:r>
        <w:rPr>
          <w:rFonts w:ascii="Times New Roman" w:hAnsi="Times New Roman" w:eastAsia="Times New Roman" w:cs="Times New Roman"/>
          <w:b/>
          <w:sz w:val="24"/>
        </w:rPr>
        <w:t>6.2 Test confirmation</w:t>
      </w:r>
    </w:p>
    <w:p>
      <w:pPr/>
      <w:r>
        <w:rPr>
          <w:rFonts w:ascii="Times New Roman" w:hAnsi="Times New Roman" w:eastAsia="Times New Roman" w:cs="Times New Roman"/>
          <w:b w:val="0"/>
          <w:i w:val="0"/>
          <w:sz w:val="24"/>
        </w:rPr>
        <w:t>The reserved test results retained the development ranking. As Figure 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shows, tuned and untuned HGB had the lowest RMSE, followed by Random Forest,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two linear models and the baseline. The tuned HGB achieved MAE 0.1112,</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RMSE 0.1414 and R² = 0.4185. Relative to the baseline RMSE of 0.1854, its RMSE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was approximately 23.7% lower. The improvement over untuned HGB was only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0.0002 RMSE and 0.0019 R², so validation supports HGB strongly but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specific benefit of tuning only weakly. Its test R² was only 0.0105 above the best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untuned cross-validation mean, which is consistent with ordinary partition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variation and provides no strong indication of severe overfitting.</w:t>
      </w:r>
    </w:p>
    <w:p>
      <w:pPr>
        <w:keepNext/>
        <w:spacing w:before="120" w:after="40"/>
        <w:ind w:firstLine="0"/>
        <w:jc w:val="center"/>
      </w:pPr>
      <w:r>
        <w:drawing>
          <wp:inline xmlns:a="http://schemas.openxmlformats.org/drawingml/2006/main" xmlns:pic="http://schemas.openxmlformats.org/drawingml/2006/picture">
            <wp:extent cx="5212080" cy="1964678"/>
            <wp:docPr id="8" name="Picture 8"/>
            <wp:cNvGraphicFramePr>
              <a:graphicFrameLocks noChangeAspect="1"/>
            </wp:cNvGraphicFramePr>
            <a:graphic>
              <a:graphicData uri="http://schemas.openxmlformats.org/drawingml/2006/picture">
                <pic:pic>
                  <pic:nvPicPr>
                    <pic:cNvPr id="0" name="fig07_model_test_rmse_and_actual_vs_predicted.png"/>
                    <pic:cNvPicPr/>
                  </pic:nvPicPr>
                  <pic:blipFill>
                    <a:blip r:embed="rId22"/>
                    <a:stretch>
                      <a:fillRect/>
                    </a:stretch>
                  </pic:blipFill>
                  <pic:spPr>
                    <a:xfrm>
                      <a:off x="0" y="0"/>
                      <a:ext cx="5212080" cy="1964678"/>
                    </a:xfrm>
                    <a:prstGeom prst="rect"/>
                  </pic:spPr>
                </pic:pic>
              </a:graphicData>
            </a:graphic>
          </wp:inline>
        </w:drawing>
      </w:r>
    </w:p>
    <w:p>
      <w:pPr>
        <w:pStyle w:val="Caption"/>
        <w:jc w:val="center"/>
      </w:pPr>
      <w:r>
        <w:rPr>
          <w:rFonts w:ascii="Times New Roman" w:hAnsi="Times New Roman" w:eastAsia="Times New Roman" w:cs="Times New Roman"/>
          <w:sz w:val="20"/>
        </w:rPr>
        <w:t>Figure 7. Reserved-test RMSE by model and actual versus predicted GPA change for the selected tuned HGB model. The dashed diagonal represents perfect predictions.</w:t>
      </w:r>
    </w:p>
    <w:p>
      <w:pPr>
        <w:pStyle w:val="Heading2"/>
      </w:pPr>
      <w:r>
        <w:rPr>
          <w:rFonts w:ascii="Times New Roman" w:hAnsi="Times New Roman" w:eastAsia="Times New Roman" w:cs="Times New Roman"/>
          <w:b/>
          <w:sz w:val="24"/>
        </w:rPr>
        <w:t>6.3 Residual behaviour</w:t>
      </w:r>
    </w:p>
    <w:p>
      <w:pPr/>
      <w:r>
        <w:rPr>
          <w:rFonts w:ascii="Times New Roman" w:hAnsi="Times New Roman" w:eastAsia="Times New Roman" w:cs="Times New Roman"/>
          <w:b w:val="0"/>
          <w:i w:val="0"/>
          <w:sz w:val="24"/>
        </w:rPr>
        <w:t>Figure 8 shows residuals defined as actual minus predicted GPA change. Their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mean was 0.0019 and their standard deviation was 0.1414. The near-zero mean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indicates little overall directional bias, but the scatter demonstrates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substantial unexplained record-level variation. Predictions also compressed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extreme outcomes towards the centre, a common limitation when a model 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optimised for average error and extreme cases are sparse.</w:t>
      </w:r>
    </w:p>
    <w:p>
      <w:pPr/>
      <w:r>
        <w:rPr>
          <w:rFonts w:ascii="Times New Roman" w:hAnsi="Times New Roman" w:eastAsia="Times New Roman" w:cs="Times New Roman"/>
          <w:b w:val="0"/>
          <w:i w:val="0"/>
          <w:sz w:val="24"/>
        </w:rPr>
        <w:t>The median absolute error was 0.0922. Of the 10,000 test predictions, 53.57%</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were within 0.10 GPA points of the observed change and 84.34% were within 0.20.</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Remaining error and moderate R² prevent use as a high-confidence individual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decision rule.</w:t>
      </w:r>
    </w:p>
    <w:p>
      <w:pPr>
        <w:keepNext/>
        <w:spacing w:before="120" w:after="40"/>
        <w:ind w:firstLine="0"/>
        <w:jc w:val="center"/>
      </w:pPr>
      <w:r>
        <w:drawing>
          <wp:inline xmlns:a="http://schemas.openxmlformats.org/drawingml/2006/main" xmlns:pic="http://schemas.openxmlformats.org/drawingml/2006/picture">
            <wp:extent cx="5212080" cy="1964678"/>
            <wp:docPr id="9" name="Picture 9"/>
            <wp:cNvGraphicFramePr>
              <a:graphicFrameLocks noChangeAspect="1"/>
            </wp:cNvGraphicFramePr>
            <a:graphic>
              <a:graphicData uri="http://schemas.openxmlformats.org/drawingml/2006/picture">
                <pic:pic>
                  <pic:nvPicPr>
                    <pic:cNvPr id="0" name="fig08_residual_diagnostics.png"/>
                    <pic:cNvPicPr/>
                  </pic:nvPicPr>
                  <pic:blipFill>
                    <a:blip r:embed="rId23"/>
                    <a:stretch>
                      <a:fillRect/>
                    </a:stretch>
                  </pic:blipFill>
                  <pic:spPr>
                    <a:xfrm>
                      <a:off x="0" y="0"/>
                      <a:ext cx="5212080" cy="1964678"/>
                    </a:xfrm>
                    <a:prstGeom prst="rect"/>
                  </pic:spPr>
                </pic:pic>
              </a:graphicData>
            </a:graphic>
          </wp:inline>
        </w:drawing>
      </w:r>
    </w:p>
    <w:p>
      <w:pPr>
        <w:pStyle w:val="Caption"/>
        <w:jc w:val="center"/>
      </w:pPr>
      <w:r>
        <w:rPr>
          <w:rFonts w:ascii="Times New Roman" w:hAnsi="Times New Roman" w:eastAsia="Times New Roman" w:cs="Times New Roman"/>
          <w:sz w:val="20"/>
        </w:rPr>
        <w:t>Figure 8. Residuals against predicted GPA change and the residual distribution for tuned HGB.</w:t>
      </w:r>
    </w:p>
    <w:p>
      <w:pPr>
        <w:pStyle w:val="Heading2"/>
      </w:pPr>
      <w:r>
        <w:rPr>
          <w:rFonts w:ascii="Times New Roman" w:hAnsi="Times New Roman" w:eastAsia="Times New Roman" w:cs="Times New Roman"/>
          <w:b/>
          <w:sz w:val="24"/>
        </w:rPr>
        <w:t>6.4 Direction-specific error and bias risk</w:t>
      </w:r>
    </w:p>
    <w:p>
      <w:pPr/>
      <w:r>
        <w:rPr>
          <w:rFonts w:ascii="Times New Roman" w:hAnsi="Times New Roman" w:eastAsia="Times New Roman" w:cs="Times New Roman"/>
          <w:b w:val="0"/>
          <w:i w:val="0"/>
          <w:sz w:val="24"/>
        </w:rPr>
        <w:t>The asymmetric target made the near-zero overall residual insufficient as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bias check. Of the test observations, 1,203 were decreases, 11 were unchanged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8,786 were increases. For decreases, MAE was 0.1979, RMSE was 0.2208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mean residual was -0.1916. Because residual equals actual minus predicted, this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shows systematic overprediction: the model pulled GPA declines towards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much more common positive centre. Increase cases had MAE 0.0993, RMSE 0.1266</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mean residual 0.0286. The 11 unchanged cases were too few for a stable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subgroup conclusion but had MAE 0.1615.</w:t>
      </w:r>
    </w:p>
    <w:p>
      <w:pPr>
        <w:keepNext/>
        <w:spacing w:before="120" w:after="40"/>
        <w:ind w:firstLine="0"/>
        <w:jc w:val="center"/>
      </w:pPr>
      <w:r>
        <w:drawing>
          <wp:inline xmlns:a="http://schemas.openxmlformats.org/drawingml/2006/main" xmlns:pic="http://schemas.openxmlformats.org/drawingml/2006/picture">
            <wp:extent cx="5212080" cy="1966209"/>
            <wp:docPr id="10" name="Picture 10"/>
            <wp:cNvGraphicFramePr>
              <a:graphicFrameLocks noChangeAspect="1"/>
            </wp:cNvGraphicFramePr>
            <a:graphic>
              <a:graphicData uri="http://schemas.openxmlformats.org/drawingml/2006/picture">
                <pic:pic>
                  <pic:nvPicPr>
                    <pic:cNvPr id="0" name="fig09_direction_specific_errors.png"/>
                    <pic:cNvPicPr/>
                  </pic:nvPicPr>
                  <pic:blipFill>
                    <a:blip r:embed="rId24"/>
                    <a:stretch>
                      <a:fillRect/>
                    </a:stretch>
                  </pic:blipFill>
                  <pic:spPr>
                    <a:xfrm>
                      <a:off x="0" y="0"/>
                      <a:ext cx="5212080" cy="1966209"/>
                    </a:xfrm>
                    <a:prstGeom prst="rect"/>
                  </pic:spPr>
                </pic:pic>
              </a:graphicData>
            </a:graphic>
          </wp:inline>
        </w:drawing>
      </w:r>
    </w:p>
    <w:p>
      <w:pPr>
        <w:pStyle w:val="Caption"/>
        <w:jc w:val="center"/>
      </w:pPr>
      <w:r>
        <w:rPr>
          <w:rFonts w:ascii="Times New Roman" w:hAnsi="Times New Roman" w:eastAsia="Times New Roman" w:cs="Times New Roman"/>
          <w:sz w:val="20"/>
        </w:rPr>
        <w:t>Figure 9. Test MAE, RMSE and residual distributions separated by observed GPA-change direction. The same tuned model and untouched test set are used for all groups.</w:t>
      </w:r>
    </w:p>
    <w:p>
      <w:pPr/>
      <w:r>
        <w:rPr>
          <w:rFonts w:ascii="Times New Roman" w:hAnsi="Times New Roman" w:eastAsia="Times New Roman" w:cs="Times New Roman"/>
          <w:b w:val="0"/>
          <w:i w:val="0"/>
          <w:sz w:val="24"/>
        </w:rPr>
        <w:t>These differences demonstrate predictive bias across outcome regions.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Balancing by sign would redefine the continuous outcome, so aggregate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direction-specific results are reported instead. The model should not support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individual interventions, especially for possible GPA declines.</w:t>
      </w:r>
    </w:p>
    <w:p>
      <w:pPr/>
      <w:r>
        <w:rPr>
          <w:rFonts w:ascii="Times New Roman" w:hAnsi="Times New Roman" w:eastAsia="Times New Roman" w:cs="Times New Roman"/>
          <w:b w:val="0"/>
          <w:i w:val="0"/>
          <w:sz w:val="24"/>
        </w:rPr>
        <w:t>A reproducibility check reran the established model workflow with the added EDA and subgroup diagnostics and reproduced all core metrics. Cleanup-only execution warnings did not affect the results.</w:t>
      </w:r>
    </w:p>
    <w:p>
      <w:pPr/>
      <w:r>
        <w:rPr>
          <w:rFonts w:ascii="Times New Roman" w:hAnsi="Times New Roman" w:eastAsia="Times New Roman" w:cs="Times New Roman"/>
          <w:b w:val="0"/>
          <w:i w:val="0"/>
          <w:sz w:val="24"/>
        </w:rPr>
        <w:t>The test partition also selected the diagnostic plot model. No refitting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followed, but repeated confirmatory use may be optimistic relative to external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evaluation.</w:t>
      </w:r>
    </w:p>
    <w:p>
      <w:pPr>
        <w:pStyle w:val="Heading1"/>
        <w:pageBreakBefore/>
      </w:pPr>
      <w:r>
        <w:rPr>
          <w:rFonts w:ascii="Times New Roman" w:hAnsi="Times New Roman" w:eastAsia="Times New Roman" w:cs="Times New Roman"/>
          <w:b/>
          <w:sz w:val="28"/>
        </w:rPr>
        <w:t>7 Analysis and Recommendations</w:t>
      </w:r>
    </w:p>
    <w:p>
      <w:pPr>
        <w:pStyle w:val="Heading2"/>
      </w:pPr>
      <w:r>
        <w:rPr>
          <w:rFonts w:ascii="Times New Roman" w:hAnsi="Times New Roman" w:eastAsia="Times New Roman" w:cs="Times New Roman"/>
          <w:b/>
          <w:sz w:val="24"/>
        </w:rPr>
        <w:t>7.1 Answer to the research question</w:t>
      </w:r>
    </w:p>
    <w:p>
      <w:pPr/>
      <w:r>
        <w:rPr>
          <w:rFonts w:ascii="Times New Roman" w:hAnsi="Times New Roman" w:eastAsia="Times New Roman" w:cs="Times New Roman"/>
          <w:b w:val="0"/>
          <w:i w:val="0"/>
          <w:sz w:val="24"/>
        </w:rPr>
        <w:t>The clearest finding to emerge from the analysis is that AI-use variables added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out-of-sample predictive information when combined with previous GPA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general study context. As Table 8 shows, the context-only HGB model achieved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test R² = 0.2382, while AI variables alone achieved 0.1703. Combining the two</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groups raised test R² to 0.4170 and reduced RMSE from 0.1618 to 0.1415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relative to context alone. The R² increment was 0.1788. This is a change in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predictive performance, not a percentage increase in GPA and not an estimate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of an AI effect.</w:t>
      </w:r>
    </w:p>
    <w:p>
      <w:pPr>
        <w:pStyle w:val="Caption"/>
        <w:keepNext/>
        <w:jc w:val="left"/>
      </w:pPr>
      <w:r>
        <w:rPr>
          <w:rFonts w:ascii="Times New Roman" w:hAnsi="Times New Roman" w:eastAsia="Times New Roman" w:cs="Times New Roman"/>
          <w:b/>
          <w:sz w:val="20"/>
        </w:rPr>
        <w:t>Table 8. HGB feature-set comparison</w:t>
      </w:r>
    </w:p>
    <w:tbl>
      <w:tblPr>
        <w:tblW w:type="auto" w:w="0"/>
        <w:jc w:val="center"/>
        <w:tblLayout w:type="fixed"/>
        <w:tblLook w:firstColumn="1" w:firstRow="1" w:lastColumn="0" w:lastRow="0" w:noHBand="0" w:noVBand="1" w:val="04A0"/>
        <w:tblBorders>
          <w:top w:val="single" w:sz="4" w:space="0" w:color="A6A6A6"/>
          <w:start w:val="single" w:sz="4" w:space="0" w:color="A6A6A6"/>
          <w:bottom w:val="single" w:sz="4" w:space="0" w:color="A6A6A6"/>
          <w:end w:val="single" w:sz="4" w:space="0" w:color="A6A6A6"/>
          <w:insideH w:val="single" w:sz="4" w:space="0" w:color="A6A6A6"/>
          <w:insideV w:val="single" w:sz="4" w:space="0" w:color="A6A6A6"/>
        </w:tblBorders>
      </w:tblPr>
      <w:tblGrid>
        <w:gridCol w:w="2376"/>
        <w:gridCol w:w="986"/>
        <w:gridCol w:w="986"/>
        <w:gridCol w:w="986"/>
        <w:gridCol w:w="986"/>
        <w:gridCol w:w="986"/>
        <w:gridCol w:w="986"/>
      </w:tblGrid>
      <w:tr>
        <w:trPr>
          <w:cantSplit/>
          <w:tblHeader w:val="true"/>
        </w:trPr>
        <w:tc>
          <w:tcPr>
            <w:tcW w:type="dxa" w:w="2376"/>
            <w:vAlign w:val="center"/>
            <w:tcMar>
              <w:top w:w="35" w:type="dxa"/>
              <w:start w:w="70" w:type="dxa"/>
              <w:bottom w:w="35" w:type="dxa"/>
              <w:end w:w="70" w:type="dxa"/>
            </w:tcMar>
            <w:shd w:fill="F2F2F2"/>
          </w:tcPr>
          <w:p>
            <w:pPr>
              <w:spacing w:after="0" w:line="240" w:lineRule="auto"/>
              <w:ind w:firstLine="0"/>
              <w:jc w:val="center"/>
            </w:pPr>
            <w:r>
              <w:rPr>
                <w:rFonts w:ascii="Times New Roman" w:hAnsi="Times New Roman" w:eastAsia="Times New Roman" w:cs="Times New Roman"/>
                <w:b/>
                <w:i w:val="0"/>
                <w:sz w:val="16"/>
              </w:rPr>
              <w:t>Feature set</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MAE</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RMSE</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CV R²</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MAE</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RMSE</w:t>
            </w:r>
          </w:p>
        </w:tc>
        <w:tc>
          <w:tcPr>
            <w:tcW w:type="dxa" w:w="986"/>
            <w:vAlign w:val="center"/>
            <w:tcMar>
              <w:top w:w="35" w:type="dxa"/>
              <w:start w:w="70" w:type="dxa"/>
              <w:bottom w:w="35" w:type="dxa"/>
              <w:end w:w="70" w:type="dxa"/>
            </w:tcMar>
            <w:shd w:fill="F2F2F2"/>
          </w:tcPr>
          <w:p>
            <w:pPr>
              <w:spacing w:after="0" w:line="240" w:lineRule="auto"/>
              <w:ind w:firstLine="0"/>
              <w:jc w:val="right"/>
            </w:pPr>
            <w:r>
              <w:rPr>
                <w:rFonts w:ascii="Times New Roman" w:hAnsi="Times New Roman" w:eastAsia="Times New Roman" w:cs="Times New Roman"/>
                <w:b/>
                <w:i w:val="0"/>
                <w:sz w:val="16"/>
              </w:rPr>
              <w:t>Test R²</w:t>
            </w:r>
          </w:p>
        </w:tc>
      </w:tr>
      <w:tr>
        <w:trPr>
          <w:cantSplit/>
        </w:trPr>
        <w:tc>
          <w:tcPr>
            <w:tcW w:type="dxa" w:w="2376"/>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Context only</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0.1254</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0.1638</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0.2378</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0.1239</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0.1618</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0.2382</w:t>
            </w:r>
          </w:p>
        </w:tc>
      </w:tr>
      <w:tr>
        <w:trPr>
          <w:cantSplit/>
        </w:trPr>
        <w:tc>
          <w:tcPr>
            <w:tcW w:type="dxa" w:w="2376"/>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AI variables only</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0.1356</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0.1708</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0.1708</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0.1347</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0.1689</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val="0"/>
                <w:i w:val="0"/>
                <w:sz w:val="16"/>
              </w:rPr>
              <w:t>0.1703</w:t>
            </w:r>
          </w:p>
        </w:tc>
      </w:tr>
      <w:tr>
        <w:trPr>
          <w:cantSplit/>
        </w:trPr>
        <w:tc>
          <w:tcPr>
            <w:tcW w:type="dxa" w:w="2376"/>
            <w:vAlign w:val="center"/>
            <w:tcMar>
              <w:top w:w="35" w:type="dxa"/>
              <w:start w:w="70" w:type="dxa"/>
              <w:bottom w:w="35" w:type="dxa"/>
              <w:end w:w="70" w:type="dxa"/>
            </w:tcMar>
          </w:tcPr>
          <w:p>
            <w:pPr>
              <w:spacing w:after="0" w:line="240" w:lineRule="auto"/>
              <w:ind w:firstLine="0"/>
              <w:jc w:val="left"/>
            </w:pPr>
            <w:r>
              <w:rPr>
                <w:rFonts w:ascii="Times New Roman" w:hAnsi="Times New Roman" w:eastAsia="Times New Roman" w:cs="Times New Roman"/>
                <w:b w:val="0"/>
                <w:i w:val="0"/>
                <w:sz w:val="16"/>
              </w:rPr>
              <w:t>Context and AI variables</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0.1129</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0.1443</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0.4084</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0.1114</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0.1415</w:t>
            </w:r>
          </w:p>
        </w:tc>
        <w:tc>
          <w:tcPr>
            <w:tcW w:type="dxa" w:w="986"/>
            <w:vAlign w:val="center"/>
            <w:tcMar>
              <w:top w:w="35" w:type="dxa"/>
              <w:start w:w="70" w:type="dxa"/>
              <w:bottom w:w="35" w:type="dxa"/>
              <w:end w:w="70" w:type="dxa"/>
            </w:tcMar>
          </w:tcPr>
          <w:p>
            <w:pPr>
              <w:spacing w:after="0" w:line="240" w:lineRule="auto"/>
              <w:ind w:firstLine="0"/>
              <w:jc w:val="right"/>
            </w:pPr>
            <w:r>
              <w:rPr>
                <w:rFonts w:ascii="Times New Roman" w:hAnsi="Times New Roman" w:eastAsia="Times New Roman" w:cs="Times New Roman"/>
                <w:b/>
                <w:i w:val="0"/>
                <w:sz w:val="16"/>
              </w:rPr>
              <w:t>0.4170</w:t>
            </w:r>
          </w:p>
        </w:tc>
      </w:tr>
    </w:tbl>
    <w:p>
      <w:pPr>
        <w:spacing w:before="0" w:after="0" w:line="40" w:lineRule="exact"/>
        <w:ind w:firstLine="0"/>
      </w:pPr>
    </w:p>
    <w:p>
      <w:pPr/>
      <w:r>
        <w:rPr>
          <w:rFonts w:ascii="Times New Roman" w:hAnsi="Times New Roman" w:eastAsia="Times New Roman" w:cs="Times New Roman"/>
          <w:b w:val="0"/>
          <w:i w:val="0"/>
          <w:sz w:val="24"/>
        </w:rPr>
        <w:t>AI variables were therefore informative but insufficient by themselves.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strongest prediction required academic context and AI-related behaviour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together. This result is consistent with the wider literature's emphasis 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context and quality of use. AI literacy includes understanding, application,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evaluation and ethics rather than exposure alone (Ng et al., 2021), while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effective prompting also depends on domain knowledge and critical checking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(Lee &amp; Palmer, 2025). The result should not be interpreted as validating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dataset's self-described skill measure; it only shows that the recorded AI</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fields helped this model discriminate between outcomes.</w:t>
      </w:r>
    </w:p>
    <w:p>
      <w:pPr>
        <w:pStyle w:val="Heading2"/>
      </w:pPr>
      <w:r>
        <w:rPr>
          <w:rFonts w:ascii="Times New Roman" w:hAnsi="Times New Roman" w:eastAsia="Times New Roman" w:cs="Times New Roman"/>
          <w:b/>
          <w:sz w:val="24"/>
        </w:rPr>
        <w:t>7.2 Why nonlinear models performed better</w:t>
      </w:r>
    </w:p>
    <w:p>
      <w:pPr/>
      <w:r>
        <w:rPr>
          <w:rFonts w:ascii="Times New Roman" w:hAnsi="Times New Roman" w:eastAsia="Times New Roman" w:cs="Times New Roman"/>
          <w:b w:val="0"/>
          <w:i w:val="0"/>
          <w:sz w:val="24"/>
        </w:rPr>
        <w:t>HGB and Random Forest outperformed Linear and Ridge Regression under the same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folds and preprocessing. The tuned HGB test RMSE was 0.1414, compared with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0.1448 for Random Forest and 0.1583 for both linear models. This suggests that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one additive coefficient per encoded feature did not capture all useful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structure. Two descriptive findings support that interpretation. First, mean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GPA change rose through the high-medium AI-hours quartile and then fell in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highest quartile. Second, the maximum feasible increase narrows as previous GPA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approaches 4.0. Tree ensembles can represent thresholds and interactions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without imposing a single straight-line relationship.</w:t>
      </w:r>
    </w:p>
    <w:p>
      <w:pPr/>
      <w:r>
        <w:rPr>
          <w:rFonts w:ascii="Times New Roman" w:hAnsi="Times New Roman" w:eastAsia="Times New Roman" w:cs="Times New Roman"/>
          <w:b w:val="0"/>
          <w:i w:val="0"/>
          <w:sz w:val="24"/>
        </w:rPr>
        <w:t>This pattern aligns cautiously with educational-data-mining evidence in which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tree-based and other nonlinear models have performed competitively (Yağcı,</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2022). It does not show that HGB is universally preferable: Waheed et 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(2020), for example, reported a deep model as strongest for a different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classification task using virtual-learning data. Model ranking is conditional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on the outcome, features, sample and validation protocol.</w:t>
      </w:r>
    </w:p>
    <w:p>
      <w:pPr/>
      <w:r>
        <w:rPr>
          <w:rFonts w:ascii="Times New Roman" w:hAnsi="Times New Roman" w:eastAsia="Times New Roman" w:cs="Times New Roman"/>
          <w:b w:val="0"/>
          <w:i w:val="0"/>
          <w:sz w:val="24"/>
        </w:rPr>
        <w:t>The optimisation result is also instructive. Randomised search improved HGB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cross-validated RMSE from 0.1443 to 0.1441 and test R² from 0.4166 to 0.4185</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relative to the untuned HGB. The gain was genuine within the recorded run but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small. Tuning therefore refined an already suitable model rather than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transforming performance. This supports explicit optimisation while cautioning</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against presenting search as inherently valuable irrespective of its measured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benefit.</w:t>
      </w:r>
    </w:p>
    <w:p>
      <w:pPr>
        <w:pStyle w:val="Heading2"/>
      </w:pPr>
      <w:r>
        <w:rPr>
          <w:rFonts w:ascii="Times New Roman" w:hAnsi="Times New Roman" w:eastAsia="Times New Roman" w:cs="Times New Roman"/>
          <w:b/>
          <w:sz w:val="24"/>
        </w:rPr>
        <w:t>7.3 Predictive importance and anomalies</w:t>
      </w:r>
    </w:p>
    <w:p>
      <w:pPr/>
      <w:r>
        <w:rPr>
          <w:rFonts w:ascii="Times New Roman" w:hAnsi="Times New Roman" w:eastAsia="Times New Roman" w:cs="Times New Roman"/>
          <w:b w:val="0"/>
          <w:i w:val="0"/>
          <w:sz w:val="24"/>
        </w:rPr>
        <w:t xml:space="preserve">Figure 10 shows that </w:t>
      </w:r>
      <w:r>
        <w:rPr>
          <w:rFonts w:ascii="Times New Roman" w:hAnsi="Times New Roman" w:eastAsia="Times New Roman" w:cs="Times New Roman"/>
          <w:b w:val="0"/>
          <w:i w:val="0"/>
          <w:sz w:val="24"/>
          <w:szCs w:val="24"/>
        </w:rPr>
        <w:t>Traditional_Study_Hours</w:t>
      </w:r>
      <w:r>
        <w:rPr>
          <w:rFonts w:ascii="Times New Roman" w:hAnsi="Times New Roman" w:eastAsia="Times New Roman" w:cs="Times New Roman"/>
          <w:b w:val="0"/>
          <w:i w:val="0"/>
          <w:sz w:val="24"/>
        </w:rPr>
        <w:t xml:space="preserve"> had the largest permutation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importance (0.0328 increase in RMSE-based loss when shuffled), followed by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Primary_Use_Case</w:t>
      </w:r>
      <w:r>
        <w:rPr>
          <w:rFonts w:ascii="Times New Roman" w:hAnsi="Times New Roman" w:eastAsia="Times New Roman" w:cs="Times New Roman"/>
          <w:b w:val="0"/>
          <w:i w:val="0"/>
          <w:sz w:val="24"/>
        </w:rPr>
        <w:t xml:space="preserve"> (0.0267), </w:t>
      </w:r>
      <w:r>
        <w:rPr>
          <w:rFonts w:ascii="Times New Roman" w:hAnsi="Times New Roman" w:eastAsia="Times New Roman" w:cs="Times New Roman"/>
          <w:b w:val="0"/>
          <w:i w:val="0"/>
          <w:sz w:val="24"/>
          <w:szCs w:val="24"/>
        </w:rPr>
        <w:t>Weekly_GenAI_Hours</w:t>
      </w:r>
      <w:r>
        <w:rPr>
          <w:rFonts w:ascii="Times New Roman" w:hAnsi="Times New Roman" w:eastAsia="Times New Roman" w:cs="Times New Roman"/>
          <w:b w:val="0"/>
          <w:i w:val="0"/>
          <w:sz w:val="24"/>
        </w:rPr>
        <w:t xml:space="preserve"> (0.0174),</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Year_of_Study</w:t>
      </w:r>
      <w:r>
        <w:rPr>
          <w:rFonts w:ascii="Times New Roman" w:hAnsi="Times New Roman" w:eastAsia="Times New Roman" w:cs="Times New Roman"/>
          <w:b w:val="0"/>
          <w:i w:val="0"/>
          <w:sz w:val="24"/>
        </w:rPr>
        <w:t xml:space="preserve"> (0.0136), </w:t>
      </w:r>
      <w:r>
        <w:rPr>
          <w:rFonts w:ascii="Times New Roman" w:hAnsi="Times New Roman" w:eastAsia="Times New Roman" w:cs="Times New Roman"/>
          <w:b w:val="0"/>
          <w:i w:val="0"/>
          <w:sz w:val="24"/>
          <w:szCs w:val="24"/>
        </w:rPr>
        <w:t>Prompt_Engineering_Skill</w:t>
      </w:r>
      <w:r>
        <w:rPr>
          <w:rFonts w:ascii="Times New Roman" w:hAnsi="Times New Roman" w:eastAsia="Times New Roman" w:cs="Times New Roman"/>
          <w:b w:val="0"/>
          <w:i w:val="0"/>
          <w:sz w:val="24"/>
        </w:rPr>
        <w:t xml:space="preserve"> (0.0122)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szCs w:val="24"/>
        </w:rPr>
        <w:t>Pre_Semester_GPA</w:t>
      </w:r>
      <w:r>
        <w:rPr>
          <w:rFonts w:ascii="Times New Roman" w:hAnsi="Times New Roman" w:eastAsia="Times New Roman" w:cs="Times New Roman"/>
          <w:b w:val="0"/>
          <w:i w:val="0"/>
          <w:sz w:val="24"/>
        </w:rPr>
        <w:t xml:space="preserve"> (0.0108). Institutional policy and paid subscription made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small contributions, while tool diversity, perceived dependency, exam anxiety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major category were near zero in this fitted model.</w:t>
      </w:r>
    </w:p>
    <w:p>
      <w:pPr>
        <w:keepNext/>
        <w:spacing w:before="120" w:after="40"/>
        <w:ind w:firstLine="0"/>
        <w:jc w:val="center"/>
      </w:pPr>
      <w:r>
        <w:drawing>
          <wp:inline xmlns:a="http://schemas.openxmlformats.org/drawingml/2006/main" xmlns:pic="http://schemas.openxmlformats.org/drawingml/2006/picture">
            <wp:extent cx="5212080" cy="3443274"/>
            <wp:docPr id="11" name="Picture 11"/>
            <wp:cNvGraphicFramePr>
              <a:graphicFrameLocks noChangeAspect="1"/>
            </wp:cNvGraphicFramePr>
            <a:graphic>
              <a:graphicData uri="http://schemas.openxmlformats.org/drawingml/2006/picture">
                <pic:pic>
                  <pic:nvPicPr>
                    <pic:cNvPr id="0" name="fig10_permutation_importance.png"/>
                    <pic:cNvPicPr/>
                  </pic:nvPicPr>
                  <pic:blipFill>
                    <a:blip r:embed="rId25"/>
                    <a:stretch>
                      <a:fillRect/>
                    </a:stretch>
                  </pic:blipFill>
                  <pic:spPr>
                    <a:xfrm>
                      <a:off x="0" y="0"/>
                      <a:ext cx="5212080" cy="3443274"/>
                    </a:xfrm>
                    <a:prstGeom prst="rect"/>
                  </pic:spPr>
                </pic:pic>
              </a:graphicData>
            </a:graphic>
          </wp:inline>
        </w:drawing>
      </w:r>
    </w:p>
    <w:p>
      <w:pPr>
        <w:pStyle w:val="Caption"/>
        <w:jc w:val="center"/>
      </w:pPr>
      <w:r>
        <w:rPr>
          <w:rFonts w:ascii="Times New Roman" w:hAnsi="Times New Roman" w:eastAsia="Times New Roman" w:cs="Times New Roman"/>
          <w:sz w:val="20"/>
        </w:rPr>
        <w:t>Figure 10. Test-set permutation importance for the selected tuned HGB model. Values show the mean deterioration in RMSE-based score after shuffling each source feature across five repetitions.</w:t>
      </w:r>
    </w:p>
    <w:p>
      <w:pPr/>
      <w:r>
        <w:rPr>
          <w:rFonts w:ascii="Times New Roman" w:hAnsi="Times New Roman" w:eastAsia="Times New Roman" w:cs="Times New Roman"/>
          <w:b w:val="0"/>
          <w:i w:val="0"/>
          <w:sz w:val="24"/>
        </w:rPr>
        <w:t>Traditional study hours ranking above any AI field is substantively important: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AI behaviour did not replace conventional study context. At the same time,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purpose of use ranking above weekly hours supports the argument that how a tool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is used may be more informative than exposure quantity. The non-monotonic</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quartile pattern further rejects the simplistic recommendation that more hours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should improve GPA.</w:t>
      </w:r>
    </w:p>
    <w:p>
      <w:pPr/>
      <w:r>
        <w:rPr>
          <w:rFonts w:ascii="Times New Roman" w:hAnsi="Times New Roman" w:eastAsia="Times New Roman" w:cs="Times New Roman"/>
          <w:b w:val="0"/>
          <w:i w:val="0"/>
          <w:sz w:val="24"/>
        </w:rPr>
        <w:t>These importance values do not isolate independent effects. Correlated features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can substitute for one another when shuffled, and a variable may be useful</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because it proxies an unobserved factor. The near-zero importance of perceived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dependency, for instance, does not establish that dependency is educationally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irrelevant. It means only that shuffling this field did not materially worsen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this model's test score after the other recorded predictors were available.</w:t>
      </w:r>
    </w:p>
    <w:p>
      <w:pPr>
        <w:pStyle w:val="Heading2"/>
      </w:pPr>
      <w:r>
        <w:rPr>
          <w:rFonts w:ascii="Times New Roman" w:hAnsi="Times New Roman" w:eastAsia="Times New Roman" w:cs="Times New Roman"/>
          <w:b/>
          <w:sz w:val="24"/>
        </w:rPr>
        <w:t>7.4 Relationship to prior evidence</w:t>
      </w:r>
    </w:p>
    <w:p>
      <w:pPr/>
      <w:r>
        <w:rPr>
          <w:rFonts w:ascii="Times New Roman" w:hAnsi="Times New Roman" w:eastAsia="Times New Roman" w:cs="Times New Roman"/>
          <w:b w:val="0"/>
          <w:i w:val="0"/>
          <w:sz w:val="24"/>
        </w:rPr>
        <w:t>Taken together, the results fit the literature's mixed rather than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deterministic account of GenAI. Sun and Zhou (2024) found positive average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effects in structured interventions, whereas Abbas et al. (2024) reported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adverse associations in observational survey data. Molerov et al. (2026) found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faster task completion and more examinations passed among users, but no better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task accuracy or grades. The current model neither confirms nor refutes those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effects because it uses different measures and has no intervention or credible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control group. Its contribution is narrower: use-related fields improved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prediction within the supplied records, and the form of the association was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not simply monotonic.</w:t>
      </w:r>
    </w:p>
    <w:p>
      <w:pPr/>
      <w:r>
        <w:rPr>
          <w:rFonts w:ascii="Times New Roman" w:hAnsi="Times New Roman" w:eastAsia="Times New Roman" w:cs="Times New Roman"/>
          <w:b w:val="0"/>
          <w:i w:val="0"/>
          <w:sz w:val="24"/>
        </w:rPr>
        <w:t>The final R² of 0.4185 left most test variation unexplained. Missing course,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assessment, instructor and socioeconomic context plus extreme-outcome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compression require caution.</w:t>
      </w:r>
    </w:p>
    <w:p>
      <w:pPr/>
      <w:r>
        <w:rPr>
          <w:rFonts w:ascii="Times New Roman" w:hAnsi="Times New Roman" w:eastAsia="Times New Roman" w:cs="Times New Roman"/>
          <w:b w:val="0"/>
          <w:i w:val="0"/>
          <w:sz w:val="24"/>
        </w:rPr>
        <w:t>Direction-specific validation revealed the clearest practical bias risk. Test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MAE for GPA decreases (0.1979) was nearly twice that for increases (0.0993),</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the mean residual of -0.1916 shows that declines were systematically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predicted as less severe. This behaviour is consistent with the 87.52% positive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target share and central prediction compression. The result does not justify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changing the observed distribution, but it prevents the near-zero overall mean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residual from being presented as evidence of equal performance.</w:t>
      </w:r>
    </w:p>
    <w:p>
      <w:pPr>
        <w:pStyle w:val="Heading2"/>
      </w:pPr>
      <w:r>
        <w:rPr>
          <w:rFonts w:ascii="Times New Roman" w:hAnsi="Times New Roman" w:eastAsia="Times New Roman" w:cs="Times New Roman"/>
          <w:b/>
          <w:sz w:val="24"/>
        </w:rPr>
        <w:t>7.5 Evidence-Based Recommendations and Future Work</w:t>
      </w:r>
    </w:p>
    <w:p>
      <w:pPr/>
      <w:r>
        <w:rPr>
          <w:rFonts w:ascii="Times New Roman" w:hAnsi="Times New Roman" w:eastAsia="Times New Roman" w:cs="Times New Roman"/>
          <w:b w:val="0"/>
          <w:i w:val="0"/>
          <w:sz w:val="24"/>
        </w:rPr>
        <w:t>First, tuned Histogram Gradient Boosting should be treated as the preferred predictive model within the boundaries of this dataset because it achieved the strongest cross-validation and reserved-test performance. However, its modest explanatory power, compression of extreme predictions and substantially higher error for GPA decreases prevent individual-level or intervention use. Its outputs are therefore suitable only for research benchmarking and hypothesis generation until independent validation establishes acceptable direction-specific and subgroup performance.</w:t>
      </w:r>
    </w:p>
    <w:p>
      <w:pPr/>
      <w:r>
        <w:rPr>
          <w:rFonts w:ascii="Times New Roman" w:hAnsi="Times New Roman" w:eastAsia="Times New Roman" w:cs="Times New Roman"/>
          <w:b w:val="0"/>
          <w:i w:val="0"/>
          <w:sz w:val="24"/>
        </w:rPr>
        <w:t>Second, future data collection should establish clear provenance by documenting the institution, sampling frame, time period, consent process, collection instrument and real-versus-synthetic status. Verified behavioural logs should be distinguished from self-report, and course, assessment, instructor and relevant demographic or socioeconomic variables should be added where ethically justified. Longitudinal records, a predefined low-use or non-use comparison group and external validation on a separately collected cohort are required before moving from prediction towards effect estimation or practical deployment.</w:t>
      </w:r>
    </w:p>
    <w:p>
      <w:pPr/>
      <w:r>
        <w:rPr>
          <w:rFonts w:ascii="Times New Roman" w:hAnsi="Times New Roman" w:eastAsia="Times New Roman" w:cs="Times New Roman"/>
          <w:b w:val="0"/>
          <w:i w:val="0"/>
          <w:sz w:val="24"/>
        </w:rPr>
        <w:t>Third, purposeful and critical AI-use interventions should be evaluated through controlled research rather than inferred from permutation importance or observed associations. Future studies could test support that combines prompt practice, subject knowledge, output verification and ethical judgement, consistent with AI-literacy research (Laupichler et al., 2022; Lee &amp; Palmer, 2025). The present study does not establish that these interventions improve GPA, so its feature rankings should not be converted into prescriptive educational advice.</w:t>
      </w:r>
    </w:p>
    <w:p>
      <w:pPr>
        <w:pStyle w:val="Heading1"/>
        <w:pageBreakBefore/>
      </w:pPr>
      <w:r>
        <w:rPr>
          <w:rFonts w:ascii="Times New Roman" w:hAnsi="Times New Roman" w:eastAsia="Times New Roman" w:cs="Times New Roman"/>
          <w:b/>
          <w:sz w:val="28"/>
        </w:rPr>
        <w:t>8 Conclusion</w:t>
      </w:r>
    </w:p>
    <w:p>
      <w:pPr/>
      <w:r>
        <w:rPr>
          <w:rFonts w:ascii="Times New Roman" w:hAnsi="Times New Roman" w:eastAsia="Times New Roman" w:cs="Times New Roman"/>
          <w:b w:val="0"/>
          <w:i w:val="0"/>
          <w:sz w:val="24"/>
        </w:rPr>
        <w:t>The following conclusions can be drawn from this predictive study. AI-use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variables improved held-out prediction of semester GPA change when they were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combined with previous GPA and general study context. The combined HGB</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feature-set model achieved test R² = 0.4170, compared with 0.2382 for context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only and 0.1703 for AI variables only. Among the candidate algorithms,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Histogram Gradient Boosting produced the strongest cross-validated performance,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and its tuned version achieved test MAE 0.1112, RMSE 0.1414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R² = 0.4185. These values answer the research question within the supplied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they do not show that AI use caused any student's GPA to change.</w:t>
      </w:r>
    </w:p>
    <w:p>
      <w:pPr/>
      <w:r>
        <w:rPr>
          <w:rFonts w:ascii="Times New Roman" w:hAnsi="Times New Roman" w:eastAsia="Times New Roman" w:cs="Times New Roman"/>
          <w:b w:val="0"/>
          <w:i w:val="0"/>
          <w:sz w:val="24"/>
        </w:rPr>
        <w:t>All six objectives were met. Every field was profiled for type, completeness,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cardinality, range, distribution and category frequency without altering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raw data. The 50,000 rows, 16 source columns, absence of missing values,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duplicates and invalid ranges were reported. GPA change was constructed as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continuous target, while context, AI-only and combined feature groups enabled a</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direct ablation. Identifier and post-outcome fields were removed,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preprocessing was fitted within model pipelines. A baseline and four regressors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were compared using identical five-fold validation. The strongest nonlinear</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family was tuned using development folds, then confirmed on a reserved test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set. Finally, residuals, prediction tolerances and permutation importance were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interpreted alongside the literature.</w:t>
      </w:r>
    </w:p>
    <w:p>
      <w:pPr/>
      <w:r>
        <w:rPr>
          <w:rFonts w:ascii="Times New Roman" w:hAnsi="Times New Roman" w:eastAsia="Times New Roman" w:cs="Times New Roman"/>
          <w:b w:val="0"/>
          <w:i w:val="0"/>
          <w:sz w:val="24"/>
        </w:rPr>
        <w:t>What worked best was the controlled comparison: nonlinear ensembles improved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on the linear models, and cross-validation and test rankings were consistent.</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The feature-set experiment also answered a substantive question rather than</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merely selecting an algorithm. What worked less well was extensive tuning;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HGB improvement was small, indicating that the initial settings were already</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adequate. The final model also left most outcome variation unexplained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compressed extreme predictions. Direction-specific testing exposed this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limitation: MAE was 0.1979 for GPA decreases versus 0.0993 for increases, with</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declines systematically predicted towards the positive centre.</w:t>
      </w:r>
    </w:p>
    <w:p>
      <w:pPr/>
      <w:r>
        <w:rPr>
          <w:rFonts w:ascii="Times New Roman" w:hAnsi="Times New Roman" w:eastAsia="Times New Roman" w:cs="Times New Roman"/>
          <w:b w:val="0"/>
          <w:i w:val="0"/>
          <w:sz w:val="24"/>
        </w:rPr>
        <w:t>The main limitation is evidential rather than computational. Dataset collection, sampling, geography, ethics and real-versus-synthetic status are undocumented, and perfect cleanliness reduces confidence that the file reflects unprocessed field data. The practical implication is therefore cautious: purposeful AI-use variables deserve inclusion in future student-success research, but neither usage hours nor feature importance should be converted into individual or educational prescriptions without stronger evidence.</w:t>
      </w:r>
    </w:p>
    <w:p>
      <w:pPr>
        <w:pStyle w:val="Heading1"/>
        <w:pageBreakBefore/>
      </w:pPr>
      <w:r>
        <w:rPr>
          <w:rFonts w:ascii="Times New Roman" w:hAnsi="Times New Roman" w:eastAsia="Times New Roman" w:cs="Times New Roman"/>
          <w:b/>
          <w:sz w:val="28"/>
        </w:rPr>
        <w:t>References</w:t>
      </w:r>
    </w:p>
    <w:p>
      <w:pPr>
        <w:pStyle w:val="Reference"/>
      </w:pPr>
      <w:r>
        <w:rPr>
          <w:rFonts w:ascii="Times New Roman" w:hAnsi="Times New Roman" w:eastAsia="Times New Roman" w:cs="Times New Roman"/>
          <w:b w:val="0"/>
          <w:i w:val="0"/>
          <w:sz w:val="22"/>
        </w:rPr>
        <w:t xml:space="preserve">Arlot, S., &amp; Celisse, A. (2010). A survey of cross-validation procedures for model selection. </w:t>
      </w:r>
      <w:r>
        <w:rPr>
          <w:rFonts w:ascii="Times New Roman" w:hAnsi="Times New Roman" w:eastAsia="Times New Roman" w:cs="Times New Roman"/>
          <w:b w:val="0"/>
          <w:i/>
          <w:sz w:val="22"/>
        </w:rPr>
        <w:t>Statistics Surveys, 4</w:t>
      </w:r>
      <w:r>
        <w:rPr>
          <w:rFonts w:ascii="Times New Roman" w:hAnsi="Times New Roman" w:eastAsia="Times New Roman" w:cs="Times New Roman"/>
          <w:b w:val="0"/>
          <w:i w:val="0"/>
          <w:sz w:val="22"/>
        </w:rPr>
        <w:t>, 40–79. https://doi.org/10.1214/09-SS054</w:t>
      </w:r>
    </w:p>
    <w:p>
      <w:pPr>
        <w:pStyle w:val="Reference"/>
      </w:pPr>
      <w:r>
        <w:rPr>
          <w:rFonts w:ascii="Times New Roman" w:hAnsi="Times New Roman" w:eastAsia="Times New Roman" w:cs="Times New Roman"/>
          <w:b w:val="0"/>
          <w:i w:val="0"/>
          <w:sz w:val="22"/>
        </w:rPr>
        <w:t xml:space="preserve">Bergstra, J., &amp; Bengio, Y. (2012). Random search for hyper-parameter optimization. </w:t>
      </w:r>
      <w:r>
        <w:rPr>
          <w:rFonts w:ascii="Times New Roman" w:hAnsi="Times New Roman" w:eastAsia="Times New Roman" w:cs="Times New Roman"/>
          <w:b w:val="0"/>
          <w:i/>
          <w:sz w:val="22"/>
        </w:rPr>
        <w:t>Journal of Machine Learning Research, 13</w:t>
      </w:r>
      <w:r>
        <w:rPr>
          <w:rFonts w:ascii="Times New Roman" w:hAnsi="Times New Roman" w:eastAsia="Times New Roman" w:cs="Times New Roman"/>
          <w:b w:val="0"/>
          <w:i w:val="0"/>
          <w:sz w:val="22"/>
        </w:rPr>
        <w:t>(10), 281–305. https://jmlr.org/papers/v13/bergstra12a.html</w:t>
      </w:r>
    </w:p>
    <w:p>
      <w:pPr>
        <w:pStyle w:val="Reference"/>
      </w:pPr>
      <w:r>
        <w:rPr>
          <w:rFonts w:ascii="Times New Roman" w:hAnsi="Times New Roman" w:eastAsia="Times New Roman" w:cs="Times New Roman"/>
          <w:b w:val="0"/>
          <w:i w:val="0"/>
          <w:sz w:val="22"/>
        </w:rPr>
        <w:t xml:space="preserve">Breiman, L. (2001). Random forests. </w:t>
      </w:r>
      <w:r>
        <w:rPr>
          <w:rFonts w:ascii="Times New Roman" w:hAnsi="Times New Roman" w:eastAsia="Times New Roman" w:cs="Times New Roman"/>
          <w:b w:val="0"/>
          <w:i/>
          <w:sz w:val="22"/>
        </w:rPr>
        <w:t>Machine Learning, 45</w:t>
      </w:r>
      <w:r>
        <w:rPr>
          <w:rFonts w:ascii="Times New Roman" w:hAnsi="Times New Roman" w:eastAsia="Times New Roman" w:cs="Times New Roman"/>
          <w:b w:val="0"/>
          <w:i w:val="0"/>
          <w:sz w:val="22"/>
        </w:rPr>
        <w:t>, 5–32. https://doi.org/10.1023/A:1010933404324</w:t>
      </w:r>
    </w:p>
    <w:p>
      <w:pPr>
        <w:pStyle w:val="Reference"/>
      </w:pPr>
      <w:r>
        <w:rPr>
          <w:rFonts w:ascii="Times New Roman" w:hAnsi="Times New Roman" w:eastAsia="Times New Roman" w:cs="Times New Roman"/>
          <w:b w:val="0"/>
          <w:i w:val="0"/>
          <w:sz w:val="22"/>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cs="Times New Roman"/>
          <w:b w:val="0"/>
          <w:i/>
          <w:sz w:val="22"/>
        </w:rPr>
        <w:t>Journal of Machine Learning Research, 20</w:t>
      </w:r>
      <w:r>
        <w:rPr>
          <w:rFonts w:ascii="Times New Roman" w:hAnsi="Times New Roman" w:eastAsia="Times New Roman" w:cs="Times New Roman"/>
          <w:b w:val="0"/>
          <w:i w:val="0"/>
          <w:sz w:val="22"/>
        </w:rPr>
        <w:t>(177), 1–81. https://jmlr.org/papers/v20/18-760.html</w:t>
      </w:r>
    </w:p>
    <w:p>
      <w:pPr>
        <w:pStyle w:val="Reference"/>
      </w:pPr>
      <w:r>
        <w:rPr>
          <w:rFonts w:ascii="Times New Roman" w:hAnsi="Times New Roman" w:eastAsia="Times New Roman" w:cs="Times New Roman"/>
          <w:b w:val="0"/>
          <w:i w:val="0"/>
          <w:sz w:val="22"/>
        </w:rPr>
        <w:t xml:space="preserve">Friedman, J. H. (2001). Greedy function approximation: A gradient boosting machine. </w:t>
      </w:r>
      <w:r>
        <w:rPr>
          <w:rFonts w:ascii="Times New Roman" w:hAnsi="Times New Roman" w:eastAsia="Times New Roman" w:cs="Times New Roman"/>
          <w:b w:val="0"/>
          <w:i/>
          <w:sz w:val="22"/>
        </w:rPr>
        <w:t>The Annals of Statistics, 29</w:t>
      </w:r>
      <w:r>
        <w:rPr>
          <w:rFonts w:ascii="Times New Roman" w:hAnsi="Times New Roman" w:eastAsia="Times New Roman" w:cs="Times New Roman"/>
          <w:b w:val="0"/>
          <w:i w:val="0"/>
          <w:sz w:val="22"/>
        </w:rPr>
        <w:t>(5), 1189–1232. https://doi.org/10.1214/aos/1013203451</w:t>
      </w:r>
    </w:p>
    <w:p>
      <w:pPr>
        <w:pStyle w:val="Reference"/>
      </w:pPr>
      <w:r>
        <w:rPr>
          <w:rFonts w:ascii="Times New Roman" w:hAnsi="Times New Roman" w:eastAsia="Times New Roman" w:cs="Times New Roman"/>
          <w:b w:val="0"/>
          <w:i w:val="0"/>
          <w:sz w:val="22"/>
        </w:rPr>
        <w:t xml:space="preserve">Harris, C. R., Millman, K. J., van der Walt, S. J., et al. (2020). Array programming with NumPy. </w:t>
      </w:r>
      <w:r>
        <w:rPr>
          <w:rFonts w:ascii="Times New Roman" w:hAnsi="Times New Roman" w:eastAsia="Times New Roman" w:cs="Times New Roman"/>
          <w:b w:val="0"/>
          <w:i/>
          <w:sz w:val="22"/>
        </w:rPr>
        <w:t>Nature, 585</w:t>
      </w:r>
      <w:r>
        <w:rPr>
          <w:rFonts w:ascii="Times New Roman" w:hAnsi="Times New Roman" w:eastAsia="Times New Roman" w:cs="Times New Roman"/>
          <w:b w:val="0"/>
          <w:i w:val="0"/>
          <w:sz w:val="22"/>
        </w:rPr>
        <w:t>, 357–362. https://doi.org/10.1038/s41586-020-2649-2</w:t>
      </w:r>
    </w:p>
    <w:p>
      <w:pPr>
        <w:pStyle w:val="Reference"/>
      </w:pPr>
      <w:r>
        <w:rPr>
          <w:rFonts w:ascii="Times New Roman" w:hAnsi="Times New Roman" w:eastAsia="Times New Roman" w:cs="Times New Roman"/>
          <w:b w:val="0"/>
          <w:i w:val="0"/>
          <w:sz w:val="22"/>
        </w:rPr>
        <w:t xml:space="preserve">Hoerl, A. E., &amp; Kennard, R. W. (1970). Ridge regression: Biased estimation for nonorthogonal problems. </w:t>
      </w:r>
      <w:r>
        <w:rPr>
          <w:rFonts w:ascii="Times New Roman" w:hAnsi="Times New Roman" w:eastAsia="Times New Roman" w:cs="Times New Roman"/>
          <w:b w:val="0"/>
          <w:i/>
          <w:sz w:val="22"/>
        </w:rPr>
        <w:t>Technometrics, 12</w:t>
      </w:r>
      <w:r>
        <w:rPr>
          <w:rFonts w:ascii="Times New Roman" w:hAnsi="Times New Roman" w:eastAsia="Times New Roman" w:cs="Times New Roman"/>
          <w:b w:val="0"/>
          <w:i w:val="0"/>
          <w:sz w:val="22"/>
        </w:rPr>
        <w:t>(1), 55–67. https://doi.org/10.1080/00401706.1970.10488634</w:t>
      </w:r>
    </w:p>
    <w:p>
      <w:pPr>
        <w:pStyle w:val="Reference"/>
      </w:pPr>
      <w:r>
        <w:rPr>
          <w:rFonts w:ascii="Times New Roman" w:hAnsi="Times New Roman" w:eastAsia="Times New Roman" w:cs="Times New Roman"/>
          <w:b w:val="0"/>
          <w:i w:val="0"/>
          <w:sz w:val="22"/>
        </w:rPr>
        <w:t xml:space="preserve">Hunter, J. D. (2007). Matplotlib: A 2D graphics environment. </w:t>
      </w:r>
      <w:r>
        <w:rPr>
          <w:rFonts w:ascii="Times New Roman" w:hAnsi="Times New Roman" w:eastAsia="Times New Roman" w:cs="Times New Roman"/>
          <w:b w:val="0"/>
          <w:i/>
          <w:sz w:val="22"/>
        </w:rPr>
        <w:t>Computing in Science &amp; Engineering, 9</w:t>
      </w:r>
      <w:r>
        <w:rPr>
          <w:rFonts w:ascii="Times New Roman" w:hAnsi="Times New Roman" w:eastAsia="Times New Roman" w:cs="Times New Roman"/>
          <w:b w:val="0"/>
          <w:i w:val="0"/>
          <w:sz w:val="22"/>
        </w:rPr>
        <w:t>(3), 90–95. https://doi.org/10.1109/MCSE.2007.55</w:t>
      </w:r>
    </w:p>
    <w:p>
      <w:pPr>
        <w:pStyle w:val="Reference"/>
      </w:pPr>
      <w:r>
        <w:rPr>
          <w:rFonts w:ascii="Times New Roman" w:hAnsi="Times New Roman" w:eastAsia="Times New Roman" w:cs="Times New Roman"/>
          <w:b w:val="0"/>
          <w:i w:val="0"/>
          <w:sz w:val="22"/>
        </w:rPr>
        <w:t xml:space="preserve">McKinney, W. (2010). Data structures for statistical computing in Python. In </w:t>
      </w:r>
      <w:r>
        <w:rPr>
          <w:rFonts w:ascii="Times New Roman" w:hAnsi="Times New Roman" w:eastAsia="Times New Roman" w:cs="Times New Roman"/>
          <w:b w:val="0"/>
          <w:i/>
          <w:sz w:val="22"/>
        </w:rPr>
        <w:t>Proceedings of the 9th Python in Science Conference</w:t>
      </w:r>
      <w:r>
        <w:rPr>
          <w:rFonts w:ascii="Times New Roman" w:hAnsi="Times New Roman" w:eastAsia="Times New Roman" w:cs="Times New Roman"/>
          <w:b w:val="0"/>
          <w:i w:val="0"/>
          <w:sz w:val="22"/>
        </w:rPr>
        <w:t xml:space="preserve"> (pp. 56–61). https://doi.org/10.25080/Majora-92bf1922-00a</w:t>
      </w:r>
    </w:p>
    <w:p>
      <w:pPr>
        <w:pStyle w:val="Reference"/>
      </w:pPr>
      <w:r>
        <w:rPr>
          <w:rFonts w:ascii="Times New Roman" w:hAnsi="Times New Roman" w:eastAsia="Times New Roman" w:cs="Times New Roman"/>
          <w:b w:val="0"/>
          <w:i w:val="0"/>
          <w:sz w:val="22"/>
        </w:rPr>
        <w:t xml:space="preserve">Waskom, M. L. (2021). seaborn: Statistical data visualization. </w:t>
      </w:r>
      <w:r>
        <w:rPr>
          <w:rFonts w:ascii="Times New Roman" w:hAnsi="Times New Roman" w:eastAsia="Times New Roman" w:cs="Times New Roman"/>
          <w:b w:val="0"/>
          <w:i/>
          <w:sz w:val="22"/>
        </w:rPr>
        <w:t>Journal of Open Source Software, 6</w:t>
      </w:r>
      <w:r>
        <w:rPr>
          <w:rFonts w:ascii="Times New Roman" w:hAnsi="Times New Roman" w:eastAsia="Times New Roman" w:cs="Times New Roman"/>
          <w:b w:val="0"/>
          <w:i w:val="0"/>
          <w:sz w:val="22"/>
        </w:rPr>
        <w:t>(60), 3021. https://doi.org/10.21105/joss.03021</w:t>
      </w:r>
    </w:p>
    <w:p>
      <w:pPr>
        <w:pStyle w:val="Reference"/>
      </w:pPr>
      <w:r>
        <w:rPr>
          <w:rFonts w:ascii="Times New Roman" w:hAnsi="Times New Roman" w:eastAsia="Times New Roman" w:cs="Times New Roman"/>
          <w:b w:val="0"/>
          <w:i w:val="0"/>
          <w:sz w:val="22"/>
        </w:rPr>
        <w:t xml:space="preserve">Abbas, M., Jam, F. A., &amp; Khan, T. I. (2024). Is it harmful or helpful? Examining the causes and consequences of generative AI usage among university students. </w:t>
      </w:r>
      <w:r>
        <w:rPr>
          <w:rFonts w:ascii="Times New Roman" w:hAnsi="Times New Roman" w:eastAsia="Times New Roman" w:cs="Times New Roman"/>
          <w:b w:val="0"/>
          <w:i/>
          <w:sz w:val="22"/>
        </w:rPr>
        <w:t>International Journal of Educational Technology in Higher Education, 21</w:t>
      </w:r>
      <w:r>
        <w:rPr>
          <w:rFonts w:ascii="Times New Roman" w:hAnsi="Times New Roman" w:eastAsia="Times New Roman" w:cs="Times New Roman"/>
          <w:b w:val="0"/>
          <w:i w:val="0"/>
          <w:sz w:val="22"/>
        </w:rPr>
        <w:t>(1), Article 10. https://doi.org/10.1186/s41239-024-00444-7</w:t>
      </w:r>
    </w:p>
    <w:p>
      <w:pPr>
        <w:pStyle w:val="Reference"/>
      </w:pPr>
      <w:r>
        <w:rPr>
          <w:rFonts w:ascii="Times New Roman" w:hAnsi="Times New Roman" w:eastAsia="Times New Roman" w:cs="Times New Roman"/>
          <w:b w:val="0"/>
          <w:i w:val="0"/>
          <w:sz w:val="22"/>
        </w:rPr>
        <w:t xml:space="preserve">Alyahyan, E., &amp; Düştegör, D. (2020). Predicting academic success in higher education: Literature review and best practices. </w:t>
      </w:r>
      <w:r>
        <w:rPr>
          <w:rFonts w:ascii="Times New Roman" w:hAnsi="Times New Roman" w:eastAsia="Times New Roman" w:cs="Times New Roman"/>
          <w:b w:val="0"/>
          <w:i/>
          <w:sz w:val="22"/>
        </w:rPr>
        <w:t>International Journal of Educational Technology in Higher Education, 17</w:t>
      </w:r>
      <w:r>
        <w:rPr>
          <w:rFonts w:ascii="Times New Roman" w:hAnsi="Times New Roman" w:eastAsia="Times New Roman" w:cs="Times New Roman"/>
          <w:b w:val="0"/>
          <w:i w:val="0"/>
          <w:sz w:val="22"/>
        </w:rPr>
        <w:t>(1), Article 3. https://doi.org/10.1186/s41239-020-0177-7</w:t>
      </w:r>
    </w:p>
    <w:p>
      <w:pPr>
        <w:pStyle w:val="Reference"/>
      </w:pPr>
      <w:r>
        <w:rPr>
          <w:rFonts w:ascii="Times New Roman" w:hAnsi="Times New Roman" w:eastAsia="Times New Roman" w:cs="Times New Roman"/>
          <w:b w:val="0"/>
          <w:i w:val="0"/>
          <w:sz w:val="22"/>
        </w:rPr>
        <w:t xml:space="preserve">Crompton, H., &amp; Burke, D. (2023). Artificial intelligence in higher education: The state of the field. </w:t>
      </w:r>
      <w:r>
        <w:rPr>
          <w:rFonts w:ascii="Times New Roman" w:hAnsi="Times New Roman" w:eastAsia="Times New Roman" w:cs="Times New Roman"/>
          <w:b w:val="0"/>
          <w:i/>
          <w:sz w:val="22"/>
        </w:rPr>
        <w:t>International Journal of Educational Technology in Higher Education, 20</w:t>
      </w:r>
      <w:r>
        <w:rPr>
          <w:rFonts w:ascii="Times New Roman" w:hAnsi="Times New Roman" w:eastAsia="Times New Roman" w:cs="Times New Roman"/>
          <w:b w:val="0"/>
          <w:i w:val="0"/>
          <w:sz w:val="22"/>
        </w:rPr>
        <w:t>(1), Article 22. https://doi.org/10.1186/s41239-023-00392-8</w:t>
      </w:r>
    </w:p>
    <w:p>
      <w:pPr>
        <w:pStyle w:val="Reference"/>
      </w:pPr>
      <w:r>
        <w:rPr>
          <w:rFonts w:ascii="Times New Roman" w:hAnsi="Times New Roman" w:eastAsia="Times New Roman" w:cs="Times New Roman"/>
          <w:b w:val="0"/>
          <w:i w:val="0"/>
          <w:sz w:val="22"/>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cs="Times New Roman"/>
          <w:b w:val="0"/>
          <w:i/>
          <w:sz w:val="22"/>
        </w:rPr>
        <w:t>Proceedings companion of the 23rd annual ACM conference on innovation and technology in computer science education</w:t>
      </w:r>
      <w:r>
        <w:rPr>
          <w:rFonts w:ascii="Times New Roman" w:hAnsi="Times New Roman" w:eastAsia="Times New Roman" w:cs="Times New Roman"/>
          <w:b w:val="0"/>
          <w:i w:val="0"/>
          <w:sz w:val="22"/>
        </w:rPr>
        <w:t xml:space="preserve"> (pp. 175–199). ACM. https://doi.org/10.1145/3293881.3295783</w:t>
      </w:r>
    </w:p>
    <w:p>
      <w:pPr>
        <w:pStyle w:val="Reference"/>
      </w:pPr>
      <w:r>
        <w:rPr>
          <w:rFonts w:ascii="Times New Roman" w:hAnsi="Times New Roman" w:eastAsia="Times New Roman" w:cs="Times New Roman"/>
          <w:b w:val="0"/>
          <w:i w:val="0"/>
          <w:sz w:val="22"/>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cs="Times New Roman"/>
          <w:b w:val="0"/>
          <w:i/>
          <w:sz w:val="22"/>
        </w:rPr>
        <w:t>Learning and Individual Differences, 103</w:t>
      </w:r>
      <w:r>
        <w:rPr>
          <w:rFonts w:ascii="Times New Roman" w:hAnsi="Times New Roman" w:eastAsia="Times New Roman" w:cs="Times New Roman"/>
          <w:b w:val="0"/>
          <w:i w:val="0"/>
          <w:sz w:val="22"/>
        </w:rPr>
        <w:t>, 102274. https://doi.org/10.1016/j.lindif.2023.102274</w:t>
      </w:r>
    </w:p>
    <w:p>
      <w:pPr>
        <w:pStyle w:val="Reference"/>
      </w:pPr>
      <w:r>
        <w:rPr>
          <w:rFonts w:ascii="Times New Roman" w:hAnsi="Times New Roman" w:eastAsia="Times New Roman" w:cs="Times New Roman"/>
          <w:b w:val="0"/>
          <w:i w:val="0"/>
          <w:sz w:val="22"/>
        </w:rPr>
        <w:t xml:space="preserve">Laupichler, M. C., Aster, A., Schirch, J., &amp; Raupach, T. (2022). Artificial intelligence literacy in higher and adult education: A scoping literature review. </w:t>
      </w:r>
      <w:r>
        <w:rPr>
          <w:rFonts w:ascii="Times New Roman" w:hAnsi="Times New Roman" w:eastAsia="Times New Roman" w:cs="Times New Roman"/>
          <w:b w:val="0"/>
          <w:i/>
          <w:sz w:val="22"/>
        </w:rPr>
        <w:t>Computers and Education: Artificial Intelligence, 3</w:t>
      </w:r>
      <w:r>
        <w:rPr>
          <w:rFonts w:ascii="Times New Roman" w:hAnsi="Times New Roman" w:eastAsia="Times New Roman" w:cs="Times New Roman"/>
          <w:b w:val="0"/>
          <w:i w:val="0"/>
          <w:sz w:val="22"/>
        </w:rPr>
        <w:t>, 100101. https://doi.org/10.1016/j.caeai.2022.100101</w:t>
      </w:r>
    </w:p>
    <w:p>
      <w:pPr>
        <w:pStyle w:val="Reference"/>
      </w:pPr>
      <w:r>
        <w:rPr>
          <w:rFonts w:ascii="Times New Roman" w:hAnsi="Times New Roman" w:eastAsia="Times New Roman" w:cs="Times New Roman"/>
          <w:b w:val="0"/>
          <w:i w:val="0"/>
          <w:sz w:val="22"/>
        </w:rPr>
        <w:t xml:space="preserve">Lee, D., &amp; Palmer, E. (2025). Prompt engineering in higher education: A systematic review to help inform curricula. </w:t>
      </w:r>
      <w:r>
        <w:rPr>
          <w:rFonts w:ascii="Times New Roman" w:hAnsi="Times New Roman" w:eastAsia="Times New Roman" w:cs="Times New Roman"/>
          <w:b w:val="0"/>
          <w:i/>
          <w:sz w:val="22"/>
        </w:rPr>
        <w:t>International Journal of Educational Technology in Higher Education, 22</w:t>
      </w:r>
      <w:r>
        <w:rPr>
          <w:rFonts w:ascii="Times New Roman" w:hAnsi="Times New Roman" w:eastAsia="Times New Roman" w:cs="Times New Roman"/>
          <w:b w:val="0"/>
          <w:i w:val="0"/>
          <w:sz w:val="22"/>
        </w:rPr>
        <w:t>(1), Article 7. https://doi.org/10.1186/s41239-025-00503-7</w:t>
      </w:r>
    </w:p>
    <w:p>
      <w:pPr>
        <w:pStyle w:val="Reference"/>
      </w:pPr>
      <w:r>
        <w:rPr>
          <w:rFonts w:ascii="Times New Roman" w:hAnsi="Times New Roman" w:eastAsia="Times New Roman" w:cs="Times New Roman"/>
          <w:b w:val="0"/>
          <w:i w:val="0"/>
          <w:sz w:val="22"/>
        </w:rPr>
        <w:t xml:space="preserve">Lo, C. K. (2023). What is the impact of ChatGPT on education? A rapid review of the literature. </w:t>
      </w:r>
      <w:r>
        <w:rPr>
          <w:rFonts w:ascii="Times New Roman" w:hAnsi="Times New Roman" w:eastAsia="Times New Roman" w:cs="Times New Roman"/>
          <w:b w:val="0"/>
          <w:i/>
          <w:sz w:val="22"/>
        </w:rPr>
        <w:t>Education Sciences, 13</w:t>
      </w:r>
      <w:r>
        <w:rPr>
          <w:rFonts w:ascii="Times New Roman" w:hAnsi="Times New Roman" w:eastAsia="Times New Roman" w:cs="Times New Roman"/>
          <w:b w:val="0"/>
          <w:i w:val="0"/>
          <w:sz w:val="22"/>
        </w:rPr>
        <w:t>(4), 410. https://doi.org/10.3390/educsci13040410</w:t>
      </w:r>
    </w:p>
    <w:p>
      <w:pPr>
        <w:pStyle w:val="Reference"/>
      </w:pPr>
      <w:r>
        <w:rPr>
          <w:rFonts w:ascii="Times New Roman" w:hAnsi="Times New Roman" w:eastAsia="Times New Roman" w:cs="Times New Roman"/>
          <w:b w:val="0"/>
          <w:i w:val="0"/>
          <w:sz w:val="22"/>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cs="Times New Roman"/>
          <w:b w:val="0"/>
          <w:i/>
          <w:sz w:val="22"/>
        </w:rPr>
        <w:t>Unterrichtswissenschaft</w:t>
      </w:r>
      <w:r>
        <w:rPr>
          <w:rFonts w:ascii="Times New Roman" w:hAnsi="Times New Roman" w:eastAsia="Times New Roman" w:cs="Times New Roman"/>
          <w:b w:val="0"/>
          <w:i w:val="0"/>
          <w:sz w:val="22"/>
        </w:rPr>
        <w:t>. Advance online publication. https://doi.org/10.1007/s42010-026-00242-2</w:t>
      </w:r>
    </w:p>
    <w:p>
      <w:pPr>
        <w:pStyle w:val="Reference"/>
      </w:pPr>
      <w:r>
        <w:rPr>
          <w:rFonts w:ascii="Times New Roman" w:hAnsi="Times New Roman" w:eastAsia="Times New Roman" w:cs="Times New Roman"/>
          <w:b w:val="0"/>
          <w:i w:val="0"/>
          <w:sz w:val="22"/>
        </w:rPr>
        <w:t xml:space="preserve">Nagi sisiro. (2026). </w:t>
      </w:r>
      <w:r>
        <w:rPr>
          <w:rFonts w:ascii="Times New Roman" w:hAnsi="Times New Roman" w:eastAsia="Times New Roman" w:cs="Times New Roman"/>
          <w:b w:val="0"/>
          <w:i/>
          <w:sz w:val="22"/>
        </w:rPr>
        <w:t>Impact of Ai on Students</w:t>
      </w:r>
      <w:r>
        <w:rPr>
          <w:rFonts w:ascii="Times New Roman" w:hAnsi="Times New Roman" w:eastAsia="Times New Roman" w:cs="Times New Roman"/>
          <w:b w:val="0"/>
          <w:i w:val="0"/>
          <w:sz w:val="22"/>
        </w:rPr>
        <w:t xml:space="preserve"> </w:t>
      </w:r>
      <w:r>
        <w:rPr>
          <w:rFonts w:ascii="Times New Roman" w:hAnsi="Times New Roman" w:eastAsia="Times New Roman" w:cs="Times New Roman"/>
          <w:b w:val="0"/>
          <w:i w:val="0"/>
          <w:sz w:val="22"/>
        </w:rPr>
        <w:t>[</w:t>
      </w:r>
      <w:r>
        <w:rPr>
          <w:rFonts w:ascii="Times New Roman" w:hAnsi="Times New Roman" w:eastAsia="Times New Roman" w:cs="Times New Roman"/>
          <w:b w:val="0"/>
          <w:i w:val="0"/>
          <w:sz w:val="22"/>
        </w:rPr>
        <w:t>Data set]. Kaggle. https://www.kaggle.com/datasets/laveshjadon/ai-impact-on-students</w:t>
      </w:r>
    </w:p>
    <w:p>
      <w:pPr>
        <w:pStyle w:val="Reference"/>
      </w:pPr>
      <w:r>
        <w:rPr>
          <w:rFonts w:ascii="Times New Roman" w:hAnsi="Times New Roman" w:eastAsia="Times New Roman" w:cs="Times New Roman"/>
          <w:b w:val="0"/>
          <w:i w:val="0"/>
          <w:sz w:val="22"/>
        </w:rPr>
        <w:t xml:space="preserve">Ng, D. T. K., Leung, J. K. L., Chu, S. K. W., &amp; Qiao, M. S. (2021). Conceptualizing AI literacy: An exploratory review. </w:t>
      </w:r>
      <w:r>
        <w:rPr>
          <w:rFonts w:ascii="Times New Roman" w:hAnsi="Times New Roman" w:eastAsia="Times New Roman" w:cs="Times New Roman"/>
          <w:b w:val="0"/>
          <w:i/>
          <w:sz w:val="22"/>
        </w:rPr>
        <w:t>Computers and Education: Artificial Intelligence, 2</w:t>
      </w:r>
      <w:r>
        <w:rPr>
          <w:rFonts w:ascii="Times New Roman" w:hAnsi="Times New Roman" w:eastAsia="Times New Roman" w:cs="Times New Roman"/>
          <w:b w:val="0"/>
          <w:i w:val="0"/>
          <w:sz w:val="22"/>
        </w:rPr>
        <w:t>, 100041. https://doi.org/10.1016/j.caeai.2021.100041</w:t>
      </w:r>
    </w:p>
    <w:p>
      <w:pPr>
        <w:pStyle w:val="Reference"/>
      </w:pPr>
      <w:r>
        <w:rPr>
          <w:rFonts w:ascii="Times New Roman" w:hAnsi="Times New Roman" w:eastAsia="Times New Roman" w:cs="Times New Roman"/>
          <w:b w:val="0"/>
          <w:i w:val="0"/>
          <w:sz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cs="Times New Roman"/>
          <w:b w:val="0"/>
          <w:i/>
          <w:sz w:val="22"/>
        </w:rPr>
        <w:t>Journal of Machine Learning Research, 12</w:t>
      </w:r>
      <w:r>
        <w:rPr>
          <w:rFonts w:ascii="Times New Roman" w:hAnsi="Times New Roman" w:eastAsia="Times New Roman" w:cs="Times New Roman"/>
          <w:b w:val="0"/>
          <w:i w:val="0"/>
          <w:sz w:val="22"/>
        </w:rPr>
        <w:t>, 2825–2830. https://jmlr.org/papers/v12/pedregosa11a.html</w:t>
      </w:r>
    </w:p>
    <w:p>
      <w:pPr>
        <w:pStyle w:val="Reference"/>
      </w:pPr>
      <w:r>
        <w:rPr>
          <w:rFonts w:ascii="Times New Roman" w:hAnsi="Times New Roman" w:eastAsia="Times New Roman" w:cs="Times New Roman"/>
          <w:b w:val="0"/>
          <w:i w:val="0"/>
          <w:sz w:val="22"/>
        </w:rPr>
        <w:t xml:space="preserve">Probst, P., Wright, M. N., &amp; Boulesteix, A.-L. (2019). Hyperparameters and tuning strategies for random forest. </w:t>
      </w:r>
      <w:r>
        <w:rPr>
          <w:rFonts w:ascii="Times New Roman" w:hAnsi="Times New Roman" w:eastAsia="Times New Roman" w:cs="Times New Roman"/>
          <w:b w:val="0"/>
          <w:i/>
          <w:sz w:val="22"/>
        </w:rPr>
        <w:t>WIREs Data Mining and Knowledge Discovery, 9</w:t>
      </w:r>
      <w:r>
        <w:rPr>
          <w:rFonts w:ascii="Times New Roman" w:hAnsi="Times New Roman" w:eastAsia="Times New Roman" w:cs="Times New Roman"/>
          <w:b w:val="0"/>
          <w:i w:val="0"/>
          <w:sz w:val="22"/>
        </w:rPr>
        <w:t>(3), e1301. https://doi.org/10.1002/widm.1301</w:t>
      </w:r>
    </w:p>
    <w:p>
      <w:pPr>
        <w:pStyle w:val="Reference"/>
      </w:pPr>
      <w:r>
        <w:rPr>
          <w:rFonts w:ascii="Times New Roman" w:hAnsi="Times New Roman" w:eastAsia="Times New Roman" w:cs="Times New Roman"/>
          <w:b w:val="0"/>
          <w:i w:val="0"/>
          <w:sz w:val="22"/>
        </w:rPr>
        <w:t xml:space="preserve">Sun, L., &amp; Zhou, L. (2024). Does generative artificial intelligence improve the academic achievement of college students? A meta-analysis. </w:t>
      </w:r>
      <w:r>
        <w:rPr>
          <w:rFonts w:ascii="Times New Roman" w:hAnsi="Times New Roman" w:eastAsia="Times New Roman" w:cs="Times New Roman"/>
          <w:b w:val="0"/>
          <w:i/>
          <w:sz w:val="22"/>
        </w:rPr>
        <w:t>Journal of Educational Computing Research, 62</w:t>
      </w:r>
      <w:r>
        <w:rPr>
          <w:rFonts w:ascii="Times New Roman" w:hAnsi="Times New Roman" w:eastAsia="Times New Roman" w:cs="Times New Roman"/>
          <w:b w:val="0"/>
          <w:i w:val="0"/>
          <w:sz w:val="22"/>
        </w:rPr>
        <w:t>(7), 1676–1713. https://doi.org/10.1177/07356331241277937</w:t>
      </w:r>
    </w:p>
    <w:p>
      <w:pPr>
        <w:pStyle w:val="Reference"/>
      </w:pPr>
      <w:r>
        <w:rPr>
          <w:rFonts w:ascii="Times New Roman" w:hAnsi="Times New Roman" w:eastAsia="Times New Roman" w:cs="Times New Roman"/>
          <w:b w:val="0"/>
          <w:i w:val="0"/>
          <w:sz w:val="22"/>
        </w:rPr>
        <w:t xml:space="preserve">Waheed, H., Hassan, S.-U., Aljohani, N. R., Hardman, J., Alelyani, S., &amp; Nawaz, R. (2020). Predicting academic performance of students from VLE big data using deep learning models. </w:t>
      </w:r>
      <w:r>
        <w:rPr>
          <w:rFonts w:ascii="Times New Roman" w:hAnsi="Times New Roman" w:eastAsia="Times New Roman" w:cs="Times New Roman"/>
          <w:b w:val="0"/>
          <w:i/>
          <w:sz w:val="22"/>
        </w:rPr>
        <w:t>Computers in Human Behavior, 104</w:t>
      </w:r>
      <w:r>
        <w:rPr>
          <w:rFonts w:ascii="Times New Roman" w:hAnsi="Times New Roman" w:eastAsia="Times New Roman" w:cs="Times New Roman"/>
          <w:b w:val="0"/>
          <w:i w:val="0"/>
          <w:sz w:val="22"/>
        </w:rPr>
        <w:t>, 106189. https://doi.org/10.1016/j.chb.2019.106189</w:t>
      </w:r>
    </w:p>
    <w:p>
      <w:pPr>
        <w:pStyle w:val="Reference"/>
      </w:pPr>
      <w:r>
        <w:rPr>
          <w:rFonts w:ascii="Times New Roman" w:hAnsi="Times New Roman" w:eastAsia="Times New Roman" w:cs="Times New Roman"/>
          <w:b w:val="0"/>
          <w:i w:val="0"/>
          <w:sz w:val="22"/>
        </w:rPr>
        <w:t xml:space="preserve">Yağcı, M. (2022). Educational data mining: Prediction of students' academic performance using machine learning algorithms. </w:t>
      </w:r>
      <w:r>
        <w:rPr>
          <w:rFonts w:ascii="Times New Roman" w:hAnsi="Times New Roman" w:eastAsia="Times New Roman" w:cs="Times New Roman"/>
          <w:b w:val="0"/>
          <w:i/>
          <w:sz w:val="22"/>
        </w:rPr>
        <w:t>Smart Learning Environments, 9</w:t>
      </w:r>
      <w:r>
        <w:rPr>
          <w:rFonts w:ascii="Times New Roman" w:hAnsi="Times New Roman" w:eastAsia="Times New Roman" w:cs="Times New Roman"/>
          <w:b w:val="0"/>
          <w:i w:val="0"/>
          <w:sz w:val="22"/>
        </w:rPr>
        <w:t>(1), Article 11. https://doi.org/10.1186/s40561-022-00192-z</w:t>
      </w:r>
    </w:p>
    <w:p>
      <w:pPr>
        <w:pStyle w:val="Reference"/>
      </w:pPr>
      <w:r>
        <w:rPr>
          <w:rFonts w:ascii="Times New Roman" w:hAnsi="Times New Roman" w:eastAsia="Times New Roman" w:cs="Times New Roman"/>
          <w:b w:val="0"/>
          <w:i w:val="0"/>
          <w:sz w:val="22"/>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cs="Times New Roman"/>
          <w:b w:val="0"/>
          <w:i/>
          <w:sz w:val="22"/>
        </w:rPr>
        <w:t>International Journal of Educational Technology in Higher Education, 16</w:t>
      </w:r>
      <w:r>
        <w:rPr>
          <w:rFonts w:ascii="Times New Roman" w:hAnsi="Times New Roman" w:eastAsia="Times New Roman" w:cs="Times New Roman"/>
          <w:b w:val="0"/>
          <w:i w:val="0"/>
          <w:sz w:val="22"/>
        </w:rPr>
        <w:t>(1), Article 39. https://doi.org/10.1186/s41239-019-0171-0</w:t>
      </w:r>
    </w:p>
    <w:p>
      <w:pPr>
        <w:pStyle w:val="Heading1"/>
        <w:pageBreakBefore/>
      </w:pPr>
      <w:r>
        <w:rPr>
          <w:rFonts w:ascii="Times New Roman" w:hAnsi="Times New Roman" w:eastAsia="Times New Roman" w:cs="Times New Roman"/>
          <w:b/>
          <w:sz w:val="28"/>
        </w:rPr>
        <w:t>Acknowledgements</w:t>
      </w:r>
    </w:p>
    <w:p>
      <w:pPr/>
      <w:r>
        <w:rPr>
          <w:rFonts w:ascii="Times New Roman" w:hAnsi="Times New Roman" w:eastAsia="Times New Roman" w:cs="Times New Roman"/>
          <w:b w:val="0"/>
          <w:i w:val="0"/>
          <w:sz w:val="24"/>
        </w:rPr>
        <w:t xml:space="preserve">The author acknowledges Nagi sisiro for making the </w:t>
      </w:r>
      <w:r>
        <w:rPr>
          <w:rFonts w:ascii="Times New Roman" w:hAnsi="Times New Roman" w:eastAsia="Times New Roman" w:cs="Times New Roman"/>
          <w:b w:val="0"/>
          <w:i/>
          <w:sz w:val="24"/>
        </w:rPr>
        <w:t>Impact of Ai on Students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dataset available through Kaggle, the CT046-3-M-AML teaching team for the</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learning materials and assignment guidance, and the open-source contributors</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to Python, pandas, NumPy, scikit-learn, Matplotlib, seaborn and Jupyter.</w:t>
      </w:r>
    </w:p>
    <w:p>
      <w:pPr/>
      <w:r>
        <w:rPr>
          <w:rFonts w:ascii="Times New Roman" w:hAnsi="Times New Roman" w:eastAsia="Times New Roman" w:cs="Times New Roman"/>
          <w:b w:val="0"/>
          <w:i w:val="0"/>
          <w:sz w:val="24"/>
        </w:rPr>
        <w:t>OpenAI Codex was used for research-workflow support, code and report review,</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language editing and Microsoft Word document assembly. The author verified the cited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sources, executed model outputs, numerical results, analysis and final wording and</w:t>
      </w:r>
      <w:r>
        <w:rPr>
          <w:rFonts w:ascii="Times New Roman" w:hAnsi="Times New Roman" w:eastAsia="Times New Roman" w:cs="Times New Roman"/>
          <w:b w:val="0"/>
          <w:i w:val="0"/>
          <w:sz w:val="24"/>
        </w:rPr>
        <w:t xml:space="preserve"> </w:t>
      </w:r>
      <w:r>
        <w:rPr>
          <w:rFonts w:ascii="Times New Roman" w:hAnsi="Times New Roman" w:eastAsia="Times New Roman" w:cs="Times New Roman"/>
          <w:b w:val="0"/>
          <w:i w:val="0"/>
          <w:sz w:val="24"/>
        </w:rPr>
        <w:t>remains responsible for the submitted work.</w:t>
      </w:r>
    </w:p>
    <w:sectPr w:rsidR="00FC693F" w:rsidRPr="0006063C" w:rsidSect="00034616">
      <w:headerReference w:type="default" r:id="rId14"/>
      <w:footerReference w:type="default" r:id="rId15"/>
      <w:pgSz w:w="11906" w:h="16838"/>
      <w:pgMar w:top="1440" w:right="1440" w:bottom="1440" w:left="2160" w:header="648" w:footer="648"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sz w:val="18"/>
      </w:rPr>
      <w:fldChar w:fldCharType="begin"/>
      <w:instrText xml:space="preserve">PAGE</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cs="Times New Roman"/>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nil"/>
        <w:start w:val="nil"/>
        <w:bottom w:val="nil"/>
        <w:end w:val="nil"/>
        <w:insideH w:val="nil"/>
        <w:insideV w:val="nil"/>
      </w:tblBorders>
    </w:tblPr>
    <w:tblGrid>
      <w:gridCol w:w="4032"/>
      <w:gridCol w:w="4277"/>
    </w:tblGrid>
    <w:tr>
      <w:tc>
        <w:tcPr>
          <w:tcW w:type="dxa" w:w="4154"/>
          <w:tcMar>
            <w:top w:w="0" w:type="dxa"/>
            <w:start w:w="0" w:type="dxa"/>
            <w:bottom w:w="0" w:type="dxa"/>
            <w:end w:w="0" w:type="dxa"/>
          </w:tcMar>
        </w:tcPr>
        <w:p>
          <w:pPr>
            <w:jc w:val="left"/>
          </w:pPr>
          <w:r>
            <w:rPr>
              <w:rFonts w:ascii="Times New Roman" w:hAnsi="Times New Roman" w:eastAsia="Times New Roman" w:cs="Times New Roman"/>
              <w:color w:val="777777"/>
              <w:sz w:val="18"/>
            </w:rPr>
            <w:t>CT046-3-M-AML</w:t>
          </w:r>
        </w:p>
      </w:tc>
      <w:tc>
        <w:tcPr>
          <w:tcW w:type="dxa" w:w="4154"/>
          <w:tcMar>
            <w:top w:w="0" w:type="dxa"/>
            <w:start w:w="0" w:type="dxa"/>
            <w:bottom w:w="0" w:type="dxa"/>
            <w:end w:w="0" w:type="dxa"/>
          </w:tcMar>
        </w:tcPr>
        <w:p>
          <w:pPr>
            <w:jc w:val="right"/>
          </w:pPr>
          <w:r>
            <w:rPr>
              <w:rFonts w:ascii="Times New Roman" w:hAnsi="Times New Roman" w:eastAsia="Times New Roman" w:cs="Times New Roman"/>
              <w:color w:val="777777"/>
              <w:sz w:val="18"/>
            </w:rPr>
            <w:t>Applied Machine Learning</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Borders>
        <w:top w:val="nil"/>
        <w:start w:val="nil"/>
        <w:bottom w:val="nil"/>
        <w:end w:val="nil"/>
        <w:insideH w:val="nil"/>
        <w:insideV w:val="nil"/>
      </w:tblBorders>
    </w:tblPr>
    <w:tblGrid>
      <w:gridCol w:w="4032"/>
      <w:gridCol w:w="4277"/>
    </w:tblGrid>
    <w:tr>
      <w:tc>
        <w:tcPr>
          <w:tcW w:type="dxa" w:w="4154"/>
          <w:tcMar>
            <w:top w:w="0" w:type="dxa"/>
            <w:start w:w="0" w:type="dxa"/>
            <w:bottom w:w="0" w:type="dxa"/>
            <w:end w:w="0" w:type="dxa"/>
          </w:tcMar>
        </w:tcPr>
        <w:p>
          <w:pPr>
            <w:jc w:val="left"/>
          </w:pPr>
          <w:r>
            <w:rPr>
              <w:rFonts w:ascii="Times New Roman" w:hAnsi="Times New Roman" w:eastAsia="Times New Roman" w:cs="Times New Roman"/>
              <w:color w:val="777777"/>
              <w:sz w:val="18"/>
            </w:rPr>
            <w:t>CT046-3-M-AML</w:t>
          </w:r>
        </w:p>
      </w:tc>
      <w:tc>
        <w:tcPr>
          <w:tcW w:type="dxa" w:w="4154"/>
          <w:tcMar>
            <w:top w:w="0" w:type="dxa"/>
            <w:start w:w="0" w:type="dxa"/>
            <w:bottom w:w="0" w:type="dxa"/>
            <w:end w:w="0" w:type="dxa"/>
          </w:tcMar>
        </w:tcPr>
        <w:p>
          <w:pPr>
            <w:jc w:val="right"/>
          </w:pPr>
          <w:r>
            <w:rPr>
              <w:rFonts w:ascii="Times New Roman" w:hAnsi="Times New Roman" w:eastAsia="Times New Roman" w:cs="Times New Roman"/>
              <w:color w:val="777777"/>
              <w:sz w:val="18"/>
            </w:rPr>
            <w:t>GPA Change Prediction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0"/>
      <w:ind w:firstLine="7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40" w:lineRule="auto"/>
      <w:ind w:firstLine="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80" w:after="160"/>
      <w:ind w:firstLine="0"/>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line="276" w:lineRule="auto" w:after="120"/>
      <w:ind w:left="720" w:hanging="720"/>
      <w:jc w:val="left"/>
    </w:pPr>
    <w:rPr>
      <w:rFonts w:ascii="Times New Roman" w:hAnsi="Times New Roman"/>
      <w:sz w:val="22"/>
    </w:rPr>
  </w:style>
  <w:style w:type="paragraph" w:customStyle="1" w:styleId="TOC1">
    <w:name w:val="TOC 1"/>
    <w:pPr>
      <w:spacing w:after="40" w:line="240" w:lineRule="auto"/>
      <w:ind w:firstLine="0"/>
    </w:pPr>
    <w:rPr>
      <w:rFonts w:ascii="Times New Roman" w:hAnsi="Times New Roman"/>
      <w:color w:val="000000"/>
      <w:sz w:val="22"/>
    </w:rPr>
  </w:style>
  <w:style w:type="paragraph" w:customStyle="1" w:styleId="TOC2">
    <w:name w:val="TOC 2"/>
    <w:pPr>
      <w:spacing w:after="40" w:line="240" w:lineRule="auto"/>
      <w:ind w:firstLine="0" w:left="360"/>
    </w:pPr>
    <w:rPr>
      <w:rFonts w:ascii="Times New Roman" w:hAnsi="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Using Student Context and Generative AI Usage: A Leakage-Controlled Machine Learning Study</dc:title>
  <dc:subject>CT046-3-M Applied Machine Learning Individual Assignment</dc:subject>
  <dc:creator>ENTER STUDENT NAME</dc:creator>
  <cp:keywords>Applied Machine Learning, GPA change, generative AI, regression, validation</cp:keywords>
  <dc:description>generated by python-docx</dc:description>
  <cp:lastModifiedBy/>
  <cp:revision>1</cp:revision>
  <dcterms:created xsi:type="dcterms:W3CDTF">2013-12-23T23:15:00Z</dcterms:created>
  <dcterms:modified xsi:type="dcterms:W3CDTF">2013-12-23T23:15:00Z</dcterms:modified>
  <cp:category/>
</cp:coreProperties>
</file>