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Resignation, notice period and relieving letters</w:t>
      </w:r>
    </w:p>
    <w:p>
      <w:r>
        <w:t>Staff resignation goes through the HR portal under separations — the notice period in the appointment letter applies from the date of submission, and the last working day is confirmed in writing by HR after the manager's acceptance.</w:t>
      </w:r>
    </w:p>
    <w:p>
      <w:r>
        <w:t>Before the final day, the exit checklist covers asset return (laptop, ID card, keys), pending dues, and the knowledge handover; the relieving letter and experience certificate are issued only after every row is cleared. Pending salary and leave encashment settle in the next payroll cycle.</w:t>
      </w:r>
    </w:p>
    <w:p>
      <w:r>
        <w:t>For notice-period waivers, checklist status or certificate timelines, contact the HR Service Centre — hr@campus.edu (ext 4410).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