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1703E7">
      <w:pPr>
        <w:keepNext w:val="0"/>
        <w:keepLines w:val="0"/>
        <w:spacing w:before="1800" w:after="360" w:line="240" w:lineRule="auto"/>
        <w:jc w:val="center"/>
      </w:pPr>
      <w:r>
        <w:rPr>
          <w:rFonts w:ascii="Arial" w:hAnsi="Arial" w:eastAsia="微软雅黑"/>
          <w:b/>
          <w:i w:val="0"/>
          <w:color w:val="B7791F"/>
          <w:sz w:val="20"/>
        </w:rPr>
        <w:t>养老目标基金购买者专项研究</w:t>
      </w:r>
    </w:p>
    <w:p w14:paraId="0829E693">
      <w:pPr>
        <w:keepNext w:val="0"/>
        <w:keepLines w:val="0"/>
        <w:spacing w:before="0" w:after="40" w:line="240" w:lineRule="auto"/>
        <w:jc w:val="center"/>
      </w:pPr>
      <w:r>
        <w:rPr>
          <w:rFonts w:ascii="Arial" w:hAnsi="Arial" w:eastAsia="微软雅黑"/>
          <w:b/>
          <w:i w:val="0"/>
          <w:color w:val="183B56"/>
          <w:sz w:val="56"/>
        </w:rPr>
        <w:t>养老目标基金购买者</w:t>
      </w:r>
    </w:p>
    <w:p w14:paraId="356BD50B">
      <w:pPr>
        <w:keepNext w:val="0"/>
        <w:keepLines w:val="0"/>
        <w:spacing w:before="0" w:after="280" w:line="240" w:lineRule="auto"/>
        <w:jc w:val="center"/>
      </w:pPr>
      <w:r>
        <w:rPr>
          <w:rFonts w:ascii="Arial" w:hAnsi="Arial" w:eastAsia="微软雅黑"/>
          <w:b/>
          <w:i w:val="0"/>
          <w:color w:val="183B56"/>
          <w:sz w:val="46"/>
        </w:rPr>
        <w:t>认知、决策与持有行为调查报告</w:t>
      </w:r>
    </w:p>
    <w:p w14:paraId="24D35B74">
      <w:pPr>
        <w:keepNext w:val="0"/>
        <w:keepLines w:val="0"/>
        <w:spacing w:before="0" w:after="680" w:line="240" w:lineRule="auto"/>
        <w:jc w:val="center"/>
      </w:pPr>
      <w:r>
        <w:rPr>
          <w:rFonts w:ascii="Arial" w:hAnsi="Arial" w:eastAsia="微软雅黑"/>
          <w:b/>
          <w:i w:val="0"/>
          <w:color w:val="2878A6"/>
          <w:sz w:val="24"/>
        </w:rPr>
        <w:t>基于 200 份实际购买者问卷</w:t>
      </w:r>
    </w:p>
    <w:tbl>
      <w:tblPr>
        <w:tblStyle w:val="32"/>
        <w:tblW w:w="941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41"/>
      </w:tblGrid>
      <w:tr w14:paraId="7FEDA2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DCE5EA" w:sz="6" w:space="0"/>
              <w:left w:val="single" w:color="DCE5EA" w:sz="6" w:space="0"/>
              <w:bottom w:val="single" w:color="DCE5EA" w:sz="6" w:space="0"/>
              <w:right w:val="single" w:color="DCE5EA" w:sz="6" w:space="0"/>
            </w:tcBorders>
            <w:shd w:val="clear" w:color="auto" w:fill="EEF4F6"/>
            <w:tcMar>
              <w:top w:w="150" w:type="dxa"/>
              <w:left w:w="100" w:type="dxa"/>
              <w:bottom w:w="150" w:type="dxa"/>
              <w:right w:w="100" w:type="dxa"/>
            </w:tcMar>
            <w:vAlign w:val="center"/>
          </w:tcPr>
          <w:p w14:paraId="4CB879AD"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878A6"/>
                <w:sz w:val="17"/>
              </w:rPr>
              <w:t>研究对象</w:t>
            </w:r>
            <w:r>
              <w:rPr>
                <w:rFonts w:ascii="Arial" w:hAnsi="Arial" w:eastAsia="微软雅黑"/>
                <w:b/>
                <w:i w:val="0"/>
                <w:color w:val="2878A6"/>
                <w:sz w:val="17"/>
              </w:rPr>
              <w:br w:type="textWrapping"/>
            </w:r>
            <w:r>
              <w:rPr>
                <w:rFonts w:ascii="Arial" w:hAnsi="Arial" w:eastAsia="微软雅黑"/>
                <w:b/>
                <w:i w:val="0"/>
                <w:color w:val="20313F"/>
                <w:sz w:val="18"/>
              </w:rPr>
              <w:t>实际购买过养老目标基金</w:t>
            </w:r>
          </w:p>
        </w:tc>
        <w:tc>
          <w:tcPr>
            <w:tcW w:w="3135" w:type="dxa"/>
            <w:tcBorders>
              <w:top w:val="single" w:color="DCE5EA" w:sz="6" w:space="0"/>
              <w:left w:val="single" w:color="DCE5EA" w:sz="6" w:space="0"/>
              <w:bottom w:val="single" w:color="DCE5EA" w:sz="6" w:space="0"/>
              <w:right w:val="single" w:color="DCE5EA" w:sz="6" w:space="0"/>
            </w:tcBorders>
            <w:shd w:val="clear" w:color="auto" w:fill="EEF4F6"/>
            <w:tcMar>
              <w:top w:w="150" w:type="dxa"/>
              <w:left w:w="100" w:type="dxa"/>
              <w:bottom w:w="150" w:type="dxa"/>
              <w:right w:w="100" w:type="dxa"/>
            </w:tcMar>
            <w:vAlign w:val="center"/>
          </w:tcPr>
          <w:p w14:paraId="721106D9"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878A6"/>
                <w:sz w:val="17"/>
              </w:rPr>
              <w:t>研究范围</w:t>
            </w:r>
            <w:r>
              <w:rPr>
                <w:rFonts w:ascii="Arial" w:hAnsi="Arial" w:eastAsia="微软雅黑"/>
                <w:b/>
                <w:i w:val="0"/>
                <w:color w:val="2878A6"/>
                <w:sz w:val="17"/>
              </w:rPr>
              <w:br w:type="textWrapping"/>
            </w:r>
            <w:r>
              <w:rPr>
                <w:rFonts w:ascii="Arial" w:hAnsi="Arial" w:eastAsia="微软雅黑"/>
                <w:b/>
                <w:i w:val="0"/>
                <w:color w:val="20313F"/>
                <w:sz w:val="18"/>
              </w:rPr>
              <w:t>购买、理解、持有与投教需求</w:t>
            </w:r>
          </w:p>
        </w:tc>
        <w:tc>
          <w:tcPr>
            <w:tcW w:w="3141" w:type="dxa"/>
            <w:tcBorders>
              <w:top w:val="single" w:color="DCE5EA" w:sz="6" w:space="0"/>
              <w:left w:val="single" w:color="DCE5EA" w:sz="6" w:space="0"/>
              <w:bottom w:val="single" w:color="DCE5EA" w:sz="6" w:space="0"/>
              <w:right w:val="single" w:color="DCE5EA" w:sz="6" w:space="0"/>
            </w:tcBorders>
            <w:shd w:val="clear" w:color="auto" w:fill="EEF4F6"/>
            <w:tcMar>
              <w:top w:w="150" w:type="dxa"/>
              <w:left w:w="100" w:type="dxa"/>
              <w:bottom w:w="150" w:type="dxa"/>
              <w:right w:w="100" w:type="dxa"/>
            </w:tcMar>
            <w:vAlign w:val="center"/>
          </w:tcPr>
          <w:p w14:paraId="480C8C30"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878A6"/>
                <w:sz w:val="17"/>
              </w:rPr>
              <w:t>数据时间</w:t>
            </w:r>
            <w:r>
              <w:rPr>
                <w:rFonts w:ascii="Arial" w:hAnsi="Arial" w:eastAsia="微软雅黑"/>
                <w:b/>
                <w:i w:val="0"/>
                <w:color w:val="2878A6"/>
                <w:sz w:val="17"/>
              </w:rPr>
              <w:br w:type="textWrapping"/>
            </w:r>
            <w:r>
              <w:rPr>
                <w:rFonts w:ascii="Arial" w:hAnsi="Arial" w:eastAsia="微软雅黑"/>
                <w:b/>
                <w:i w:val="0"/>
                <w:color w:val="20313F"/>
                <w:sz w:val="18"/>
              </w:rPr>
              <w:t>2026 年 7 月</w:t>
            </w:r>
          </w:p>
        </w:tc>
      </w:tr>
    </w:tbl>
    <w:p w14:paraId="6105B32C">
      <w:pPr>
        <w:keepNext w:val="0"/>
        <w:keepLines w:val="0"/>
        <w:spacing w:before="1840" w:after="0" w:line="276" w:lineRule="auto"/>
        <w:jc w:val="center"/>
      </w:pPr>
      <w:r>
        <w:rPr>
          <w:rFonts w:ascii="Arial" w:hAnsi="Arial" w:eastAsia="微软雅黑"/>
          <w:b w:val="0"/>
          <w:i w:val="0"/>
          <w:color w:val="60717D"/>
          <w:sz w:val="16"/>
        </w:rPr>
        <w:t>本报告描述本次回传样本，不代表全部养老目标基金投资者；不构成产品推荐、适当性结论或投资建议。</w:t>
      </w:r>
    </w:p>
    <w:p w14:paraId="4F0B7E76">
      <w:r>
        <w:br w:type="page"/>
      </w:r>
    </w:p>
    <w:p w14:paraId="20A08451">
      <w:pPr>
        <w:pStyle w:val="3"/>
        <w:keepNext/>
        <w:keepLines w:val="0"/>
        <w:pBdr>
          <w:bottom w:val="single" w:color="B7791F" w:sz="8" w:space="5"/>
        </w:pBdr>
        <w:spacing w:before="280" w:after="140" w:line="252" w:lineRule="auto"/>
      </w:pPr>
      <w:r>
        <w:rPr>
          <w:rFonts w:ascii="Arial" w:hAnsi="Arial" w:eastAsia="微软雅黑"/>
          <w:b/>
          <w:i w:val="0"/>
          <w:color w:val="183B56"/>
          <w:sz w:val="32"/>
        </w:rPr>
        <w:t>结论汇总｜这份调查发现了什么</w:t>
      </w:r>
    </w:p>
    <w:tbl>
      <w:tblPr>
        <w:tblStyle w:val="32"/>
        <w:tblW w:w="941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197EBB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tcBorders>
              <w:top w:val="single" w:color="2878A6" w:sz="8" w:space="0"/>
              <w:left w:val="single" w:color="2878A6" w:sz="8" w:space="0"/>
              <w:bottom w:val="single" w:color="2878A6" w:sz="8" w:space="0"/>
              <w:right w:val="single" w:color="2878A6" w:sz="8" w:space="0"/>
            </w:tcBorders>
            <w:shd w:val="clear" w:color="auto" w:fill="EEF4F6"/>
            <w:tcMar>
              <w:top w:w="140" w:type="dxa"/>
              <w:left w:w="170" w:type="dxa"/>
              <w:bottom w:w="140" w:type="dxa"/>
              <w:right w:w="170" w:type="dxa"/>
            </w:tcMar>
            <w:vAlign w:val="center"/>
          </w:tcPr>
          <w:p w14:paraId="48F52037">
            <w:pPr>
              <w:keepNext w:val="0"/>
              <w:keepLines w:val="0"/>
              <w:spacing w:before="0" w:after="0" w:line="283" w:lineRule="auto"/>
              <w:jc w:val="left"/>
              <w:rPr>
                <w:rFonts w:ascii="Arial" w:hAnsi="Arial" w:eastAsia="微软雅黑"/>
                <w:b w:val="0"/>
                <w:i w:val="0"/>
                <w:color w:val="20313F"/>
                <w:sz w:val="20"/>
                <w:szCs w:val="28"/>
              </w:rPr>
            </w:pPr>
            <w:r>
              <w:rPr>
                <w:rFonts w:ascii="Arial" w:hAnsi="Arial" w:eastAsia="微软雅黑"/>
                <w:b/>
                <w:i w:val="0"/>
                <w:color w:val="2878A6"/>
                <w:sz w:val="20"/>
              </w:rPr>
              <w:t>一句话总判断</w:t>
            </w:r>
            <w:r>
              <w:rPr>
                <w:rFonts w:ascii="Arial" w:hAnsi="Arial" w:eastAsia="微软雅黑"/>
                <w:b/>
                <w:i w:val="0"/>
                <w:color w:val="2878A6"/>
                <w:sz w:val="20"/>
              </w:rPr>
              <w:br w:type="textWrapping"/>
            </w:r>
            <w:r>
              <w:rPr>
                <w:rFonts w:hint="eastAsia" w:ascii="Arial" w:hAnsi="Arial" w:eastAsia="微软雅黑"/>
                <w:b w:val="0"/>
                <w:i w:val="0"/>
                <w:color w:val="20313F"/>
                <w:sz w:val="20"/>
                <w:szCs w:val="28"/>
                <w:lang w:val="en-US" w:eastAsia="zh-CN"/>
              </w:rPr>
              <w:t>养老目标基金的</w:t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20"/>
                <w:szCs w:val="28"/>
              </w:rPr>
              <w:t>购买行为已经发生，但认知与持有期服务严重断档。投资者并不缺乏对“养老”概念的关注，但在产品分类（选哪种）、下滑曲线（怎么变）以及风险边界（亏多少）上缺乏连贯认知。</w:t>
            </w:r>
          </w:p>
          <w:p w14:paraId="5984A3B8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20"/>
                <w:szCs w:val="28"/>
              </w:rPr>
              <w:t>业务改进的核心不是增加复杂的金融术语，而是降低理解门槛：在购买前提供直观的对比分类，持有中提供清晰的配置入口，市场波动时提供能真正解惑的陪伴沟通。</w:t>
            </w:r>
          </w:p>
        </w:tc>
      </w:tr>
    </w:tbl>
    <w:p w14:paraId="3CCC3EC3">
      <w:pPr>
        <w:keepNext/>
        <w:spacing w:before="280" w:after="120"/>
      </w:pPr>
      <w:r>
        <w:rPr>
          <w:rFonts w:ascii="微软雅黑" w:hAnsi="微软雅黑" w:eastAsia="微软雅黑"/>
          <w:b/>
          <w:color w:val="2E6B9E"/>
          <w:sz w:val="25"/>
        </w:rPr>
        <w:t>核心指标一览 (KPI Metrics)</w:t>
      </w:r>
    </w:p>
    <w:tbl>
      <w:tblPr>
        <w:tblStyle w:val="32"/>
        <w:tblW w:w="0" w:type="auto"/>
        <w:jc w:val="center"/>
        <w:tblBorders>
          <w:top w:val="single" w:color="B0C4DE" w:sz="6" w:space="0"/>
          <w:left w:val="single" w:color="B0C4DE" w:sz="6" w:space="0"/>
          <w:bottom w:val="single" w:color="B0C4DE" w:sz="6" w:space="0"/>
          <w:right w:val="single" w:color="B0C4DE" w:sz="6" w:space="0"/>
          <w:insideH w:val="none" w:color="auto" w:sz="0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2"/>
        <w:gridCol w:w="1578"/>
        <w:gridCol w:w="1583"/>
        <w:gridCol w:w="1583"/>
        <w:gridCol w:w="1583"/>
        <w:gridCol w:w="1583"/>
      </w:tblGrid>
      <w:tr w14:paraId="044A64B3">
        <w:tblPrEx>
          <w:tblBorders>
            <w:top w:val="single" w:color="B0C4DE" w:sz="6" w:space="0"/>
            <w:left w:val="single" w:color="B0C4DE" w:sz="6" w:space="0"/>
            <w:bottom w:val="single" w:color="B0C4DE" w:sz="6" w:space="0"/>
            <w:right w:val="single" w:color="B0C4DE" w:sz="6" w:space="0"/>
            <w:insideH w:val="none" w:color="auto" w:sz="0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1" w:type="dxa"/>
            <w:shd w:val="clear" w:color="auto" w:fill="F0F4F8"/>
            <w:tcMar>
              <w:top w:w="100" w:type="dxa"/>
              <w:left w:w="40" w:type="dxa"/>
              <w:bottom w:w="40" w:type="dxa"/>
              <w:right w:w="40" w:type="dxa"/>
            </w:tcMar>
          </w:tcPr>
          <w:p w14:paraId="06DAF875">
            <w:pPr>
              <w:spacing w:before="0" w:after="0"/>
              <w:jc w:val="center"/>
            </w:pPr>
            <w:r>
              <w:rPr>
                <w:b/>
                <w:color w:val="1B365D"/>
                <w:sz w:val="30"/>
              </w:rPr>
              <w:t>20.0%</w:t>
            </w:r>
          </w:p>
        </w:tc>
        <w:tc>
          <w:tcPr>
            <w:tcW w:w="1601" w:type="dxa"/>
            <w:shd w:val="clear" w:color="auto" w:fill="F0F4F8"/>
            <w:tcMar>
              <w:top w:w="100" w:type="dxa"/>
              <w:left w:w="40" w:type="dxa"/>
              <w:bottom w:w="40" w:type="dxa"/>
              <w:right w:w="40" w:type="dxa"/>
            </w:tcMar>
          </w:tcPr>
          <w:p w14:paraId="3D418BB5">
            <w:pPr>
              <w:spacing w:before="0" w:after="0"/>
              <w:jc w:val="center"/>
            </w:pPr>
            <w:r>
              <w:rPr>
                <w:b/>
                <w:color w:val="1B365D"/>
                <w:sz w:val="30"/>
              </w:rPr>
              <w:t>3.5%</w:t>
            </w:r>
          </w:p>
        </w:tc>
        <w:tc>
          <w:tcPr>
            <w:tcW w:w="1601" w:type="dxa"/>
            <w:shd w:val="clear" w:color="auto" w:fill="F0F4F8"/>
            <w:tcMar>
              <w:top w:w="100" w:type="dxa"/>
              <w:left w:w="40" w:type="dxa"/>
              <w:bottom w:w="40" w:type="dxa"/>
              <w:right w:w="40" w:type="dxa"/>
            </w:tcMar>
          </w:tcPr>
          <w:p w14:paraId="0F040413">
            <w:pPr>
              <w:spacing w:before="0" w:after="0"/>
              <w:jc w:val="center"/>
            </w:pPr>
            <w:r>
              <w:rPr>
                <w:b/>
                <w:color w:val="1B365D"/>
                <w:sz w:val="30"/>
              </w:rPr>
              <w:t>29.0%</w:t>
            </w:r>
          </w:p>
        </w:tc>
        <w:tc>
          <w:tcPr>
            <w:tcW w:w="1601" w:type="dxa"/>
            <w:shd w:val="clear" w:color="auto" w:fill="F0F4F8"/>
            <w:tcMar>
              <w:top w:w="100" w:type="dxa"/>
              <w:left w:w="40" w:type="dxa"/>
              <w:bottom w:w="40" w:type="dxa"/>
              <w:right w:w="40" w:type="dxa"/>
            </w:tcMar>
          </w:tcPr>
          <w:p w14:paraId="3F54AB48">
            <w:pPr>
              <w:spacing w:before="0" w:after="0"/>
              <w:jc w:val="center"/>
            </w:pPr>
            <w:r>
              <w:rPr>
                <w:b/>
                <w:color w:val="1B365D"/>
                <w:sz w:val="30"/>
              </w:rPr>
              <w:t>59.5%</w:t>
            </w:r>
          </w:p>
        </w:tc>
        <w:tc>
          <w:tcPr>
            <w:tcW w:w="1601" w:type="dxa"/>
            <w:shd w:val="clear" w:color="auto" w:fill="F0F4F8"/>
            <w:tcMar>
              <w:top w:w="100" w:type="dxa"/>
              <w:left w:w="40" w:type="dxa"/>
              <w:bottom w:w="40" w:type="dxa"/>
              <w:right w:w="40" w:type="dxa"/>
            </w:tcMar>
          </w:tcPr>
          <w:p w14:paraId="32685259">
            <w:pPr>
              <w:spacing w:before="0" w:after="0"/>
              <w:jc w:val="center"/>
            </w:pPr>
            <w:r>
              <w:rPr>
                <w:b/>
                <w:color w:val="1B365D"/>
                <w:sz w:val="30"/>
              </w:rPr>
              <w:t>72.0%</w:t>
            </w:r>
          </w:p>
        </w:tc>
        <w:tc>
          <w:tcPr>
            <w:tcW w:w="1601" w:type="dxa"/>
            <w:shd w:val="clear" w:color="auto" w:fill="F0F4F8"/>
            <w:tcMar>
              <w:top w:w="100" w:type="dxa"/>
              <w:left w:w="40" w:type="dxa"/>
              <w:bottom w:w="40" w:type="dxa"/>
              <w:right w:w="40" w:type="dxa"/>
            </w:tcMar>
          </w:tcPr>
          <w:p w14:paraId="1C5F27D4">
            <w:pPr>
              <w:spacing w:before="0" w:after="0"/>
              <w:jc w:val="center"/>
            </w:pPr>
            <w:r>
              <w:rPr>
                <w:b/>
                <w:color w:val="1B365D"/>
                <w:sz w:val="30"/>
              </w:rPr>
              <w:t>22.3%</w:t>
            </w:r>
          </w:p>
        </w:tc>
      </w:tr>
      <w:tr w14:paraId="7DCCB887">
        <w:tblPrEx>
          <w:tblBorders>
            <w:top w:val="single" w:color="B0C4DE" w:sz="6" w:space="0"/>
            <w:left w:val="single" w:color="B0C4DE" w:sz="6" w:space="0"/>
            <w:bottom w:val="single" w:color="B0C4DE" w:sz="6" w:space="0"/>
            <w:right w:val="single" w:color="B0C4DE" w:sz="6" w:space="0"/>
            <w:insideH w:val="none" w:color="auto" w:sz="0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1" w:type="dxa"/>
            <w:shd w:val="clear" w:color="auto" w:fill="F0F4F8"/>
            <w:tcMar>
              <w:top w:w="40" w:type="dxa"/>
              <w:left w:w="40" w:type="dxa"/>
              <w:bottom w:w="100" w:type="dxa"/>
              <w:right w:w="40" w:type="dxa"/>
            </w:tcMar>
          </w:tcPr>
          <w:p w14:paraId="279CD5B3">
            <w:pPr>
              <w:spacing w:before="0" w:after="0"/>
              <w:jc w:val="center"/>
            </w:pPr>
            <w:r>
              <w:rPr>
                <w:color w:val="282828"/>
                <w:sz w:val="17"/>
              </w:rPr>
              <w:t>4道核心知识题全对率</w:t>
            </w:r>
          </w:p>
        </w:tc>
        <w:tc>
          <w:tcPr>
            <w:tcW w:w="1601" w:type="dxa"/>
            <w:shd w:val="clear" w:color="auto" w:fill="F0F4F8"/>
            <w:tcMar>
              <w:top w:w="40" w:type="dxa"/>
              <w:left w:w="40" w:type="dxa"/>
              <w:bottom w:w="100" w:type="dxa"/>
              <w:right w:w="40" w:type="dxa"/>
            </w:tcMar>
          </w:tcPr>
          <w:p w14:paraId="41253E61">
            <w:pPr>
              <w:spacing w:before="0" w:after="0"/>
              <w:jc w:val="center"/>
            </w:pPr>
            <w:r>
              <w:rPr>
                <w:color w:val="282828"/>
                <w:sz w:val="17"/>
              </w:rPr>
              <w:t>选基时主动比较下滑曲线</w:t>
            </w:r>
          </w:p>
        </w:tc>
        <w:tc>
          <w:tcPr>
            <w:tcW w:w="1601" w:type="dxa"/>
            <w:shd w:val="clear" w:color="auto" w:fill="F0F4F8"/>
            <w:tcMar>
              <w:top w:w="40" w:type="dxa"/>
              <w:left w:w="40" w:type="dxa"/>
              <w:bottom w:w="100" w:type="dxa"/>
              <w:right w:w="40" w:type="dxa"/>
            </w:tcMar>
          </w:tcPr>
          <w:p w14:paraId="525C3A20">
            <w:pPr>
              <w:spacing w:before="0" w:after="0"/>
              <w:jc w:val="center"/>
            </w:pPr>
            <w:r>
              <w:rPr>
                <w:color w:val="282828"/>
                <w:sz w:val="17"/>
              </w:rPr>
              <w:t>感觉购买前信息比较清晰</w:t>
            </w:r>
          </w:p>
        </w:tc>
        <w:tc>
          <w:tcPr>
            <w:tcW w:w="1601" w:type="dxa"/>
            <w:shd w:val="clear" w:color="auto" w:fill="F0F4F8"/>
            <w:tcMar>
              <w:top w:w="40" w:type="dxa"/>
              <w:left w:w="40" w:type="dxa"/>
              <w:bottom w:w="100" w:type="dxa"/>
              <w:right w:w="40" w:type="dxa"/>
            </w:tcMar>
          </w:tcPr>
          <w:p w14:paraId="250AFF9B">
            <w:pPr>
              <w:spacing w:before="0" w:after="0"/>
              <w:jc w:val="center"/>
            </w:pPr>
            <w:r>
              <w:rPr>
                <w:color w:val="282828"/>
                <w:sz w:val="17"/>
              </w:rPr>
              <w:t>购买后未看/找不到配置入口</w:t>
            </w:r>
          </w:p>
        </w:tc>
        <w:tc>
          <w:tcPr>
            <w:tcW w:w="1601" w:type="dxa"/>
            <w:shd w:val="clear" w:color="auto" w:fill="F0F4F8"/>
            <w:tcMar>
              <w:top w:w="40" w:type="dxa"/>
              <w:left w:w="40" w:type="dxa"/>
              <w:bottom w:w="100" w:type="dxa"/>
              <w:right w:w="40" w:type="dxa"/>
            </w:tcMar>
          </w:tcPr>
          <w:p w14:paraId="0608478D">
            <w:pPr>
              <w:spacing w:before="0" w:after="0"/>
              <w:jc w:val="center"/>
            </w:pPr>
            <w:r>
              <w:rPr>
                <w:color w:val="282828"/>
                <w:sz w:val="17"/>
              </w:rPr>
              <w:t>目前仍处于持仓状态</w:t>
            </w:r>
          </w:p>
        </w:tc>
        <w:tc>
          <w:tcPr>
            <w:tcW w:w="1601" w:type="dxa"/>
            <w:shd w:val="clear" w:color="auto" w:fill="F0F4F8"/>
            <w:tcMar>
              <w:top w:w="40" w:type="dxa"/>
              <w:left w:w="40" w:type="dxa"/>
              <w:bottom w:w="100" w:type="dxa"/>
              <w:right w:w="40" w:type="dxa"/>
            </w:tcMar>
          </w:tcPr>
          <w:p w14:paraId="2D2A488E">
            <w:pPr>
              <w:spacing w:before="0" w:after="0"/>
              <w:jc w:val="center"/>
            </w:pPr>
            <w:r>
              <w:rPr>
                <w:color w:val="282828"/>
                <w:sz w:val="17"/>
              </w:rPr>
              <w:t>波动期“认同与焦虑交织”</w:t>
            </w:r>
          </w:p>
        </w:tc>
      </w:tr>
    </w:tbl>
    <w:p w14:paraId="1EE9BFD7">
      <w:pPr>
        <w:keepNext w:val="0"/>
        <w:keepLines/>
        <w:spacing w:before="40" w:after="60" w:line="240" w:lineRule="auto"/>
        <w:jc w:val="center"/>
      </w:pPr>
    </w:p>
    <w:p w14:paraId="3F0641F1">
      <w:pPr>
        <w:keepNext w:val="0"/>
        <w:keepLines/>
        <w:spacing w:before="0" w:after="140" w:line="276" w:lineRule="auto"/>
        <w:jc w:val="center"/>
      </w:pPr>
      <w:r>
        <w:rPr>
          <w:rFonts w:ascii="Arial" w:hAnsi="Arial" w:eastAsia="微软雅黑"/>
          <w:b w:val="0"/>
          <w:i w:val="0"/>
          <w:color w:val="60717D"/>
          <w:sz w:val="16"/>
        </w:rPr>
        <w:t>图 1　六项关键指标。除长期与焦虑信号基于经历明显下跌者（n=157）外，其余指标 n=200。</w:t>
      </w:r>
    </w:p>
    <w:p w14:paraId="6D941B8A">
      <w:pPr>
        <w:keepNext w:val="0"/>
        <w:keepLines w:val="0"/>
        <w:spacing w:before="0" w:after="80" w:line="288" w:lineRule="auto"/>
        <w:jc w:val="center"/>
      </w:pPr>
      <w:r>
        <w:rPr>
          <w:rFonts w:ascii="Arial" w:hAnsi="Arial" w:eastAsia="微软雅黑"/>
          <w:b w:val="0"/>
          <w:i w:val="0"/>
          <w:color w:val="60717D"/>
          <w:sz w:val="16"/>
        </w:rPr>
        <w:t>阅读提示：下面十条结论均写明证据和业务意义，后续章节再展开题目口径、分群结果和分析限制。</w:t>
      </w:r>
    </w:p>
    <w:p w14:paraId="4994C9F5">
      <w:pPr>
        <w:keepNext/>
        <w:spacing w:before="280" w:after="120"/>
      </w:pPr>
      <w:r>
        <w:rPr>
          <w:rFonts w:ascii="微软雅黑" w:hAnsi="微软雅黑" w:eastAsia="微软雅黑"/>
          <w:b/>
          <w:color w:val="2E6B9E"/>
          <w:sz w:val="25"/>
        </w:rPr>
        <w:t>十大核心洞察与业务落地指导</w:t>
      </w:r>
    </w:p>
    <w:tbl>
      <w:tblPr>
        <w:tblStyle w:val="32"/>
        <w:tblW w:w="0" w:type="auto"/>
        <w:jc w:val="center"/>
        <w:tblBorders>
          <w:top w:val="single" w:color="B0C4DE" w:sz="6" w:space="0"/>
          <w:left w:val="none" w:color="auto" w:sz="0" w:space="0"/>
          <w:bottom w:val="single" w:color="B0C4DE" w:sz="6" w:space="0"/>
          <w:right w:val="none" w:color="auto" w:sz="0" w:space="0"/>
          <w:insideH w:val="single" w:color="E0E0E0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4320"/>
        <w:gridCol w:w="4421"/>
      </w:tblGrid>
      <w:tr w14:paraId="1F46841E">
        <w:tblPrEx>
          <w:tblBorders>
            <w:top w:val="single" w:color="B0C4DE" w:sz="6" w:space="0"/>
            <w:left w:val="none" w:color="auto" w:sz="0" w:space="0"/>
            <w:bottom w:val="single" w:color="B0C4DE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64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540AF98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</w:rPr>
              <w:t>序号</w:t>
            </w:r>
          </w:p>
        </w:tc>
        <w:tc>
          <w:tcPr>
            <w:tcW w:w="4320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369A4A8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</w:rPr>
              <w:t>核心洞察与数据证据</w:t>
            </w:r>
          </w:p>
        </w:tc>
        <w:tc>
          <w:tcPr>
            <w:tcW w:w="4421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AF74002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</w:rPr>
              <w:t>对业务/产品/营销的直接指导意义</w:t>
            </w:r>
          </w:p>
        </w:tc>
      </w:tr>
      <w:tr w14:paraId="6567883D">
        <w:tblPrEx>
          <w:tblBorders>
            <w:top w:val="single" w:color="B0C4DE" w:sz="6" w:space="0"/>
            <w:left w:val="none" w:color="auto" w:sz="0" w:space="0"/>
            <w:bottom w:val="single" w:color="B0C4DE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4" w:type="dxa"/>
            <w:shd w:val="clear" w:color="auto" w:fill="F4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FAE8A6">
            <w:pPr>
              <w:spacing w:before="0" w:after="0"/>
            </w:pPr>
            <w:r>
              <w:rPr>
                <w:rFonts w:ascii="微软雅黑" w:hAnsi="微软雅黑" w:eastAsia="微软雅黑"/>
              </w:rPr>
              <w:t>01</w:t>
            </w:r>
          </w:p>
        </w:tc>
        <w:tc>
          <w:tcPr>
            <w:tcW w:w="4320" w:type="dxa"/>
            <w:shd w:val="clear" w:color="auto" w:fill="F4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030DF">
            <w:pPr>
              <w:spacing w:before="0" w:after="0"/>
            </w:pPr>
            <w:r>
              <w:rPr>
                <w:rFonts w:ascii="微软雅黑" w:hAnsi="微软雅黑" w:eastAsia="微软雅黑"/>
              </w:rPr>
              <w:t>主力客群为 30—49 岁中青年资深理财者：占 66.5%，72.0% 仍在持仓，且 46.0% 拥有 4 年以上基金经验。</w:t>
            </w:r>
          </w:p>
        </w:tc>
        <w:tc>
          <w:tcPr>
            <w:tcW w:w="4421" w:type="dxa"/>
            <w:shd w:val="clear" w:color="auto" w:fill="F4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8342B">
            <w:pPr>
              <w:spacing w:before="0" w:after="0"/>
            </w:pPr>
            <w:r>
              <w:rPr>
                <w:rFonts w:ascii="微软雅黑" w:hAnsi="微软雅黑" w:eastAsia="微软雅黑"/>
              </w:rPr>
              <w:t>服务重点应从单纯的“前端销售引导”转向“持仓期的持续陪伴与认知加固”。</w:t>
            </w:r>
          </w:p>
        </w:tc>
      </w:tr>
      <w:tr w14:paraId="079AC309">
        <w:tblPrEx>
          <w:tblBorders>
            <w:top w:val="single" w:color="B0C4DE" w:sz="6" w:space="0"/>
            <w:left w:val="none" w:color="auto" w:sz="0" w:space="0"/>
            <w:bottom w:val="single" w:color="B0C4DE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A8F4C7">
            <w:pPr>
              <w:spacing w:before="0" w:after="0"/>
            </w:pPr>
            <w:r>
              <w:rPr>
                <w:rFonts w:ascii="微软雅黑" w:hAnsi="微软雅黑" w:eastAsia="微软雅黑"/>
              </w:rPr>
              <w:t>02</w:t>
            </w:r>
          </w:p>
        </w:tc>
        <w:tc>
          <w:tcPr>
            <w:tcW w:w="43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A0DFA">
            <w:pPr>
              <w:spacing w:before="0" w:after="0"/>
            </w:pPr>
            <w:r>
              <w:rPr>
                <w:rFonts w:ascii="微软雅黑" w:hAnsi="微软雅黑" w:eastAsia="微软雅黑"/>
              </w:rPr>
              <w:t>买过不等于懂过：单题正确率在 60% 左右，但 4 道核心知识题全对率仅 20.0%，认知链条断裂。</w:t>
            </w:r>
          </w:p>
        </w:tc>
        <w:tc>
          <w:tcPr>
            <w:tcW w:w="442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39BB48">
            <w:pPr>
              <w:spacing w:before="0" w:after="0"/>
            </w:pPr>
            <w:r>
              <w:rPr>
                <w:rFonts w:ascii="微软雅黑" w:hAnsi="微软雅黑" w:eastAsia="微软雅黑"/>
              </w:rPr>
              <w:t>产品页面需将“产品类型—配置变化—风险边界”串联为一条一目了然的判断路径。</w:t>
            </w:r>
          </w:p>
        </w:tc>
      </w:tr>
      <w:tr w14:paraId="4E543887">
        <w:tblPrEx>
          <w:tblBorders>
            <w:top w:val="single" w:color="B0C4DE" w:sz="6" w:space="0"/>
            <w:left w:val="none" w:color="auto" w:sz="0" w:space="0"/>
            <w:bottom w:val="single" w:color="B0C4DE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4" w:type="dxa"/>
            <w:shd w:val="clear" w:color="auto" w:fill="F4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2611FB">
            <w:pPr>
              <w:spacing w:before="0" w:after="0"/>
            </w:pPr>
            <w:r>
              <w:rPr>
                <w:rFonts w:ascii="微软雅黑" w:hAnsi="微软雅黑" w:eastAsia="微软雅黑"/>
              </w:rPr>
              <w:t>03</w:t>
            </w:r>
          </w:p>
        </w:tc>
        <w:tc>
          <w:tcPr>
            <w:tcW w:w="4320" w:type="dxa"/>
            <w:shd w:val="clear" w:color="auto" w:fill="F4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07BA63">
            <w:pPr>
              <w:spacing w:before="0" w:after="0"/>
            </w:pPr>
            <w:r>
              <w:rPr>
                <w:rFonts w:ascii="微软雅黑" w:hAnsi="微软雅黑" w:eastAsia="微软雅黑"/>
              </w:rPr>
              <w:t>产品分类是第一道门槛：能正确区分“目标日期”与“目标风险”的受访者仅占 39.5%。</w:t>
            </w:r>
          </w:p>
        </w:tc>
        <w:tc>
          <w:tcPr>
            <w:tcW w:w="4421" w:type="dxa"/>
            <w:shd w:val="clear" w:color="auto" w:fill="F4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38335">
            <w:pPr>
              <w:spacing w:before="0" w:after="0"/>
            </w:pPr>
            <w:r>
              <w:rPr>
                <w:rFonts w:ascii="微软雅黑" w:hAnsi="微软雅黑" w:eastAsia="微软雅黑"/>
              </w:rPr>
              <w:t>购买入口必须先用大白话引导：“按退休年份选”还是“按风险偏好选”，防止买错。</w:t>
            </w:r>
          </w:p>
        </w:tc>
      </w:tr>
      <w:tr w14:paraId="3F9B3CFB">
        <w:tblPrEx>
          <w:tblBorders>
            <w:top w:val="single" w:color="B0C4DE" w:sz="6" w:space="0"/>
            <w:left w:val="none" w:color="auto" w:sz="0" w:space="0"/>
            <w:bottom w:val="single" w:color="B0C4DE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</w:tblPrEx>
        <w:trPr>
          <w:cantSplit/>
          <w:jc w:val="center"/>
        </w:trPr>
        <w:tc>
          <w:tcPr>
            <w:tcW w:w="86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8E4A5">
            <w:pPr>
              <w:spacing w:before="0" w:after="0"/>
            </w:pPr>
            <w:r>
              <w:rPr>
                <w:rFonts w:ascii="微软雅黑" w:hAnsi="微软雅黑" w:eastAsia="微软雅黑"/>
              </w:rPr>
              <w:t>04</w:t>
            </w:r>
          </w:p>
        </w:tc>
        <w:tc>
          <w:tcPr>
            <w:tcW w:w="43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42F942">
            <w:pPr>
              <w:spacing w:before="0" w:after="0"/>
            </w:pPr>
            <w:r>
              <w:rPr>
                <w:rFonts w:ascii="微软雅黑" w:hAnsi="微软雅黑" w:eastAsia="微软雅黑"/>
              </w:rPr>
              <w:t>下滑曲线“听得多、用得少”：62.5% 听说过，44.0% 看过，但选基时主动用来对比的仅 3.5%。</w:t>
            </w:r>
          </w:p>
        </w:tc>
        <w:tc>
          <w:tcPr>
            <w:tcW w:w="442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6517B">
            <w:pPr>
              <w:spacing w:before="0" w:after="0"/>
            </w:pPr>
            <w:r>
              <w:rPr>
                <w:rFonts w:ascii="微软雅黑" w:hAnsi="微软雅黑" w:eastAsia="微软雅黑"/>
              </w:rPr>
              <w:t>少讲“什么是下滑曲线”的学术概念，直接展示不同年龄段的“股票/债券比例变化图”。</w:t>
            </w:r>
          </w:p>
        </w:tc>
      </w:tr>
      <w:tr w14:paraId="0E4B5036">
        <w:tblPrEx>
          <w:tblBorders>
            <w:top w:val="single" w:color="B0C4DE" w:sz="6" w:space="0"/>
            <w:left w:val="none" w:color="auto" w:sz="0" w:space="0"/>
            <w:bottom w:val="single" w:color="B0C4DE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4" w:type="dxa"/>
            <w:shd w:val="clear" w:color="auto" w:fill="F4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500454">
            <w:pPr>
              <w:spacing w:before="0" w:after="0"/>
            </w:pPr>
            <w:r>
              <w:rPr>
                <w:rFonts w:ascii="微软雅黑" w:hAnsi="微软雅黑" w:eastAsia="微软雅黑"/>
              </w:rPr>
              <w:t>05</w:t>
            </w:r>
          </w:p>
        </w:tc>
        <w:tc>
          <w:tcPr>
            <w:tcW w:w="4320" w:type="dxa"/>
            <w:shd w:val="clear" w:color="auto" w:fill="F4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DE1E7">
            <w:pPr>
              <w:spacing w:before="0" w:after="0"/>
            </w:pPr>
            <w:r>
              <w:rPr>
                <w:rFonts w:ascii="微软雅黑" w:hAnsi="微软雅黑" w:eastAsia="微软雅黑"/>
              </w:rPr>
              <w:t>买时看收益，下单看风险：20.5% 将“风险类型”选为决定购买的首要因素，超越历史业绩（13.0%）。</w:t>
            </w:r>
          </w:p>
        </w:tc>
        <w:tc>
          <w:tcPr>
            <w:tcW w:w="4421" w:type="dxa"/>
            <w:shd w:val="clear" w:color="auto" w:fill="F4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B1150">
            <w:pPr>
              <w:spacing w:before="0" w:after="0"/>
            </w:pPr>
            <w:r>
              <w:rPr>
                <w:rFonts w:ascii="微软雅黑" w:hAnsi="微软雅黑" w:eastAsia="微软雅黑"/>
              </w:rPr>
              <w:t>风险类型与最大回撤边界必须前置展示，踏实感才是促成最终落地的关键。</w:t>
            </w:r>
          </w:p>
        </w:tc>
      </w:tr>
      <w:tr w14:paraId="77F9A69B">
        <w:tblPrEx>
          <w:tblBorders>
            <w:top w:val="single" w:color="B0C4DE" w:sz="6" w:space="0"/>
            <w:left w:val="none" w:color="auto" w:sz="0" w:space="0"/>
            <w:bottom w:val="single" w:color="B0C4DE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C9C26A">
            <w:pPr>
              <w:spacing w:before="0" w:after="0"/>
            </w:pPr>
            <w:r>
              <w:rPr>
                <w:rFonts w:ascii="微软雅黑" w:hAnsi="微软雅黑" w:eastAsia="微软雅黑"/>
              </w:rPr>
              <w:t>06</w:t>
            </w:r>
          </w:p>
        </w:tc>
        <w:tc>
          <w:tcPr>
            <w:tcW w:w="43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F643D8">
            <w:pPr>
              <w:spacing w:before="0" w:after="0"/>
            </w:pPr>
            <w:r>
              <w:rPr>
                <w:rFonts w:ascii="微软雅黑" w:hAnsi="微软雅黑" w:eastAsia="微软雅黑"/>
              </w:rPr>
              <w:t>购买前信息门槛过高：仅 29.0% 觉得购买前信息清晰，71.0% 感到一般或不清晰。</w:t>
            </w:r>
          </w:p>
        </w:tc>
        <w:tc>
          <w:tcPr>
            <w:tcW w:w="442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3C91C0">
            <w:pPr>
              <w:spacing w:before="0" w:after="0"/>
            </w:pPr>
            <w:r>
              <w:rPr>
                <w:rFonts w:ascii="微软雅黑" w:hAnsi="微软雅黑" w:eastAsia="微软雅黑"/>
              </w:rPr>
              <w:t>重写产品详情页，去除学术与 AI 味浓重的文案，降低第一眼理解难度。</w:t>
            </w:r>
          </w:p>
        </w:tc>
      </w:tr>
      <w:tr w14:paraId="087A2644">
        <w:tblPrEx>
          <w:tblBorders>
            <w:top w:val="single" w:color="B0C4DE" w:sz="6" w:space="0"/>
            <w:left w:val="none" w:color="auto" w:sz="0" w:space="0"/>
            <w:bottom w:val="single" w:color="B0C4DE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4" w:type="dxa"/>
            <w:shd w:val="clear" w:color="auto" w:fill="F4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C9DC6">
            <w:pPr>
              <w:spacing w:before="0" w:after="0"/>
            </w:pPr>
            <w:r>
              <w:rPr>
                <w:rFonts w:ascii="微软雅黑" w:hAnsi="微软雅黑" w:eastAsia="微软雅黑"/>
              </w:rPr>
              <w:t>07</w:t>
            </w:r>
          </w:p>
        </w:tc>
        <w:tc>
          <w:tcPr>
            <w:tcW w:w="4320" w:type="dxa"/>
            <w:shd w:val="clear" w:color="auto" w:fill="F4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E8E3B">
            <w:pPr>
              <w:spacing w:before="0" w:after="0"/>
            </w:pPr>
            <w:r>
              <w:rPr>
                <w:rFonts w:ascii="微软雅黑" w:hAnsi="微软雅黑" w:eastAsia="微软雅黑"/>
              </w:rPr>
              <w:t>持有期存在明显“信息断档”：59.5% 购买后未再查看配置变化，或想看却找不到入口。</w:t>
            </w:r>
          </w:p>
        </w:tc>
        <w:tc>
          <w:tcPr>
            <w:tcW w:w="4421" w:type="dxa"/>
            <w:shd w:val="clear" w:color="auto" w:fill="F4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871648">
            <w:pPr>
              <w:spacing w:before="0" w:after="0"/>
            </w:pPr>
            <w:r>
              <w:rPr>
                <w:rFonts w:ascii="微软雅黑" w:hAnsi="微软雅黑" w:eastAsia="微软雅黑"/>
              </w:rPr>
              <w:t>在 APP 持仓详情页设立固定的“当前资产配置”与“调仓变动”常驻入口。</w:t>
            </w:r>
          </w:p>
        </w:tc>
      </w:tr>
      <w:tr w14:paraId="3D42A20A">
        <w:tblPrEx>
          <w:tblBorders>
            <w:top w:val="single" w:color="B0C4DE" w:sz="6" w:space="0"/>
            <w:left w:val="none" w:color="auto" w:sz="0" w:space="0"/>
            <w:bottom w:val="single" w:color="B0C4DE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F91698">
            <w:pPr>
              <w:spacing w:before="0" w:after="0"/>
            </w:pPr>
            <w:r>
              <w:rPr>
                <w:rFonts w:ascii="微软雅黑" w:hAnsi="微软雅黑" w:eastAsia="微软雅黑"/>
              </w:rPr>
              <w:t>08</w:t>
            </w:r>
          </w:p>
        </w:tc>
        <w:tc>
          <w:tcPr>
            <w:tcW w:w="43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D62CBB">
            <w:pPr>
              <w:spacing w:before="0" w:after="0"/>
            </w:pPr>
            <w:r>
              <w:rPr>
                <w:rFonts w:ascii="微软雅黑" w:hAnsi="微软雅黑" w:eastAsia="微软雅黑"/>
              </w:rPr>
              <w:t>波动期“理性认同与短期焦虑”交织：22.3% 的受访者既认可长期持有，又对短期亏损焦虑不安。</w:t>
            </w:r>
          </w:p>
        </w:tc>
        <w:tc>
          <w:tcPr>
            <w:tcW w:w="442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E3FA71">
            <w:pPr>
              <w:spacing w:before="0" w:after="0"/>
            </w:pPr>
            <w:r>
              <w:rPr>
                <w:rFonts w:ascii="微软雅黑" w:hAnsi="微软雅黑" w:eastAsia="微软雅黑"/>
              </w:rPr>
              <w:t>波动期沟通切忌喊“长期投资”口号，必须明确解释“为什么跌、现在配置是什么”。</w:t>
            </w:r>
          </w:p>
        </w:tc>
      </w:tr>
      <w:tr w14:paraId="7E286AAD">
        <w:tblPrEx>
          <w:tblBorders>
            <w:top w:val="single" w:color="B0C4DE" w:sz="6" w:space="0"/>
            <w:left w:val="none" w:color="auto" w:sz="0" w:space="0"/>
            <w:bottom w:val="single" w:color="B0C4DE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4" w:type="dxa"/>
            <w:shd w:val="clear" w:color="auto" w:fill="F4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F2537A">
            <w:pPr>
              <w:spacing w:before="0" w:after="0"/>
            </w:pPr>
            <w:r>
              <w:rPr>
                <w:rFonts w:ascii="微软雅黑" w:hAnsi="微软雅黑" w:eastAsia="微软雅黑"/>
              </w:rPr>
              <w:t>09</w:t>
            </w:r>
          </w:p>
        </w:tc>
        <w:tc>
          <w:tcPr>
            <w:tcW w:w="4320" w:type="dxa"/>
            <w:shd w:val="clear" w:color="auto" w:fill="F4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F181A4">
            <w:pPr>
              <w:spacing w:before="0" w:after="0"/>
            </w:pPr>
            <w:r>
              <w:rPr>
                <w:rFonts w:ascii="微软雅黑" w:hAnsi="微软雅黑" w:eastAsia="微软雅黑"/>
              </w:rPr>
              <w:t>投教需求极度实用导向：最想看“未来配置怎么变(31.0%)”与“怎么按退休选(25.5%)”。</w:t>
            </w:r>
          </w:p>
        </w:tc>
        <w:tc>
          <w:tcPr>
            <w:tcW w:w="4421" w:type="dxa"/>
            <w:shd w:val="clear" w:color="auto" w:fill="F4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4A7DAA">
            <w:pPr>
              <w:spacing w:before="0" w:after="0"/>
            </w:pPr>
            <w:r>
              <w:rPr>
                <w:rFonts w:ascii="微软雅黑" w:hAnsi="微软雅黑" w:eastAsia="微软雅黑"/>
              </w:rPr>
              <w:t>放弃课程化大道理，转向场景化“一句话说明 + 资产配置表 + 同龄人举例”。</w:t>
            </w:r>
          </w:p>
        </w:tc>
      </w:tr>
      <w:tr w14:paraId="0BFD7FDA">
        <w:tblPrEx>
          <w:tblBorders>
            <w:top w:val="single" w:color="B0C4DE" w:sz="6" w:space="0"/>
            <w:left w:val="none" w:color="auto" w:sz="0" w:space="0"/>
            <w:bottom w:val="single" w:color="B0C4DE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53D67">
            <w:pPr>
              <w:spacing w:before="0" w:after="0"/>
            </w:pPr>
            <w:r>
              <w:rPr>
                <w:rFonts w:ascii="微软雅黑" w:hAnsi="微软雅黑" w:eastAsia="微软雅黑"/>
              </w:rPr>
              <w:t>10</w:t>
            </w:r>
          </w:p>
        </w:tc>
        <w:tc>
          <w:tcPr>
            <w:tcW w:w="43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592B4C">
            <w:pPr>
              <w:spacing w:before="0" w:after="0"/>
            </w:pPr>
            <w:r>
              <w:rPr>
                <w:rFonts w:ascii="微软雅黑" w:hAnsi="微软雅黑" w:eastAsia="微软雅黑"/>
              </w:rPr>
              <w:t>人群认知有差异但全员皆需优化：熟龄与高经验组认知相对更好，但各群体均存在断层。</w:t>
            </w:r>
          </w:p>
        </w:tc>
        <w:tc>
          <w:tcPr>
            <w:tcW w:w="442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7FB73">
            <w:pPr>
              <w:spacing w:before="0" w:after="0"/>
            </w:pPr>
            <w:r>
              <w:rPr>
                <w:rFonts w:ascii="微软雅黑" w:hAnsi="微软雅黑" w:eastAsia="微软雅黑"/>
              </w:rPr>
              <w:t>策略应为“全员通识改版底座 + 年龄/经验分层文案触达”，切忌机械打标签。</w:t>
            </w:r>
          </w:p>
        </w:tc>
      </w:tr>
    </w:tbl>
    <w:p w14:paraId="1DF610A7"/>
    <w:p w14:paraId="29192425">
      <w:pPr>
        <w:keepNext/>
        <w:spacing w:before="280" w:after="120"/>
      </w:pPr>
      <w:r>
        <w:rPr>
          <w:rFonts w:ascii="微软雅黑" w:hAnsi="微软雅黑" w:eastAsia="微软雅黑"/>
          <w:b/>
          <w:color w:val="2E6B9E"/>
          <w:sz w:val="25"/>
        </w:rPr>
        <w:t>优先推进的三步走方案</w:t>
      </w:r>
    </w:p>
    <w:p w14:paraId="18BE96CB">
      <w:r>
        <w:t>结合本次调查对买前、买中、买后全流程痛点的梳理，建议管理层按以下优先级节奏落地优化：</w:t>
      </w:r>
      <w:r>
        <w:br w:type="textWrapping"/>
      </w:r>
    </w:p>
    <w:p w14:paraId="4AF83BAC">
      <w:pPr>
        <w:spacing w:after="80"/>
        <w:ind w:left="288"/>
      </w:pPr>
      <w:r>
        <w:rPr>
          <w:b/>
          <w:color w:val="1B365D"/>
        </w:rPr>
        <w:t>• 第一步：重构购买前入口（改买前）：</w:t>
      </w:r>
      <w:r>
        <w:t>重写购买前的分类引导与风险边界说明，用一句话搞定品类匹配，消除 71% 投资者感到信息混乱的第一门槛。</w:t>
      </w:r>
    </w:p>
    <w:p w14:paraId="5BE6C722">
      <w:pPr>
        <w:spacing w:after="80"/>
        <w:ind w:left="288"/>
      </w:pPr>
      <w:r>
        <w:rPr>
          <w:b/>
          <w:color w:val="1B365D"/>
        </w:rPr>
        <w:t>• 第二步：建立持仓期入口（补持中）：</w:t>
      </w:r>
      <w:r>
        <w:t>在 APP 持仓详情页增加常驻的“当前配置、未来变化、调仓原因”查看模块，解决 59.5% 投资者的信息查看断档。</w:t>
      </w:r>
    </w:p>
    <w:p w14:paraId="76261163">
      <w:pPr>
        <w:spacing w:after="80"/>
        <w:ind w:left="288"/>
      </w:pPr>
      <w:r>
        <w:rPr>
          <w:b/>
          <w:color w:val="1B365D"/>
        </w:rPr>
        <w:t>• 第三步：实施场景化触达（做陪伴）：</w:t>
      </w:r>
      <w:r>
        <w:t>围绕“首次购买后、配置自动调整时、市场明显下跌时”三大关键节点，推送通俗化的陪伴卡片与归因分析。</w:t>
      </w:r>
    </w:p>
    <w:p w14:paraId="04102DB0">
      <w:pPr>
        <w:rPr>
          <w:rFonts w:ascii="Arial" w:hAnsi="Arial" w:eastAsia="微软雅黑"/>
          <w:b/>
          <w:i w:val="0"/>
          <w:color w:val="183B56"/>
          <w:sz w:val="32"/>
        </w:rPr>
      </w:pPr>
    </w:p>
    <w:p w14:paraId="421F0C21">
      <w:pPr>
        <w:pStyle w:val="3"/>
        <w:keepNext/>
        <w:keepLines w:val="0"/>
        <w:pBdr>
          <w:bottom w:val="single" w:color="B7791F" w:sz="8" w:space="5"/>
        </w:pBdr>
        <w:spacing w:before="280" w:after="140" w:line="252" w:lineRule="auto"/>
      </w:pPr>
      <w:r>
        <w:rPr>
          <w:rFonts w:ascii="Arial" w:hAnsi="Arial" w:eastAsia="微软雅黑"/>
          <w:b/>
          <w:i w:val="0"/>
          <w:color w:val="183B56"/>
          <w:sz w:val="32"/>
        </w:rPr>
        <w:t>目录</w:t>
      </w:r>
    </w:p>
    <w:tbl>
      <w:tblPr>
        <w:tblStyle w:val="32"/>
        <w:tblW w:w="941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835"/>
        <w:gridCol w:w="5726"/>
      </w:tblGrid>
      <w:tr w14:paraId="55FB78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83B56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3215A4D"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章节</w:t>
            </w:r>
          </w:p>
        </w:tc>
        <w:tc>
          <w:tcPr>
            <w:tcW w:w="283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83B56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AC94705"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w="572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83B56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AF3CC06"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读者会看到什么</w:t>
            </w:r>
          </w:p>
        </w:tc>
      </w:tr>
      <w:tr w14:paraId="4DEE7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89DBDA2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总览</w:t>
            </w:r>
          </w:p>
        </w:tc>
        <w:tc>
          <w:tcPr>
            <w:tcW w:w="283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5642645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十项结论与业务启示</w:t>
            </w:r>
          </w:p>
        </w:tc>
        <w:tc>
          <w:tcPr>
            <w:tcW w:w="5726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6BD0570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开宗明义了解发现和行动方向</w:t>
            </w:r>
          </w:p>
        </w:tc>
      </w:tr>
      <w:tr w14:paraId="7818EE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F86FD9C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01</w:t>
            </w:r>
          </w:p>
        </w:tc>
        <w:tc>
          <w:tcPr>
            <w:tcW w:w="283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B48A266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研究目的与方法</w:t>
            </w:r>
          </w:p>
        </w:tc>
        <w:tc>
          <w:tcPr>
            <w:tcW w:w="5726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AA39D74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为什么研究、研究了谁、怎样解释数据</w:t>
            </w:r>
          </w:p>
        </w:tc>
      </w:tr>
      <w:tr w14:paraId="01142C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5113343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02</w:t>
            </w:r>
          </w:p>
        </w:tc>
        <w:tc>
          <w:tcPr>
            <w:tcW w:w="283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ABA8D75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受访者画像</w:t>
            </w:r>
          </w:p>
        </w:tc>
        <w:tc>
          <w:tcPr>
            <w:tcW w:w="5726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758C0BF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年龄、经验、持有状态、账户和画像缺口</w:t>
            </w:r>
          </w:p>
        </w:tc>
      </w:tr>
      <w:tr w14:paraId="08FAFE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AD801DC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03</w:t>
            </w:r>
          </w:p>
        </w:tc>
        <w:tc>
          <w:tcPr>
            <w:tcW w:w="283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A48933F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产品认知</w:t>
            </w:r>
          </w:p>
        </w:tc>
        <w:tc>
          <w:tcPr>
            <w:tcW w:w="5726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777961D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四道知识题到底测了什么、用户哪里容易断档</w:t>
            </w:r>
          </w:p>
        </w:tc>
      </w:tr>
      <w:tr w14:paraId="53E177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A86216B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04</w:t>
            </w:r>
          </w:p>
        </w:tc>
        <w:tc>
          <w:tcPr>
            <w:tcW w:w="283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10E47A5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购买决策</w:t>
            </w:r>
          </w:p>
        </w:tc>
        <w:tc>
          <w:tcPr>
            <w:tcW w:w="5726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67FB17F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看过、比较过、最终影响最大的因素有何不同</w:t>
            </w:r>
          </w:p>
        </w:tc>
      </w:tr>
      <w:tr w14:paraId="56BD2D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681251E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05</w:t>
            </w:r>
          </w:p>
        </w:tc>
        <w:tc>
          <w:tcPr>
            <w:tcW w:w="283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0AF5296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下滑曲线与持有期</w:t>
            </w:r>
          </w:p>
        </w:tc>
        <w:tc>
          <w:tcPr>
            <w:tcW w:w="5726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3BDB276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知晓和使用的差距、信息入口和波动反应</w:t>
            </w:r>
          </w:p>
        </w:tc>
      </w:tr>
      <w:tr w14:paraId="42925B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CF350AE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06</w:t>
            </w:r>
          </w:p>
        </w:tc>
        <w:tc>
          <w:tcPr>
            <w:tcW w:w="283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33DB6C6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人群对比</w:t>
            </w:r>
          </w:p>
        </w:tc>
        <w:tc>
          <w:tcPr>
            <w:tcW w:w="5726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809C82E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年龄、经验等群体的方向差异及显著性判断</w:t>
            </w:r>
          </w:p>
        </w:tc>
      </w:tr>
      <w:tr w14:paraId="5DC906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DE98962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07</w:t>
            </w:r>
          </w:p>
        </w:tc>
        <w:tc>
          <w:tcPr>
            <w:tcW w:w="283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8411283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投资者教育建议</w:t>
            </w:r>
          </w:p>
        </w:tc>
        <w:tc>
          <w:tcPr>
            <w:tcW w:w="5726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B03504B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内容、形式、时点和 IMA 延伸入口</w:t>
            </w:r>
          </w:p>
        </w:tc>
      </w:tr>
      <w:tr w14:paraId="765E60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72F885F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08</w:t>
            </w:r>
          </w:p>
        </w:tc>
        <w:tc>
          <w:tcPr>
            <w:tcW w:w="283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D7CA4B8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行动方案</w:t>
            </w:r>
          </w:p>
        </w:tc>
        <w:tc>
          <w:tcPr>
            <w:tcW w:w="5726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E7DAAFD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购买前、持有期、波动期的具体改进建议</w:t>
            </w:r>
          </w:p>
        </w:tc>
      </w:tr>
      <w:tr w14:paraId="0B6C76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B3B1B52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附录</w:t>
            </w:r>
          </w:p>
        </w:tc>
        <w:tc>
          <w:tcPr>
            <w:tcW w:w="283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E902CA4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数据质量与口径</w:t>
            </w:r>
          </w:p>
        </w:tc>
        <w:tc>
          <w:tcPr>
            <w:tcW w:w="5726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E2D3932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有效性、统计方法、题目定义和研究边界</w:t>
            </w:r>
          </w:p>
        </w:tc>
      </w:tr>
    </w:tbl>
    <w:p w14:paraId="138D1275">
      <w:pPr>
        <w:spacing w:after="20"/>
      </w:pPr>
    </w:p>
    <w:p w14:paraId="49146312">
      <w:r>
        <w:br w:type="page"/>
      </w:r>
    </w:p>
    <w:p w14:paraId="1A0E9B48">
      <w:pPr>
        <w:pStyle w:val="3"/>
        <w:keepNext/>
        <w:keepLines w:val="0"/>
        <w:pBdr>
          <w:bottom w:val="single" w:color="B7791F" w:sz="8" w:space="5"/>
        </w:pBdr>
        <w:spacing w:before="280" w:after="140" w:line="252" w:lineRule="auto"/>
      </w:pPr>
      <w:r>
        <w:rPr>
          <w:rFonts w:ascii="Arial" w:hAnsi="Arial" w:eastAsia="微软雅黑"/>
          <w:b/>
          <w:i w:val="0"/>
          <w:color w:val="183B56"/>
          <w:sz w:val="32"/>
        </w:rPr>
        <w:t>01｜研究目的与方法</w:t>
      </w:r>
    </w:p>
    <w:p w14:paraId="4E76D4B5">
      <w:pPr>
        <w:pStyle w:val="4"/>
        <w:keepNext/>
        <w:keepLines w:val="0"/>
        <w:spacing w:before="160" w:after="80" w:line="252" w:lineRule="auto"/>
      </w:pPr>
      <w:r>
        <w:rPr>
          <w:rFonts w:ascii="Arial" w:hAnsi="Arial" w:eastAsia="微软雅黑"/>
          <w:b/>
          <w:i w:val="0"/>
          <w:color w:val="2878A6"/>
          <w:sz w:val="25"/>
        </w:rPr>
        <w:t>1.1 为什么要做这项研究</w:t>
      </w:r>
    </w:p>
    <w:p w14:paraId="098CED5E">
      <w:pPr>
        <w:keepNext w:val="0"/>
        <w:keepLines w:val="0"/>
        <w:spacing w:before="0" w:after="120" w:line="317" w:lineRule="auto"/>
        <w:jc w:val="both"/>
      </w:pPr>
      <w:r>
        <w:rPr>
          <w:rFonts w:ascii="Arial" w:hAnsi="Arial" w:eastAsia="微软雅黑"/>
          <w:b/>
          <w:i w:val="0"/>
          <w:color w:val="183B56"/>
          <w:sz w:val="20"/>
        </w:rPr>
        <w:t>本次研究关注的不是“有没有人买”，而是购买之后是否形成了稳定的产品判断。</w:t>
      </w:r>
      <w:r>
        <w:rPr>
          <w:rFonts w:ascii="Arial" w:hAnsi="Arial" w:eastAsia="微软雅黑"/>
          <w:b w:val="0"/>
          <w:i w:val="0"/>
          <w:color w:val="20313F"/>
          <w:sz w:val="20"/>
        </w:rPr>
        <w:t>养老目标基金的选择涉及退休年份或风险水平、当前资产配置、未来配置变化以及净值波动。投资者即使已经完成购买，也可能只记住产品名称、品牌或历史表现，没有把这些信息连成完整的判断路径。</w:t>
      </w:r>
    </w:p>
    <w:p w14:paraId="48ECC7EF">
      <w:pPr>
        <w:keepNext w:val="0"/>
        <w:keepLines w:val="0"/>
        <w:spacing w:before="0" w:after="120" w:line="317" w:lineRule="auto"/>
        <w:jc w:val="both"/>
      </w:pPr>
      <w:r>
        <w:rPr>
          <w:rFonts w:ascii="Arial" w:hAnsi="Arial" w:eastAsia="微软雅黑"/>
          <w:b w:val="0"/>
          <w:i w:val="0"/>
          <w:color w:val="20313F"/>
          <w:sz w:val="20"/>
        </w:rPr>
        <w:t>因此，本报告沿着购买前、购买时和持有期三个阶段回答四个问题：投资者为什么购买；是否理解两类产品和下滑曲线；哪些信息真正进入了决策；持有过程中还缺少什么解释与支持。</w:t>
      </w:r>
    </w:p>
    <w:tbl>
      <w:tblPr>
        <w:tblStyle w:val="32"/>
        <w:tblW w:w="941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79F99B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tcBorders>
              <w:top w:val="single" w:color="2878A6" w:sz="8" w:space="0"/>
              <w:left w:val="single" w:color="2878A6" w:sz="8" w:space="0"/>
              <w:bottom w:val="single" w:color="2878A6" w:sz="8" w:space="0"/>
              <w:right w:val="single" w:color="2878A6" w:sz="8" w:space="0"/>
            </w:tcBorders>
            <w:shd w:val="clear" w:color="auto" w:fill="EEF4F6"/>
            <w:tcMar>
              <w:top w:w="140" w:type="dxa"/>
              <w:left w:w="170" w:type="dxa"/>
              <w:bottom w:w="140" w:type="dxa"/>
              <w:right w:w="170" w:type="dxa"/>
            </w:tcMar>
            <w:vAlign w:val="center"/>
          </w:tcPr>
          <w:p w14:paraId="7638A924">
            <w:pPr>
              <w:keepNext w:val="0"/>
              <w:keepLines w:val="0"/>
              <w:spacing w:before="0" w:after="0" w:line="300" w:lineRule="auto"/>
            </w:pPr>
            <w:r>
              <w:rPr>
                <w:rFonts w:ascii="Arial" w:hAnsi="Arial" w:eastAsia="微软雅黑"/>
                <w:b/>
                <w:i w:val="0"/>
                <w:color w:val="2878A6"/>
                <w:sz w:val="20"/>
              </w:rPr>
              <w:t>研究目的</w:t>
            </w:r>
            <w:r>
              <w:rPr>
                <w:rFonts w:ascii="Arial" w:hAnsi="Arial" w:eastAsia="微软雅黑"/>
                <w:b/>
                <w:i w:val="0"/>
                <w:color w:val="2878A6"/>
                <w:sz w:val="20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19"/>
              </w:rPr>
              <w:t>识别购买者在产品理解、决策使用和持有期信息支持上的具体缺口，为产品页面、持有期服务和投资者教育提供改进依据。</w:t>
            </w:r>
          </w:p>
        </w:tc>
      </w:tr>
    </w:tbl>
    <w:p w14:paraId="03E41335">
      <w:pPr>
        <w:spacing w:after="20"/>
      </w:pPr>
    </w:p>
    <w:p w14:paraId="1CBDCFA9">
      <w:pPr>
        <w:pStyle w:val="4"/>
        <w:keepNext/>
        <w:keepLines w:val="0"/>
        <w:spacing w:before="160" w:after="80" w:line="252" w:lineRule="auto"/>
      </w:pPr>
      <w:r>
        <w:rPr>
          <w:rFonts w:ascii="Arial" w:hAnsi="Arial" w:eastAsia="微软雅黑"/>
          <w:b/>
          <w:i w:val="0"/>
          <w:color w:val="2878A6"/>
          <w:sz w:val="25"/>
        </w:rPr>
        <w:t>1.2 研究对象与样本</w:t>
      </w:r>
    </w:p>
    <w:tbl>
      <w:tblPr>
        <w:tblStyle w:val="32"/>
        <w:tblW w:w="941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597"/>
      </w:tblGrid>
      <w:tr w14:paraId="296979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83B56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8BC3424"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w="759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83B56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F3143DA"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本次研究的实际口径</w:t>
            </w:r>
          </w:p>
        </w:tc>
      </w:tr>
      <w:tr w14:paraId="4E479D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A7ABBF7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8"/>
              </w:rPr>
              <w:t>研究对象</w:t>
            </w:r>
          </w:p>
        </w:tc>
        <w:tc>
          <w:tcPr>
            <w:tcW w:w="7597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E5EEB1F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自报目前或过去实际购买过养老目标基金的投资者</w:t>
            </w:r>
          </w:p>
        </w:tc>
      </w:tr>
      <w:tr w14:paraId="4983C2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ECF9B78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8"/>
              </w:rPr>
              <w:t>样本量</w:t>
            </w:r>
          </w:p>
        </w:tc>
        <w:tc>
          <w:tcPr>
            <w:tcW w:w="7597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126BCDB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 xml:space="preserve">回传答卷 </w:t>
            </w:r>
            <w:r>
              <w:rPr>
                <w:rFonts w:ascii="Arial" w:hAnsi="Arial" w:eastAsia="微软雅黑"/>
                <w:b/>
                <w:i w:val="0"/>
                <w:color w:val="183B56"/>
                <w:sz w:val="18"/>
              </w:rPr>
              <w:t>200 份</w:t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 xml:space="preserve">；硬排除 0 份；工作分析样本 </w:t>
            </w:r>
            <w:r>
              <w:rPr>
                <w:rFonts w:ascii="Arial" w:hAnsi="Arial" w:eastAsia="微软雅黑"/>
                <w:b/>
                <w:i w:val="0"/>
                <w:color w:val="183B56"/>
                <w:sz w:val="18"/>
              </w:rPr>
              <w:t>200 份</w:t>
            </w:r>
          </w:p>
        </w:tc>
      </w:tr>
      <w:tr w14:paraId="503956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C8D5BBA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8"/>
              </w:rPr>
              <w:t>研究方式</w:t>
            </w:r>
          </w:p>
        </w:tc>
        <w:tc>
          <w:tcPr>
            <w:tcW w:w="7597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54432D0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结构化在线问卷，覆盖购买、认知、持有、波动与投教需求</w:t>
            </w:r>
          </w:p>
        </w:tc>
      </w:tr>
      <w:tr w14:paraId="5C3D8B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EDCAD58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8"/>
              </w:rPr>
              <w:t>样本限制</w:t>
            </w:r>
          </w:p>
        </w:tc>
        <w:tc>
          <w:tcPr>
            <w:tcW w:w="7597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D14C05E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未提供抽样框、投放渠道明细和总体分布，不能外推为市场总体比例</w:t>
            </w:r>
          </w:p>
        </w:tc>
      </w:tr>
      <w:tr w14:paraId="2BF088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0D1A5BC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8"/>
              </w:rPr>
              <w:t>报告用途</w:t>
            </w:r>
          </w:p>
        </w:tc>
        <w:tc>
          <w:tcPr>
            <w:tcW w:w="7597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88A57A3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内部产品、服务与投资者教育改进；不用于适当性判断或产品推荐</w:t>
            </w:r>
          </w:p>
        </w:tc>
      </w:tr>
    </w:tbl>
    <w:p w14:paraId="34B4F538">
      <w:pPr>
        <w:spacing w:after="20"/>
      </w:pPr>
    </w:p>
    <w:p w14:paraId="32E7056D">
      <w:r>
        <w:br w:type="page"/>
      </w:r>
    </w:p>
    <w:p w14:paraId="204CF0D6">
      <w:pPr>
        <w:pStyle w:val="4"/>
        <w:keepNext/>
        <w:keepLines w:val="0"/>
        <w:spacing w:before="160" w:after="80" w:line="252" w:lineRule="auto"/>
      </w:pPr>
      <w:r>
        <w:rPr>
          <w:rFonts w:ascii="Arial" w:hAnsi="Arial" w:eastAsia="微软雅黑"/>
          <w:b/>
          <w:i w:val="0"/>
          <w:color w:val="2878A6"/>
          <w:sz w:val="25"/>
        </w:rPr>
        <w:t>1.3 知识题测量了什么</w:t>
      </w:r>
    </w:p>
    <w:p w14:paraId="2F31AB4B">
      <w:pPr>
        <w:keepNext w:val="0"/>
        <w:keepLines w:val="0"/>
        <w:spacing w:before="0" w:after="120" w:line="317" w:lineRule="auto"/>
        <w:jc w:val="both"/>
      </w:pPr>
      <w:r>
        <w:rPr>
          <w:rFonts w:hint="eastAsia"/>
          <w:b w:val="0"/>
          <w:i w:val="0"/>
          <w:color w:val="20313F"/>
          <w:sz w:val="20"/>
          <w:lang w:val="en-US" w:eastAsia="zh-CN"/>
        </w:rPr>
        <w:t>我们在问卷中内置了四道知识问答题，意在通过问题测试用户对基金内容的认知程度。其中</w:t>
      </w:r>
      <w:r>
        <w:rPr>
          <w:rFonts w:ascii="Arial" w:hAnsi="Arial" w:eastAsia="微软雅黑"/>
          <w:b w:val="0"/>
          <w:i w:val="0"/>
          <w:color w:val="20313F"/>
          <w:sz w:val="20"/>
        </w:rPr>
        <w:t>“四题全部答对”不是考试及格线，也不等于其余受访者完全不了解产品。它用四道题检验一条基础判断链：先分清目标日期型和目标风险型，再理解下滑曲线表示资产配置路径，最后确认降低高波动资产并不等于保本。</w:t>
      </w:r>
    </w:p>
    <w:tbl>
      <w:tblPr>
        <w:tblStyle w:val="32"/>
        <w:tblW w:w="941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721"/>
        <w:gridCol w:w="5839"/>
      </w:tblGrid>
      <w:tr w14:paraId="6EDA16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83B56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840E74A"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题目</w:t>
            </w:r>
          </w:p>
        </w:tc>
        <w:tc>
          <w:tcPr>
            <w:tcW w:w="272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83B56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E7376E7"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通俗表述</w:t>
            </w:r>
          </w:p>
        </w:tc>
        <w:tc>
          <w:tcPr>
            <w:tcW w:w="583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83B56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C7C20A3"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正确理解</w:t>
            </w:r>
          </w:p>
        </w:tc>
      </w:tr>
      <w:tr w14:paraId="63CF84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4589E80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Q17</w:t>
            </w:r>
          </w:p>
        </w:tc>
        <w:tc>
          <w:tcPr>
            <w:tcW w:w="272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29B4C72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目标日期型怎么选</w:t>
            </w:r>
          </w:p>
        </w:tc>
        <w:tc>
          <w:tcPr>
            <w:tcW w:w="5839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1C42924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主要参考预计退休年份，并可能随目标日期接近调整配置</w:t>
            </w:r>
          </w:p>
        </w:tc>
      </w:tr>
      <w:tr w14:paraId="0D8979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F612CBF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Q18</w:t>
            </w:r>
          </w:p>
        </w:tc>
        <w:tc>
          <w:tcPr>
            <w:tcW w:w="272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3D8C0DF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目标风险型怎么选</w:t>
            </w:r>
          </w:p>
        </w:tc>
        <w:tc>
          <w:tcPr>
            <w:tcW w:w="5839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CB039F8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主要参考预设风险水平，并在策略范围内保持相应风险特征</w:t>
            </w:r>
          </w:p>
        </w:tc>
      </w:tr>
      <w:tr w14:paraId="7D07A3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E1E03F8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Q19</w:t>
            </w:r>
          </w:p>
        </w:tc>
        <w:tc>
          <w:tcPr>
            <w:tcW w:w="272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795261F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下滑曲线是什么</w:t>
            </w:r>
          </w:p>
        </w:tc>
        <w:tc>
          <w:tcPr>
            <w:tcW w:w="5839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A6F4801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说明随着目标日期接近，资产配置可能怎样逐步变化</w:t>
            </w:r>
          </w:p>
        </w:tc>
      </w:tr>
      <w:tr w14:paraId="65F0FB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830BE1B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Q20</w:t>
            </w:r>
          </w:p>
        </w:tc>
        <w:tc>
          <w:tcPr>
            <w:tcW w:w="272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8E6FC74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降低高波动资产意味着什么</w:t>
            </w:r>
          </w:p>
        </w:tc>
        <w:tc>
          <w:tcPr>
            <w:tcW w:w="5839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572651B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仍可能波动或亏损，不代表本金和收益得到保证</w:t>
            </w:r>
          </w:p>
        </w:tc>
      </w:tr>
    </w:tbl>
    <w:p w14:paraId="49456803">
      <w:pPr>
        <w:spacing w:after="20"/>
      </w:pPr>
    </w:p>
    <w:p w14:paraId="7A7EB167">
      <w:r>
        <w:br w:type="page"/>
      </w:r>
    </w:p>
    <w:p w14:paraId="20A95A22">
      <w:pPr>
        <w:pStyle w:val="3"/>
        <w:keepNext/>
        <w:keepLines w:val="0"/>
        <w:pBdr>
          <w:bottom w:val="single" w:color="B7791F" w:sz="8" w:space="5"/>
        </w:pBdr>
        <w:spacing w:before="280" w:after="140" w:line="252" w:lineRule="auto"/>
      </w:pPr>
      <w:r>
        <w:rPr>
          <w:rFonts w:ascii="Arial" w:hAnsi="Arial" w:eastAsia="微软雅黑"/>
          <w:b/>
          <w:i w:val="0"/>
          <w:color w:val="183B56"/>
          <w:sz w:val="32"/>
        </w:rPr>
        <w:t>02｜受访者是一群什么人</w:t>
      </w:r>
    </w:p>
    <w:tbl>
      <w:tblPr>
        <w:tblStyle w:val="32"/>
        <w:tblW w:w="941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3F63C2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tcBorders>
              <w:top w:val="single" w:color="2878A6" w:sz="8" w:space="0"/>
              <w:left w:val="single" w:color="2878A6" w:sz="8" w:space="0"/>
              <w:bottom w:val="single" w:color="2878A6" w:sz="8" w:space="0"/>
              <w:right w:val="single" w:color="2878A6" w:sz="8" w:space="0"/>
            </w:tcBorders>
            <w:shd w:val="clear" w:color="auto" w:fill="EEF4F6"/>
            <w:tcMar>
              <w:top w:w="140" w:type="dxa"/>
              <w:left w:w="170" w:type="dxa"/>
              <w:bottom w:w="140" w:type="dxa"/>
              <w:right w:w="170" w:type="dxa"/>
            </w:tcMar>
            <w:vAlign w:val="center"/>
          </w:tcPr>
          <w:p w14:paraId="73FA6E43">
            <w:r>
              <w:rPr>
                <w:rFonts w:ascii="Arial" w:hAnsi="Arial" w:eastAsia="微软雅黑"/>
                <w:b/>
                <w:i w:val="0"/>
                <w:color w:val="2878A6"/>
                <w:sz w:val="20"/>
              </w:rPr>
              <w:t>样本概况</w:t>
            </w:r>
            <w:r>
              <w:rPr>
                <w:rFonts w:ascii="Arial" w:hAnsi="Arial" w:eastAsia="微软雅黑"/>
                <w:b/>
                <w:i w:val="0"/>
                <w:color w:val="2878A6"/>
                <w:sz w:val="20"/>
              </w:rPr>
              <w:br w:type="textWrapping"/>
            </w:r>
            <w:r>
              <w:t>本次调研覆盖 200 名实际购买过养老目标基金的真实投资者。整体呈现出“中青年为主、具备一定投资经验、七成以上处于持续持仓状态”的成熟理财群体特征。</w:t>
            </w:r>
          </w:p>
        </w:tc>
      </w:tr>
    </w:tbl>
    <w:p w14:paraId="7A374155">
      <w:pPr>
        <w:spacing w:after="20"/>
      </w:pPr>
    </w:p>
    <w:p w14:paraId="212EB492">
      <w:pPr>
        <w:keepNext w:val="0"/>
        <w:keepLines/>
        <w:spacing w:before="40" w:after="60" w:line="240" w:lineRule="auto"/>
        <w:jc w:val="center"/>
      </w:pPr>
      <w:r>
        <w:drawing>
          <wp:inline distT="0" distB="0" distL="114300" distR="114300">
            <wp:extent cx="5831840" cy="2411730"/>
            <wp:effectExtent l="0" t="0" r="6985" b="7620"/>
            <wp:docPr id="2" name="Picture 2" descr="图 2　年龄与基金投资经验分布（Q31、Q32，n=200）。" title="fig01_sample_profile_v0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 2　年龄与基金投资经验分布（Q31、Q32，n=200）。" title="fig01_sample_profile_v0.3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68940">
      <w:pPr>
        <w:keepNext w:val="0"/>
        <w:keepLines/>
        <w:spacing w:before="0" w:after="140" w:line="276" w:lineRule="auto"/>
        <w:jc w:val="center"/>
      </w:pPr>
      <w:r>
        <w:rPr>
          <w:rFonts w:ascii="Arial" w:hAnsi="Arial" w:eastAsia="微软雅黑"/>
          <w:b w:val="0"/>
          <w:i w:val="0"/>
          <w:color w:val="60717D"/>
          <w:sz w:val="16"/>
        </w:rPr>
        <w:t>图 2　年龄与基金投资经验分布（Q31、Q32，n=200）。</w:t>
      </w:r>
    </w:p>
    <w:p w14:paraId="7686ED09">
      <w:pPr>
        <w:keepNext w:val="0"/>
        <w:keepLines w:val="0"/>
        <w:spacing w:before="0" w:after="120" w:line="317" w:lineRule="auto"/>
        <w:jc w:val="both"/>
        <w:rPr>
          <w:rFonts w:ascii="Arial" w:hAnsi="Arial" w:eastAsia="微软雅黑"/>
          <w:b w:val="0"/>
          <w:i w:val="0"/>
          <w:color w:val="20313F"/>
          <w:sz w:val="20"/>
        </w:rPr>
      </w:pPr>
      <w:r>
        <w:rPr>
          <w:rFonts w:hint="eastAsia"/>
          <w:b w:val="0"/>
          <w:bCs/>
          <w:i w:val="0"/>
          <w:color w:val="183B56"/>
          <w:sz w:val="20"/>
          <w:lang w:val="en-US" w:eastAsia="zh-CN"/>
        </w:rPr>
        <w:t>测试人群中，</w:t>
      </w:r>
      <w:r>
        <w:rPr>
          <w:rFonts w:ascii="Arial" w:hAnsi="Arial" w:eastAsia="微软雅黑"/>
          <w:b/>
          <w:i w:val="0"/>
          <w:color w:val="183B56"/>
          <w:sz w:val="20"/>
        </w:rPr>
        <w:t>30—49岁合计占66.5%。</w:t>
      </w:r>
      <w:r>
        <w:rPr>
          <w:rFonts w:ascii="Arial" w:hAnsi="Arial" w:eastAsia="微软雅黑"/>
          <w:b w:val="0"/>
          <w:i w:val="0"/>
          <w:color w:val="20313F"/>
          <w:sz w:val="20"/>
        </w:rPr>
        <w:t>其中40—49岁占35.0%，30—39岁占31.5%。基金投资经验方面，1—3年占40.5%，4年以上合计46.0%。这说明样本并非以完全新手为主，理解缺口也不能简单归因于“没有投资经验”。</w:t>
      </w:r>
    </w:p>
    <w:p w14:paraId="71E0358D">
      <w:pPr>
        <w:keepNext w:val="0"/>
        <w:keepLines w:val="0"/>
        <w:spacing w:before="0" w:after="120" w:line="317" w:lineRule="auto"/>
        <w:jc w:val="both"/>
      </w:pPr>
      <w:r>
        <w:rPr>
          <w:rFonts w:ascii="Arial" w:hAnsi="Arial" w:eastAsia="微软雅黑"/>
          <w:b/>
          <w:i w:val="0"/>
          <w:color w:val="183B56"/>
          <w:sz w:val="32"/>
        </w:rPr>
        <w:t>持有状态、购买账户与时间</w:t>
      </w:r>
    </w:p>
    <w:p w14:paraId="02751862">
      <w:pPr>
        <w:keepNext w:val="0"/>
        <w:keepLines/>
        <w:spacing w:before="40" w:after="60" w:line="240" w:lineRule="auto"/>
        <w:jc w:val="center"/>
      </w:pPr>
      <w:r>
        <w:drawing>
          <wp:inline distT="0" distB="0" distL="114300" distR="114300">
            <wp:extent cx="5831840" cy="1993265"/>
            <wp:effectExtent l="0" t="0" r="6985" b="6985"/>
            <wp:docPr id="3" name="Picture 3" descr="图 3　持有状态、购买账户/份额与最近购买时间（Q1-Q3，n=200）。" title="fig02_sample_status_v0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图 3　持有状态、购买账户/份额与最近购买时间（Q1-Q3，n=200）。" title="fig02_sample_status_v0.3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99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7F9E">
      <w:pPr>
        <w:keepNext w:val="0"/>
        <w:keepLines/>
        <w:spacing w:before="0" w:after="140" w:line="276" w:lineRule="auto"/>
        <w:jc w:val="center"/>
      </w:pPr>
      <w:r>
        <w:rPr>
          <w:rFonts w:ascii="Arial" w:hAnsi="Arial" w:eastAsia="微软雅黑"/>
          <w:b w:val="0"/>
          <w:i w:val="0"/>
          <w:color w:val="60717D"/>
          <w:sz w:val="16"/>
        </w:rPr>
        <w:t>图 3　持有状态、购买账户/份额与最近购买时间（Q1-Q3，n=200）。</w:t>
      </w:r>
    </w:p>
    <w:p w14:paraId="1B8DE92D">
      <w:pPr>
        <w:keepNext w:val="0"/>
        <w:keepLines w:val="0"/>
        <w:spacing w:before="0" w:after="120" w:line="317" w:lineRule="auto"/>
        <w:jc w:val="both"/>
      </w:pPr>
      <w:r>
        <w:rPr>
          <w:rFonts w:ascii="Arial" w:hAnsi="Arial" w:eastAsia="微软雅黑"/>
          <w:b/>
          <w:i w:val="0"/>
          <w:color w:val="183B56"/>
          <w:sz w:val="20"/>
        </w:rPr>
        <w:t>目前仍在持有的受访者占72.0%。</w:t>
      </w:r>
      <w:r>
        <w:rPr>
          <w:rFonts w:ascii="Arial" w:hAnsi="Arial" w:eastAsia="微软雅黑"/>
          <w:b w:val="0"/>
          <w:i w:val="0"/>
          <w:color w:val="20313F"/>
          <w:sz w:val="20"/>
        </w:rPr>
        <w:t>普通基金账户中的A/C份额购买者占43.5%，个人养老金账户中的Y份额购买者占29.0%，两类都买过者占20.0%。最近一次购买发生在3年以前的占38.5%，另有27.5%记不清购买时间。样本既包含近期购买者，也包含经历过较长持有期的人。</w:t>
      </w:r>
    </w:p>
    <w:p w14:paraId="4BF186E0">
      <w:r>
        <w:br w:type="page"/>
      </w:r>
    </w:p>
    <w:p w14:paraId="30663FF9">
      <w:pPr>
        <w:pStyle w:val="3"/>
        <w:keepNext/>
        <w:keepLines w:val="0"/>
        <w:pBdr>
          <w:bottom w:val="single" w:color="B7791F" w:sz="8" w:space="5"/>
        </w:pBdr>
        <w:spacing w:before="280" w:after="140" w:line="252" w:lineRule="auto"/>
      </w:pPr>
      <w:r>
        <w:rPr>
          <w:rFonts w:ascii="Arial" w:hAnsi="Arial" w:eastAsia="微软雅黑"/>
          <w:b/>
          <w:i w:val="0"/>
          <w:color w:val="183B56"/>
          <w:sz w:val="32"/>
        </w:rPr>
        <w:t>03｜产品认知</w:t>
      </w:r>
      <w:r>
        <w:rPr>
          <w:rFonts w:hint="eastAsia" w:ascii="Arial" w:hAnsi="Arial" w:eastAsia="微软雅黑"/>
          <w:b/>
          <w:i w:val="0"/>
          <w:color w:val="183B56"/>
          <w:sz w:val="32"/>
          <w:lang w:val="en-US" w:eastAsia="zh-CN"/>
        </w:rPr>
        <w:t>测试</w:t>
      </w:r>
      <w:r>
        <w:rPr>
          <w:rFonts w:ascii="Arial" w:hAnsi="Arial" w:eastAsia="微软雅黑"/>
          <w:b/>
          <w:i w:val="0"/>
          <w:color w:val="183B56"/>
          <w:sz w:val="32"/>
        </w:rPr>
        <w:t>：单题会答，整体判断仍不稳定</w:t>
      </w:r>
    </w:p>
    <w:p w14:paraId="29D1A7F3">
      <w:pPr>
        <w:keepNext w:val="0"/>
        <w:keepLines/>
        <w:spacing w:before="40" w:after="60" w:line="240" w:lineRule="auto"/>
        <w:jc w:val="center"/>
      </w:pPr>
      <w:r>
        <w:drawing>
          <wp:inline distT="0" distB="0" distL="114300" distR="114300">
            <wp:extent cx="5831840" cy="2386965"/>
            <wp:effectExtent l="0" t="0" r="6985" b="3810"/>
            <wp:docPr id="4" name="Picture 4" descr="图 4　四道核心知识题得分与单题正确率（Q17-Q20，n=200）。" title="fig03_knowledge_v0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图 4　四道核心知识题得分与单题正确率（Q17-Q20，n=200）。" title="fig03_knowledge_v0.3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8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28F9">
      <w:pPr>
        <w:keepNext w:val="0"/>
        <w:keepLines/>
        <w:spacing w:before="0" w:after="140" w:line="276" w:lineRule="auto"/>
        <w:jc w:val="center"/>
      </w:pPr>
      <w:r>
        <w:rPr>
          <w:rFonts w:ascii="Arial" w:hAnsi="Arial" w:eastAsia="微软雅黑"/>
          <w:b w:val="0"/>
          <w:i w:val="0"/>
          <w:color w:val="60717D"/>
          <w:sz w:val="16"/>
        </w:rPr>
        <w:t>图 4　四道核心知识题得分与单题正确率（Q17-Q20，n=200）。</w:t>
      </w:r>
    </w:p>
    <w:p w14:paraId="1A786AFF">
      <w:pPr>
        <w:keepNext w:val="0"/>
        <w:keepLines w:val="0"/>
        <w:spacing w:before="0" w:after="120" w:line="317" w:lineRule="auto"/>
        <w:jc w:val="both"/>
      </w:pPr>
      <w:r>
        <w:rPr>
          <w:rFonts w:ascii="Arial" w:hAnsi="Arial" w:eastAsia="微软雅黑"/>
          <w:b/>
          <w:i w:val="0"/>
          <w:color w:val="183B56"/>
          <w:sz w:val="20"/>
        </w:rPr>
        <w:t>四道题的单题正确率分别为60.0%、61.5%、63.5%和62.0%，</w:t>
      </w:r>
      <w:r>
        <w:rPr>
          <w:rFonts w:ascii="Arial" w:hAnsi="Arial" w:eastAsia="微软雅黑"/>
          <w:b w:val="0"/>
          <w:i w:val="0"/>
          <w:color w:val="20313F"/>
          <w:sz w:val="20"/>
        </w:rPr>
        <w:t>说明受访者对各知识点并非完全陌生。但只有20.0%同时答对四题，另有33.0%答对三题、25.5%答对两题。最需要解决的是知识点之间没有形成稳定连接，而不是简单重复单个定义。</w:t>
      </w:r>
    </w:p>
    <w:p w14:paraId="0C20DBC3">
      <w:pPr>
        <w:pStyle w:val="4"/>
        <w:keepNext/>
        <w:keepLines w:val="0"/>
        <w:spacing w:before="160" w:after="80" w:line="252" w:lineRule="auto"/>
      </w:pPr>
      <w:r>
        <w:rPr>
          <w:rFonts w:ascii="Arial" w:hAnsi="Arial" w:eastAsia="微软雅黑"/>
          <w:b/>
          <w:i w:val="0"/>
          <w:color w:val="2878A6"/>
          <w:sz w:val="25"/>
        </w:rPr>
        <w:t>3.1 两类产品的区别仍是第一道门槛</w:t>
      </w:r>
    </w:p>
    <w:p w14:paraId="6B8E0465">
      <w:pPr>
        <w:keepNext w:val="0"/>
        <w:keepLines w:val="0"/>
        <w:spacing w:before="0" w:after="120" w:line="317" w:lineRule="auto"/>
        <w:jc w:val="both"/>
      </w:pPr>
      <w:r>
        <w:rPr>
          <w:rFonts w:ascii="Arial" w:hAnsi="Arial" w:eastAsia="微软雅黑"/>
          <w:b/>
          <w:i w:val="0"/>
          <w:color w:val="183B56"/>
          <w:sz w:val="20"/>
        </w:rPr>
        <w:t>同时答对目标日期型和目标风险型两题的受访者为39.5%。</w:t>
      </w:r>
      <w:r>
        <w:rPr>
          <w:rFonts w:ascii="Arial" w:hAnsi="Arial" w:eastAsia="微软雅黑"/>
          <w:b w:val="0"/>
          <w:i w:val="0"/>
          <w:color w:val="20313F"/>
          <w:sz w:val="20"/>
        </w:rPr>
        <w:t>这意味着不少人能答对其中一题，却不能稳定地区分两类产品。购买页如果同时出现目标年份、稳健/平衡/积极、业绩和品牌信息，投资者容易抓住熟悉的词，却没有先完成产品类型判断。</w:t>
      </w:r>
    </w:p>
    <w:tbl>
      <w:tblPr>
        <w:tblStyle w:val="32"/>
        <w:tblW w:w="941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01BB23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tcBorders>
              <w:top w:val="single" w:color="2A9D8F" w:sz="8" w:space="0"/>
              <w:left w:val="single" w:color="2A9D8F" w:sz="8" w:space="0"/>
              <w:bottom w:val="single" w:color="2A9D8F" w:sz="8" w:space="0"/>
              <w:right w:val="single" w:color="2A9D8F" w:sz="8" w:space="0"/>
            </w:tcBorders>
            <w:shd w:val="clear" w:color="auto" w:fill="E8F4F1"/>
            <w:tcMar>
              <w:top w:w="140" w:type="dxa"/>
              <w:left w:w="170" w:type="dxa"/>
              <w:bottom w:w="140" w:type="dxa"/>
              <w:right w:w="170" w:type="dxa"/>
            </w:tcMar>
            <w:vAlign w:val="center"/>
          </w:tcPr>
          <w:p w14:paraId="788FBB26">
            <w:pPr>
              <w:keepNext w:val="0"/>
              <w:keepLines w:val="0"/>
              <w:spacing w:before="0" w:after="0" w:line="300" w:lineRule="auto"/>
            </w:pPr>
            <w:r>
              <w:rPr>
                <w:rFonts w:ascii="Arial" w:hAnsi="Arial" w:eastAsia="微软雅黑"/>
                <w:b/>
                <w:i w:val="0"/>
                <w:color w:val="2A9D8F"/>
                <w:sz w:val="20"/>
              </w:rPr>
              <w:t>改进方向</w:t>
            </w:r>
            <w:r>
              <w:rPr>
                <w:rFonts w:ascii="Arial" w:hAnsi="Arial" w:eastAsia="微软雅黑"/>
                <w:b/>
                <w:i w:val="0"/>
                <w:color w:val="2A9D8F"/>
                <w:sz w:val="20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19"/>
              </w:rPr>
              <w:t>先用一句话帮助投资者判断产品类型，再展示相应的选择依据：目标日期型回答“预计何时退休、配置将如何变化”，目标风险型回答“希望长期保持怎样的风险水平”。</w:t>
            </w:r>
          </w:p>
        </w:tc>
      </w:tr>
    </w:tbl>
    <w:p w14:paraId="6A25573E">
      <w:pPr>
        <w:spacing w:after="20"/>
      </w:pPr>
    </w:p>
    <w:p w14:paraId="2765F61E">
      <w:r>
        <w:br w:type="page"/>
      </w:r>
    </w:p>
    <w:p w14:paraId="48A1733C">
      <w:pPr>
        <w:pStyle w:val="3"/>
        <w:keepNext/>
        <w:keepLines w:val="0"/>
        <w:pBdr>
          <w:bottom w:val="single" w:color="B7791F" w:sz="8" w:space="5"/>
        </w:pBdr>
        <w:spacing w:before="280" w:after="140" w:line="252" w:lineRule="auto"/>
      </w:pPr>
      <w:r>
        <w:rPr>
          <w:rFonts w:ascii="Arial" w:hAnsi="Arial" w:eastAsia="微软雅黑"/>
          <w:b/>
          <w:i w:val="0"/>
          <w:color w:val="183B56"/>
          <w:sz w:val="32"/>
        </w:rPr>
        <w:t>04｜购买决策：看过、比较过和最终选择不是一回事</w:t>
      </w:r>
    </w:p>
    <w:p w14:paraId="38EF1EBA">
      <w:pPr>
        <w:keepNext w:val="0"/>
        <w:keepLines/>
        <w:spacing w:before="40" w:after="60" w:line="240" w:lineRule="auto"/>
        <w:jc w:val="center"/>
      </w:pPr>
      <w:r>
        <w:drawing>
          <wp:inline distT="0" distB="0" distL="114300" distR="114300">
            <wp:extent cx="5831840" cy="2892425"/>
            <wp:effectExtent l="0" t="0" r="6985" b="3175"/>
            <wp:docPr id="5" name="Picture 5" descr="图 5　购买前看过、主动比较过和最终影响最大的因素（Q7-Q9，n=200）。Q7、Q8为多选题。" title="fig04_decision_path_v0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图 5　购买前看过、主动比较过和最终影响最大的因素（Q7-Q9，n=200）。Q7、Q8为多选题。" title="fig04_decision_path_v0.3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89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1FB0">
      <w:pPr>
        <w:keepNext w:val="0"/>
        <w:keepLines/>
        <w:spacing w:before="0" w:after="140" w:line="276" w:lineRule="auto"/>
        <w:jc w:val="center"/>
      </w:pPr>
      <w:r>
        <w:rPr>
          <w:rFonts w:ascii="Arial" w:hAnsi="Arial" w:eastAsia="微软雅黑"/>
          <w:b w:val="0"/>
          <w:i w:val="0"/>
          <w:color w:val="60717D"/>
          <w:sz w:val="16"/>
        </w:rPr>
        <w:t>图 5　购买前看过、主动比较过和最终影响最大的因素（Q7-Q9，n=200）。Q7、Q8为多选题。</w:t>
      </w:r>
    </w:p>
    <w:p w14:paraId="39BA01E0">
      <w:pPr>
        <w:keepNext w:val="0"/>
        <w:keepLines w:val="0"/>
        <w:spacing w:before="0" w:after="120" w:line="317" w:lineRule="auto"/>
        <w:jc w:val="both"/>
      </w:pPr>
      <w:r>
        <w:rPr>
          <w:rFonts w:hint="eastAsia"/>
          <w:b/>
          <w:i w:val="0"/>
          <w:color w:val="183B56"/>
          <w:sz w:val="20"/>
          <w:lang w:val="en-US" w:eastAsia="zh-CN"/>
        </w:rPr>
        <w:t>在用户选择养老目标基金时，</w:t>
      </w:r>
      <w:r>
        <w:rPr>
          <w:rFonts w:ascii="Arial" w:hAnsi="Arial" w:eastAsia="微软雅黑"/>
          <w:b/>
          <w:i w:val="0"/>
          <w:color w:val="183B56"/>
          <w:sz w:val="20"/>
        </w:rPr>
        <w:t>退休年份、风险类型和历史业绩是购买前最常被查看和比较的信息。</w:t>
      </w:r>
      <w:r>
        <w:rPr>
          <w:rFonts w:ascii="Arial" w:hAnsi="Arial" w:eastAsia="微软雅黑"/>
          <w:b w:val="0"/>
          <w:i w:val="0"/>
          <w:color w:val="20313F"/>
          <w:sz w:val="20"/>
        </w:rPr>
        <w:t>到了“最终影响最大”这一问，风险类型以20.5%排在首位，高于历史业绩13.0%和退休年份11.0%。这说明吸引注意的信息和帮助做出决定的信息并不相同。</w:t>
      </w:r>
    </w:p>
    <w:p w14:paraId="4F28BF8C">
      <w:pPr>
        <w:pStyle w:val="4"/>
        <w:keepNext/>
        <w:keepLines w:val="0"/>
        <w:spacing w:before="160" w:after="80" w:line="252" w:lineRule="auto"/>
      </w:pPr>
      <w:r>
        <w:rPr>
          <w:rFonts w:ascii="Arial" w:hAnsi="Arial" w:eastAsia="微软雅黑"/>
          <w:b/>
          <w:i w:val="0"/>
          <w:color w:val="2878A6"/>
          <w:sz w:val="25"/>
        </w:rPr>
        <w:t>4.1 决策信息应按阶段安排</w:t>
      </w:r>
    </w:p>
    <w:tbl>
      <w:tblPr>
        <w:tblStyle w:val="32"/>
        <w:tblW w:w="941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685"/>
        <w:gridCol w:w="4025"/>
      </w:tblGrid>
      <w:tr w14:paraId="7C6B6D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83B56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99269AF"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w="368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83B56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7D5628B"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受访者表现</w:t>
            </w:r>
          </w:p>
        </w:tc>
        <w:tc>
          <w:tcPr>
            <w:tcW w:w="402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83B56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61A81B9"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信息设计重点</w:t>
            </w:r>
          </w:p>
        </w:tc>
      </w:tr>
      <w:tr w14:paraId="247571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7D491B4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第一次接触</w:t>
            </w:r>
          </w:p>
        </w:tc>
        <w:tc>
          <w:tcPr>
            <w:tcW w:w="368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EF5D6F6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名称、目标年份、风险类型、业绩较容易被看到</w:t>
            </w:r>
          </w:p>
        </w:tc>
        <w:tc>
          <w:tcPr>
            <w:tcW w:w="402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48F7C2A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先建立产品类型和适用场景</w:t>
            </w:r>
          </w:p>
        </w:tc>
      </w:tr>
      <w:tr w14:paraId="7E0046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7E17EB7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主动比较</w:t>
            </w:r>
          </w:p>
        </w:tc>
        <w:tc>
          <w:tcPr>
            <w:tcW w:w="368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3FD69A6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退休年份</w:t>
            </w:r>
            <w:r>
              <w:rPr>
                <w:rFonts w:ascii="Arial" w:hAnsi="Arial" w:eastAsia="微软雅黑"/>
                <w:b/>
                <w:i w:val="0"/>
                <w:color w:val="183B56"/>
                <w:sz w:val="17"/>
              </w:rPr>
              <w:t>43.5%</w:t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、风险类型</w:t>
            </w:r>
            <w:r>
              <w:rPr>
                <w:rFonts w:ascii="Arial" w:hAnsi="Arial" w:eastAsia="微软雅黑"/>
                <w:b/>
                <w:i w:val="0"/>
                <w:color w:val="183B56"/>
                <w:sz w:val="17"/>
              </w:rPr>
              <w:t>40.0%</w:t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、业绩</w:t>
            </w:r>
            <w:r>
              <w:rPr>
                <w:rFonts w:ascii="Arial" w:hAnsi="Arial" w:eastAsia="微软雅黑"/>
                <w:b/>
                <w:i w:val="0"/>
                <w:color w:val="183B56"/>
                <w:sz w:val="17"/>
              </w:rPr>
              <w:t>37.5%</w:t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较突出</w:t>
            </w:r>
          </w:p>
        </w:tc>
        <w:tc>
          <w:tcPr>
            <w:tcW w:w="402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C1C9CBC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提供可并列比较的匹配信息</w:t>
            </w:r>
          </w:p>
        </w:tc>
      </w:tr>
      <w:tr w14:paraId="296744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CC41D5B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最终判断</w:t>
            </w:r>
          </w:p>
        </w:tc>
        <w:tc>
          <w:tcPr>
            <w:tcW w:w="368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651B7F6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风险类型</w:t>
            </w:r>
            <w:r>
              <w:rPr>
                <w:rFonts w:ascii="Arial" w:hAnsi="Arial" w:eastAsia="微软雅黑"/>
                <w:b/>
                <w:i w:val="0"/>
                <w:color w:val="183B56"/>
                <w:sz w:val="17"/>
              </w:rPr>
              <w:t>20.5%</w:t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居首，其他因素更分散</w:t>
            </w:r>
          </w:p>
        </w:tc>
        <w:tc>
          <w:tcPr>
            <w:tcW w:w="402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01CA147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把风险类型、退休安排和风险边界放在决策位置</w:t>
            </w:r>
          </w:p>
        </w:tc>
      </w:tr>
    </w:tbl>
    <w:p w14:paraId="5E50F914">
      <w:pPr>
        <w:spacing w:after="20"/>
      </w:pPr>
    </w:p>
    <w:p w14:paraId="7C7C0DF9">
      <w:r>
        <w:br w:type="page"/>
      </w:r>
    </w:p>
    <w:p w14:paraId="42C423D3">
      <w:pPr>
        <w:pStyle w:val="3"/>
        <w:keepNext/>
        <w:keepLines w:val="0"/>
        <w:pBdr>
          <w:bottom w:val="single" w:color="B7791F" w:sz="8" w:space="5"/>
        </w:pBdr>
        <w:spacing w:before="280" w:after="140" w:line="252" w:lineRule="auto"/>
      </w:pPr>
      <w:r>
        <w:rPr>
          <w:rFonts w:ascii="Arial" w:hAnsi="Arial" w:eastAsia="微软雅黑"/>
          <w:b/>
          <w:i w:val="0"/>
          <w:color w:val="183B56"/>
          <w:sz w:val="32"/>
        </w:rPr>
        <w:t>05｜下滑曲线</w:t>
      </w:r>
      <w:r>
        <w:rPr>
          <w:rFonts w:hint="eastAsia" w:ascii="Arial" w:hAnsi="Arial" w:eastAsia="微软雅黑"/>
          <w:b/>
          <w:i w:val="0"/>
          <w:color w:val="183B56"/>
          <w:sz w:val="32"/>
          <w:lang w:val="en-US" w:eastAsia="zh-CN"/>
        </w:rPr>
        <w:t>认知</w:t>
      </w:r>
      <w:r>
        <w:rPr>
          <w:rFonts w:ascii="Arial" w:hAnsi="Arial" w:eastAsia="微软雅黑"/>
          <w:b/>
          <w:i w:val="0"/>
          <w:color w:val="183B56"/>
          <w:sz w:val="32"/>
        </w:rPr>
        <w:t>：知晓度高，主动使用率低</w:t>
      </w:r>
    </w:p>
    <w:p w14:paraId="15912C7E">
      <w:pPr>
        <w:keepNext w:val="0"/>
        <w:keepLines/>
        <w:spacing w:before="40" w:after="60" w:line="240" w:lineRule="auto"/>
        <w:jc w:val="center"/>
      </w:pPr>
      <w:r>
        <w:drawing>
          <wp:inline distT="0" distB="0" distL="114300" distR="114300">
            <wp:extent cx="5831840" cy="2178050"/>
            <wp:effectExtent l="0" t="0" r="6985" b="3175"/>
            <wp:docPr id="6" name="Picture 6" descr="图 6　下滑曲线的知晓、查看、主动比较和再次查看（Q8、Q13-Q15，n=200）。四项指标不构成漏斗。" title="fig05_glide_path_v0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图 6　下滑曲线的知晓、查看、主动比较和再次查看（Q8、Q13-Q15，n=200）。四项指标不构成漏斗。" title="fig05_glide_path_v0.3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17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E3BE">
      <w:pPr>
        <w:keepNext w:val="0"/>
        <w:keepLines/>
        <w:spacing w:before="0" w:after="140" w:line="276" w:lineRule="auto"/>
        <w:jc w:val="center"/>
      </w:pPr>
      <w:r>
        <w:rPr>
          <w:rFonts w:ascii="Arial" w:hAnsi="Arial" w:eastAsia="微软雅黑"/>
          <w:b w:val="0"/>
          <w:i w:val="0"/>
          <w:color w:val="60717D"/>
          <w:sz w:val="16"/>
        </w:rPr>
        <w:t>图 6　下滑曲线的知晓、查看、主动比较和再次查看（Q8、Q13-Q15，n=200）。四项指标不构成漏斗。</w:t>
      </w:r>
    </w:p>
    <w:p w14:paraId="5C12EF4D">
      <w:pPr>
        <w:keepNext w:val="0"/>
        <w:keepLines w:val="0"/>
        <w:spacing w:before="0" w:after="120" w:line="317" w:lineRule="auto"/>
        <w:jc w:val="both"/>
      </w:pPr>
      <w:r>
        <w:rPr>
          <w:rFonts w:hint="eastAsia"/>
          <w:b/>
          <w:i w:val="0"/>
          <w:color w:val="183B56"/>
          <w:sz w:val="20"/>
          <w:lang w:val="en-US" w:eastAsia="zh-CN"/>
        </w:rPr>
        <w:t>在调研用户中，有</w:t>
      </w:r>
      <w:r>
        <w:rPr>
          <w:rFonts w:ascii="Arial" w:hAnsi="Arial" w:eastAsia="微软雅黑"/>
          <w:b/>
          <w:i w:val="0"/>
          <w:color w:val="183B56"/>
          <w:sz w:val="20"/>
        </w:rPr>
        <w:t>62.5%听说过下滑曲线，44.0%表示购买前认真或大致看过，</w:t>
      </w:r>
      <w:r>
        <w:rPr>
          <w:rFonts w:ascii="Arial" w:hAnsi="Arial" w:eastAsia="微软雅黑"/>
          <w:b w:val="0"/>
          <w:i w:val="0"/>
          <w:color w:val="20313F"/>
          <w:sz w:val="20"/>
        </w:rPr>
        <w:t>但在无提示的购买前比较题中，只有3.5%主动选择“下滑曲线或未来配置调整方式”。购买后再次查看过的为30.0%。可见，“听过术语”和“在决策中使用”之间存在很大距离。</w:t>
      </w:r>
    </w:p>
    <w:p w14:paraId="6B998CF4">
      <w:pPr>
        <w:pStyle w:val="4"/>
        <w:keepNext/>
        <w:keepLines w:val="0"/>
        <w:spacing w:before="160" w:after="80" w:line="252" w:lineRule="auto"/>
        <w:rPr>
          <w:rFonts w:hint="default" w:eastAsia="微软雅黑"/>
          <w:lang w:val="en-US" w:eastAsia="zh-CN"/>
        </w:rPr>
      </w:pPr>
      <w:r>
        <w:rPr>
          <w:rFonts w:ascii="Arial" w:hAnsi="Arial" w:eastAsia="微软雅黑"/>
          <w:b/>
          <w:i w:val="0"/>
          <w:color w:val="2878A6"/>
          <w:sz w:val="25"/>
        </w:rPr>
        <w:t xml:space="preserve">5.1 </w:t>
      </w:r>
      <w:r>
        <w:rPr>
          <w:rFonts w:hint="eastAsia" w:ascii="Arial" w:hAnsi="Arial" w:eastAsia="微软雅黑"/>
          <w:b/>
          <w:i w:val="0"/>
          <w:color w:val="2878A6"/>
          <w:sz w:val="25"/>
          <w:lang w:val="en-US" w:eastAsia="zh-CN"/>
        </w:rPr>
        <w:t>大部分基金持有者并不会主动选择比较下滑曲线</w:t>
      </w:r>
    </w:p>
    <w:p w14:paraId="793374C0">
      <w:pPr>
        <w:keepNext w:val="0"/>
        <w:keepLines w:val="0"/>
        <w:spacing w:before="0" w:after="120" w:line="317" w:lineRule="auto"/>
        <w:jc w:val="both"/>
      </w:pPr>
      <w:r>
        <w:rPr>
          <w:rFonts w:ascii="Arial" w:hAnsi="Arial" w:eastAsia="微软雅黑"/>
          <w:b w:val="0"/>
          <w:i w:val="0"/>
          <w:color w:val="20313F"/>
          <w:sz w:val="20"/>
        </w:rPr>
        <w:t>在题目直接提示“下滑曲线或资产配置调整方式”后，51.0%的受访者回忆</w:t>
      </w:r>
      <w:r>
        <w:rPr>
          <w:rFonts w:hint="eastAsia"/>
          <w:b w:val="0"/>
          <w:i w:val="0"/>
          <w:color w:val="20313F"/>
          <w:sz w:val="20"/>
          <w:lang w:val="en-US" w:eastAsia="zh-CN"/>
        </w:rPr>
        <w:t>下滑曲线</w:t>
      </w:r>
      <w:r>
        <w:rPr>
          <w:rFonts w:ascii="Arial" w:hAnsi="Arial" w:eastAsia="微软雅黑"/>
          <w:b w:val="0"/>
          <w:i w:val="0"/>
          <w:color w:val="20313F"/>
          <w:sz w:val="20"/>
        </w:rPr>
        <w:t>曾影响购买、类型或持有决定。但这部分人中，95.1%没有在此前无提示的比较题中主动选择下滑曲线。更稳妥的解释是：提示后，受访者认为它与自己的决定有关；这不等于购买时已经主动使用。</w:t>
      </w:r>
    </w:p>
    <w:tbl>
      <w:tblPr>
        <w:tblStyle w:val="32"/>
        <w:tblW w:w="941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2DD1DF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tcBorders>
              <w:top w:val="single" w:color="2A9D8F" w:sz="8" w:space="0"/>
              <w:left w:val="single" w:color="2A9D8F" w:sz="8" w:space="0"/>
              <w:bottom w:val="single" w:color="2A9D8F" w:sz="8" w:space="0"/>
              <w:right w:val="single" w:color="2A9D8F" w:sz="8" w:space="0"/>
            </w:tcBorders>
            <w:shd w:val="clear" w:color="auto" w:fill="E8F4F1"/>
            <w:tcMar>
              <w:top w:w="140" w:type="dxa"/>
              <w:left w:w="170" w:type="dxa"/>
              <w:bottom w:w="140" w:type="dxa"/>
              <w:right w:w="170" w:type="dxa"/>
            </w:tcMar>
            <w:vAlign w:val="center"/>
          </w:tcPr>
          <w:p w14:paraId="1DC3274D">
            <w:pPr>
              <w:keepNext w:val="0"/>
              <w:keepLines w:val="0"/>
              <w:spacing w:before="0" w:after="0" w:line="300" w:lineRule="auto"/>
            </w:pPr>
            <w:r>
              <w:rPr>
                <w:rFonts w:ascii="Arial" w:hAnsi="Arial" w:eastAsia="微软雅黑"/>
                <w:b/>
                <w:i w:val="0"/>
                <w:color w:val="2A9D8F"/>
                <w:sz w:val="20"/>
              </w:rPr>
              <w:t>产品设计</w:t>
            </w:r>
            <w:r>
              <w:rPr>
                <w:rFonts w:hint="eastAsia"/>
                <w:b/>
                <w:i w:val="0"/>
                <w:color w:val="2A9D8F"/>
                <w:sz w:val="20"/>
                <w:lang w:val="en-US" w:eastAsia="zh-CN"/>
              </w:rPr>
              <w:t>提示</w:t>
            </w:r>
            <w:r>
              <w:rPr>
                <w:rFonts w:ascii="Arial" w:hAnsi="Arial" w:eastAsia="微软雅黑"/>
                <w:b/>
                <w:i w:val="0"/>
                <w:color w:val="2A9D8F"/>
                <w:sz w:val="20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19"/>
              </w:rPr>
              <w:t>不要只增加“什么是下滑曲线”的说明。更有效的材料应直接回答：我现在持有什么配置、未来会怎样变化、为什么要变化、变化后仍有哪些风险。</w:t>
            </w:r>
          </w:p>
        </w:tc>
      </w:tr>
    </w:tbl>
    <w:p w14:paraId="511D0702">
      <w:pPr>
        <w:spacing w:after="20"/>
      </w:pPr>
    </w:p>
    <w:p w14:paraId="079B0A55">
      <w:r>
        <w:br w:type="page"/>
      </w:r>
    </w:p>
    <w:p w14:paraId="172A5505">
      <w:pPr>
        <w:pStyle w:val="3"/>
        <w:keepNext/>
        <w:keepLines w:val="0"/>
        <w:pBdr>
          <w:bottom w:val="single" w:color="B7791F" w:sz="8" w:space="5"/>
        </w:pBdr>
        <w:spacing w:before="280" w:after="140" w:line="252" w:lineRule="auto"/>
      </w:pPr>
      <w:r>
        <w:rPr>
          <w:rFonts w:ascii="Arial" w:hAnsi="Arial" w:eastAsia="微软雅黑"/>
          <w:b/>
          <w:i w:val="0"/>
          <w:color w:val="183B56"/>
          <w:sz w:val="32"/>
        </w:rPr>
        <w:t>购买前和持有期都存在信息缺口</w:t>
      </w:r>
    </w:p>
    <w:p w14:paraId="23D9A57F">
      <w:pPr>
        <w:keepNext w:val="0"/>
        <w:keepLines/>
        <w:spacing w:before="40" w:after="60" w:line="240" w:lineRule="auto"/>
        <w:jc w:val="center"/>
      </w:pPr>
      <w:r>
        <w:drawing>
          <wp:inline distT="0" distB="0" distL="114300" distR="114300">
            <wp:extent cx="5831840" cy="2274570"/>
            <wp:effectExtent l="0" t="0" r="6985" b="1905"/>
            <wp:docPr id="7" name="Picture 7" descr="图 7　购买前信息清晰度与购买后再次查看情况（Q9A、Q15，n=200）。" title="fig06_information_gap_v0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图 7　购买前信息清晰度与购买后再次查看情况（Q9A、Q15，n=200）。" title="fig06_information_gap_v0.3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7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41B19">
      <w:pPr>
        <w:keepNext w:val="0"/>
        <w:keepLines/>
        <w:spacing w:before="0" w:after="140" w:line="276" w:lineRule="auto"/>
        <w:jc w:val="center"/>
      </w:pPr>
      <w:r>
        <w:rPr>
          <w:rFonts w:ascii="Arial" w:hAnsi="Arial" w:eastAsia="微软雅黑"/>
          <w:b w:val="0"/>
          <w:i w:val="0"/>
          <w:color w:val="60717D"/>
          <w:sz w:val="16"/>
        </w:rPr>
        <w:t>图 7　购买前信息清晰度与购买后再次查看情况（Q9A、Q15，n=200）。</w:t>
      </w:r>
    </w:p>
    <w:p w14:paraId="2B13B00C">
      <w:pPr>
        <w:keepNext w:val="0"/>
        <w:keepLines w:val="0"/>
        <w:spacing w:before="0" w:after="120" w:line="317" w:lineRule="auto"/>
        <w:jc w:val="both"/>
      </w:pPr>
      <w:r>
        <w:rPr>
          <w:rFonts w:hint="eastAsia"/>
          <w:b w:val="0"/>
          <w:bCs/>
          <w:i w:val="0"/>
          <w:color w:val="183B56"/>
          <w:sz w:val="20"/>
          <w:lang w:val="en-US" w:eastAsia="zh-CN"/>
        </w:rPr>
        <w:t>在调研用户购买前的信息认知程度时，</w:t>
      </w:r>
      <w:r>
        <w:rPr>
          <w:rFonts w:ascii="Arial" w:hAnsi="Arial" w:eastAsia="微软雅黑"/>
          <w:b/>
          <w:i w:val="0"/>
          <w:color w:val="183B56"/>
          <w:sz w:val="20"/>
        </w:rPr>
        <w:t>只有29.0%认为购买前信息比较或非常清楚，</w:t>
      </w:r>
      <w:r>
        <w:rPr>
          <w:rFonts w:ascii="Arial" w:hAnsi="Arial" w:eastAsia="微软雅黑"/>
          <w:b w:val="0"/>
          <w:i w:val="0"/>
          <w:color w:val="20313F"/>
          <w:sz w:val="20"/>
        </w:rPr>
        <w:t>38.0%认为一般，27.0%认为比较或非常不清楚。购买以后，42.5%没有再次查看配置变化，17.0%想看但不知道在哪里看，两者合计59.5%。</w:t>
      </w:r>
    </w:p>
    <w:p w14:paraId="5EA2336E">
      <w:pPr>
        <w:keepNext w:val="0"/>
        <w:keepLines w:val="0"/>
        <w:spacing w:before="0" w:after="120" w:line="317" w:lineRule="auto"/>
        <w:jc w:val="both"/>
      </w:pPr>
      <w:r>
        <w:rPr>
          <w:rFonts w:hint="eastAsia"/>
          <w:b w:val="0"/>
          <w:i w:val="0"/>
          <w:color w:val="20313F"/>
          <w:sz w:val="20"/>
          <w:lang w:val="en-US" w:eastAsia="zh-CN"/>
        </w:rPr>
        <w:t>而在持有期中</w:t>
      </w:r>
      <w:r>
        <w:rPr>
          <w:rFonts w:hint="eastAsia"/>
          <w:b/>
          <w:bCs/>
          <w:i w:val="0"/>
          <w:color w:val="20313F"/>
          <w:sz w:val="20"/>
          <w:lang w:val="en-US" w:eastAsia="zh-CN"/>
        </w:rPr>
        <w:t>：</w:t>
      </w:r>
      <w:r>
        <w:rPr>
          <w:rFonts w:ascii="Arial" w:hAnsi="Arial" w:eastAsia="微软雅黑"/>
          <w:b/>
          <w:bCs/>
          <w:i w:val="0"/>
          <w:color w:val="20313F"/>
          <w:sz w:val="20"/>
        </w:rPr>
        <w:t>67.0%</w:t>
      </w:r>
      <w:r>
        <w:rPr>
          <w:rFonts w:hint="eastAsia"/>
          <w:b/>
          <w:bCs/>
          <w:i w:val="0"/>
          <w:color w:val="20313F"/>
          <w:sz w:val="20"/>
          <w:lang w:val="en-US" w:eastAsia="zh-CN"/>
        </w:rPr>
        <w:t>的基民</w:t>
      </w:r>
      <w:r>
        <w:rPr>
          <w:rFonts w:ascii="Arial" w:hAnsi="Arial" w:eastAsia="微软雅黑"/>
          <w:b/>
          <w:bCs/>
          <w:i w:val="0"/>
          <w:color w:val="20313F"/>
          <w:sz w:val="20"/>
        </w:rPr>
        <w:t>选择定期、偶尔或市场波动时查看</w:t>
      </w:r>
      <w:bookmarkStart w:id="0" w:name="_GoBack"/>
      <w:bookmarkEnd w:id="0"/>
      <w:r>
        <w:rPr>
          <w:rFonts w:ascii="Arial" w:hAnsi="Arial" w:eastAsia="微软雅黑"/>
          <w:b/>
          <w:bCs/>
          <w:i w:val="0"/>
          <w:color w:val="20313F"/>
          <w:sz w:val="20"/>
        </w:rPr>
        <w:t>。</w:t>
      </w:r>
      <w:r>
        <w:rPr>
          <w:rFonts w:ascii="Arial" w:hAnsi="Arial" w:eastAsia="微软雅黑"/>
          <w:b w:val="0"/>
          <w:i w:val="0"/>
          <w:color w:val="20313F"/>
          <w:sz w:val="20"/>
        </w:rPr>
        <w:t>两题措辞不同，回答也不同：投资者可能会查看一般资产配置，却没有再次查看具体的下滑曲线说明。这种差异提示我们，信息入口和概念命名本身会影响回答，报告不把两个指标合并。</w:t>
      </w:r>
    </w:p>
    <w:p w14:paraId="295A443F">
      <w:r>
        <w:br w:type="page"/>
      </w:r>
    </w:p>
    <w:p w14:paraId="785445D8">
      <w:pPr>
        <w:pStyle w:val="3"/>
        <w:keepNext/>
        <w:keepLines w:val="0"/>
        <w:pBdr>
          <w:bottom w:val="single" w:color="B7791F" w:sz="8" w:space="5"/>
        </w:pBdr>
        <w:spacing w:before="280" w:after="140" w:line="252" w:lineRule="auto"/>
      </w:pPr>
      <w:r>
        <w:rPr>
          <w:rFonts w:ascii="Arial" w:hAnsi="Arial" w:eastAsia="微软雅黑"/>
          <w:b/>
          <w:i w:val="0"/>
          <w:color w:val="183B56"/>
          <w:sz w:val="32"/>
        </w:rPr>
        <w:t>市场波动时：长期认同与短期焦虑同时存在</w:t>
      </w:r>
    </w:p>
    <w:p w14:paraId="1A3EEC68">
      <w:pPr>
        <w:keepNext w:val="0"/>
        <w:keepLines/>
        <w:spacing w:before="40" w:after="60" w:line="240" w:lineRule="auto"/>
        <w:jc w:val="center"/>
      </w:pPr>
      <w:r>
        <w:drawing>
          <wp:inline distT="0" distB="0" distL="114300" distR="114300">
            <wp:extent cx="5831840" cy="2273935"/>
            <wp:effectExtent l="0" t="0" r="6985" b="2540"/>
            <wp:docPr id="8" name="Picture 8" descr="图 8　经历明显下跌者的长期认同与焦虑回答信号（Q23，n=157；多选题）。" title="fig07_holding_tension_v0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图 8　经历明显下跌者的长期认同与焦虑回答信号（Q23，n=157；多选题）。" title="fig07_holding_tension_v0.3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7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8788">
      <w:pPr>
        <w:keepNext w:val="0"/>
        <w:keepLines/>
        <w:spacing w:before="0" w:after="140" w:line="276" w:lineRule="auto"/>
        <w:jc w:val="center"/>
      </w:pPr>
      <w:r>
        <w:rPr>
          <w:rFonts w:ascii="Arial" w:hAnsi="Arial" w:eastAsia="微软雅黑"/>
          <w:b w:val="0"/>
          <w:i w:val="0"/>
          <w:color w:val="60717D"/>
          <w:sz w:val="16"/>
        </w:rPr>
        <w:t>图 8　经历明显下跌者的长期认同与焦虑回答信号（Q23，n=157；多选题）。</w:t>
      </w:r>
    </w:p>
    <w:p w14:paraId="51165097">
      <w:pPr>
        <w:keepNext w:val="0"/>
        <w:keepLines w:val="0"/>
        <w:spacing w:before="0" w:after="120" w:line="317" w:lineRule="auto"/>
        <w:jc w:val="both"/>
      </w:pPr>
      <w:r>
        <w:rPr>
          <w:rFonts w:ascii="Arial" w:hAnsi="Arial" w:eastAsia="微软雅黑"/>
          <w:b/>
          <w:i w:val="0"/>
          <w:color w:val="183B56"/>
          <w:sz w:val="20"/>
        </w:rPr>
        <w:t>经历明显下跌的157人中，65.0%出现长期认同信号，45.2%出现焦虑信号，22.3%两类信号同时出现。</w:t>
      </w:r>
      <w:r>
        <w:rPr>
          <w:rFonts w:ascii="Arial" w:hAnsi="Arial" w:eastAsia="微软雅黑"/>
          <w:b w:val="0"/>
          <w:i w:val="0"/>
          <w:color w:val="20313F"/>
          <w:sz w:val="20"/>
        </w:rPr>
        <w:t>这不是态度矛盾。一个人可以相信养老投资应长期持有，同时担心短期亏损、不了解下跌原因，或不知道产品是否仍适合自己的退休安排。</w:t>
      </w:r>
    </w:p>
    <w:tbl>
      <w:tblPr>
        <w:tblStyle w:val="32"/>
        <w:tblW w:w="941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009"/>
      </w:tblGrid>
      <w:tr w14:paraId="3C01DA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83B56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86FE05E"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波动期用户问题</w:t>
            </w:r>
          </w:p>
        </w:tc>
        <w:tc>
          <w:tcPr>
            <w:tcW w:w="600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83B56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5D342E6"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沟通应回答什么</w:t>
            </w:r>
          </w:p>
        </w:tc>
      </w:tr>
      <w:tr w14:paraId="691647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7D10400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为什么下跌</w:t>
            </w:r>
          </w:p>
        </w:tc>
        <w:tc>
          <w:tcPr>
            <w:tcW w:w="6009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F94DF6E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说明主要风险来源和当前资产配置，不回避净值波动</w:t>
            </w:r>
          </w:p>
        </w:tc>
      </w:tr>
      <w:tr w14:paraId="7C9542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5658EC9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产品还适合我吗</w:t>
            </w:r>
          </w:p>
        </w:tc>
        <w:tc>
          <w:tcPr>
            <w:tcW w:w="6009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E61AFA0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回到退休年份或风险类型，帮助检查匹配关系</w:t>
            </w:r>
          </w:p>
        </w:tc>
      </w:tr>
      <w:tr w14:paraId="6390DE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954B9E4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未来会怎样调整</w:t>
            </w:r>
          </w:p>
        </w:tc>
        <w:tc>
          <w:tcPr>
            <w:tcW w:w="6009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6BB6C1B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展示配置路径和下一步调整逻辑</w:t>
            </w:r>
          </w:p>
        </w:tc>
      </w:tr>
      <w:tr w14:paraId="1F0052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5749E81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现在是否应该操作</w:t>
            </w:r>
          </w:p>
        </w:tc>
        <w:tc>
          <w:tcPr>
            <w:tcW w:w="6009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5597DF8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提供信息和风险提示，不替代投资者作出交易决定</w:t>
            </w:r>
          </w:p>
        </w:tc>
      </w:tr>
    </w:tbl>
    <w:p w14:paraId="7E8C5902">
      <w:pPr>
        <w:spacing w:after="20"/>
      </w:pPr>
    </w:p>
    <w:p w14:paraId="7C9590AB">
      <w:r>
        <w:br w:type="page"/>
      </w:r>
    </w:p>
    <w:p w14:paraId="6526F2BE">
      <w:pPr>
        <w:pStyle w:val="3"/>
        <w:keepNext/>
        <w:keepLines w:val="0"/>
        <w:pBdr>
          <w:bottom w:val="single" w:color="B7791F" w:sz="8" w:space="5"/>
        </w:pBdr>
        <w:spacing w:before="280" w:after="140" w:line="252" w:lineRule="auto"/>
      </w:pPr>
      <w:r>
        <w:rPr>
          <w:rFonts w:ascii="Arial" w:hAnsi="Arial" w:eastAsia="微软雅黑"/>
          <w:b/>
          <w:i w:val="0"/>
          <w:color w:val="183B56"/>
          <w:sz w:val="32"/>
        </w:rPr>
        <w:t>06｜不同人群有没有明显不同</w:t>
      </w:r>
    </w:p>
    <w:tbl>
      <w:tblPr>
        <w:tblStyle w:val="32"/>
        <w:tblW w:w="941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40043F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tcBorders>
              <w:top w:val="single" w:color="B7791F" w:sz="8" w:space="0"/>
              <w:left w:val="single" w:color="B7791F" w:sz="8" w:space="0"/>
              <w:bottom w:val="single" w:color="B7791F" w:sz="8" w:space="0"/>
              <w:right w:val="single" w:color="B7791F" w:sz="8" w:space="0"/>
            </w:tcBorders>
            <w:shd w:val="clear" w:color="auto" w:fill="FFF3D6"/>
            <w:tcMar>
              <w:top w:w="140" w:type="dxa"/>
              <w:left w:w="170" w:type="dxa"/>
              <w:bottom w:w="140" w:type="dxa"/>
              <w:right w:w="170" w:type="dxa"/>
            </w:tcMar>
            <w:vAlign w:val="center"/>
          </w:tcPr>
          <w:p w14:paraId="479F9362">
            <w:pPr>
              <w:keepNext w:val="0"/>
              <w:keepLines w:val="0"/>
              <w:spacing w:before="0" w:after="0" w:line="300" w:lineRule="auto"/>
            </w:pPr>
            <w:r>
              <w:rPr>
                <w:rFonts w:ascii="Arial" w:hAnsi="Arial" w:eastAsia="微软雅黑"/>
                <w:b/>
                <w:i w:val="0"/>
                <w:color w:val="B7791F"/>
                <w:sz w:val="20"/>
              </w:rPr>
              <w:t>先说结论</w:t>
            </w:r>
            <w:r>
              <w:rPr>
                <w:rFonts w:ascii="Arial" w:hAnsi="Arial" w:eastAsia="微软雅黑"/>
                <w:b/>
                <w:i w:val="0"/>
                <w:color w:val="B7791F"/>
                <w:sz w:val="20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19"/>
              </w:rPr>
              <w:t>有些人群比例看起来不同，但本次样本没有发现经多重校正后仍然显著的差异。下面的分群结果适合用来提出下一轮研究问题，不适合直接生成客户标签。</w:t>
            </w:r>
          </w:p>
        </w:tc>
      </w:tr>
    </w:tbl>
    <w:p w14:paraId="21F2836A">
      <w:pPr>
        <w:spacing w:after="20"/>
      </w:pPr>
    </w:p>
    <w:p w14:paraId="1C62F28D">
      <w:pPr>
        <w:keepNext w:val="0"/>
        <w:keepLines/>
        <w:spacing w:before="40" w:after="60" w:line="240" w:lineRule="auto"/>
        <w:jc w:val="center"/>
      </w:pPr>
      <w:r>
        <w:drawing>
          <wp:inline distT="0" distB="0" distL="114300" distR="114300">
            <wp:extent cx="5903595" cy="2203450"/>
            <wp:effectExtent l="0" t="0" r="1905" b="6350"/>
            <wp:docPr id="9" name="Picture 9" descr="图 9　三组方向性分群比较。p值为未校正的探索性卡方检验；50组比较经FDR校正后均未达显著。" title="fig08_subgroup_comparison_v0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图 9　三组方向性分群比较。p值为未校正的探索性卡方检验；50组比较经FDR校正后均未达显著。" title="fig08_subgroup_comparison_v0.3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0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541B0">
      <w:pPr>
        <w:keepNext w:val="0"/>
        <w:keepLines/>
        <w:spacing w:before="0" w:after="140" w:line="276" w:lineRule="auto"/>
        <w:jc w:val="center"/>
      </w:pPr>
      <w:r>
        <w:rPr>
          <w:rFonts w:ascii="Arial" w:hAnsi="Arial" w:eastAsia="微软雅黑"/>
          <w:b w:val="0"/>
          <w:i w:val="0"/>
          <w:color w:val="60717D"/>
          <w:sz w:val="16"/>
        </w:rPr>
        <w:t>图 9　三组方向性分群比较。p值为未校正的探索性卡方检验；50组比较经FDR校正后均未达显著。</w:t>
      </w:r>
    </w:p>
    <w:p w14:paraId="6878C17C">
      <w:pPr>
        <w:pStyle w:val="4"/>
        <w:keepNext/>
        <w:keepLines w:val="0"/>
        <w:spacing w:before="160" w:after="80" w:line="252" w:lineRule="auto"/>
      </w:pPr>
      <w:r>
        <w:rPr>
          <w:rFonts w:ascii="Arial" w:hAnsi="Arial" w:eastAsia="微软雅黑"/>
          <w:b/>
          <w:i w:val="0"/>
          <w:color w:val="2878A6"/>
          <w:sz w:val="25"/>
        </w:rPr>
        <w:t>6.1 年龄：40—49岁产品类型题表现较高</w:t>
      </w:r>
    </w:p>
    <w:p w14:paraId="1FDF94CA">
      <w:pPr>
        <w:keepNext w:val="0"/>
        <w:keepLines w:val="0"/>
        <w:spacing w:before="0" w:after="120" w:line="317" w:lineRule="auto"/>
        <w:jc w:val="both"/>
      </w:pPr>
      <w:r>
        <w:rPr>
          <w:rFonts w:ascii="Arial" w:hAnsi="Arial" w:eastAsia="微软雅黑"/>
          <w:b w:val="0"/>
          <w:i w:val="0"/>
          <w:color w:val="20313F"/>
          <w:sz w:val="20"/>
        </w:rPr>
        <w:t>两类产品设计思路均答对的比例，在18—29岁、30—39岁、40—49岁和50—59岁中分别为27.3%、41.3%、48.6%和29.4%。整体检验p=0.111，不能确认这是稳定的年龄差异。它更适合提示下一轮研究重点：年轻组和临近退休组是否需要不同的例子和解释顺序。</w:t>
      </w:r>
    </w:p>
    <w:p w14:paraId="501FBED0">
      <w:pPr>
        <w:pStyle w:val="4"/>
        <w:keepNext/>
        <w:keepLines w:val="0"/>
        <w:spacing w:before="160" w:after="80" w:line="252" w:lineRule="auto"/>
      </w:pPr>
      <w:r>
        <w:rPr>
          <w:rFonts w:ascii="Arial" w:hAnsi="Arial" w:eastAsia="微软雅黑"/>
          <w:b/>
          <w:i w:val="0"/>
          <w:color w:val="2878A6"/>
          <w:sz w:val="25"/>
        </w:rPr>
        <w:t>6.2 基金经验：经验越长，产品类型题表现呈上升方向</w:t>
      </w:r>
    </w:p>
    <w:p w14:paraId="2B3175E5">
      <w:pPr>
        <w:keepNext w:val="0"/>
        <w:keepLines w:val="0"/>
        <w:spacing w:before="0" w:after="120" w:line="317" w:lineRule="auto"/>
        <w:jc w:val="both"/>
      </w:pPr>
      <w:r>
        <w:rPr>
          <w:rFonts w:ascii="Arial" w:hAnsi="Arial" w:eastAsia="微软雅黑"/>
          <w:b w:val="0"/>
          <w:i w:val="0"/>
          <w:color w:val="20313F"/>
          <w:sz w:val="20"/>
        </w:rPr>
        <w:t>基金经验不足1年、1—3年、4—6年和6年以上群体的两类产品题均答对比例分别为25.9%、35.8%、45.0%和48.1%。整体检验p=0.199，仍不足以认定经验带来稳定差异。业务上可以为新手提供更基础的类型判断，但不应假设资深投资者已经理解所有产品机制。</w:t>
      </w:r>
    </w:p>
    <w:p w14:paraId="18DF029E">
      <w:pPr>
        <w:pStyle w:val="4"/>
        <w:keepNext/>
        <w:keepLines w:val="0"/>
        <w:spacing w:before="160" w:after="80" w:line="252" w:lineRule="auto"/>
      </w:pPr>
      <w:r>
        <w:rPr>
          <w:rFonts w:ascii="Arial" w:hAnsi="Arial" w:eastAsia="微软雅黑"/>
          <w:b/>
          <w:i w:val="0"/>
          <w:color w:val="2878A6"/>
          <w:sz w:val="25"/>
        </w:rPr>
        <w:t>6.3 学习需求：50—59岁对未来配置变化的选择较低</w:t>
      </w:r>
    </w:p>
    <w:p w14:paraId="54A0288A">
      <w:pPr>
        <w:keepNext w:val="0"/>
        <w:keepLines w:val="0"/>
        <w:spacing w:before="0" w:after="120" w:line="317" w:lineRule="auto"/>
        <w:jc w:val="both"/>
      </w:pPr>
      <w:r>
        <w:rPr>
          <w:rFonts w:ascii="Arial" w:hAnsi="Arial" w:eastAsia="微软雅黑"/>
          <w:b w:val="0"/>
          <w:i w:val="0"/>
          <w:color w:val="20313F"/>
          <w:sz w:val="20"/>
        </w:rPr>
        <w:t>希望了解未来配置变化的比例，在18—29岁、30—39岁、40—49岁和50—59岁中分别为30.3%、33.3%、37.1%和14.7%。整体检验p=0.131。较低比例可能来自需求差异、题目理解或样本量，不能直接解释为50—59岁群体“不需要”相关知识。</w:t>
      </w:r>
    </w:p>
    <w:p w14:paraId="60C11D84">
      <w:r>
        <w:br w:type="page"/>
      </w:r>
    </w:p>
    <w:p w14:paraId="7C361F62">
      <w:pPr>
        <w:pStyle w:val="3"/>
        <w:keepNext/>
        <w:keepLines w:val="0"/>
        <w:pBdr>
          <w:bottom w:val="single" w:color="B7791F" w:sz="8" w:space="5"/>
        </w:pBdr>
        <w:spacing w:before="280" w:after="140" w:line="252" w:lineRule="auto"/>
      </w:pPr>
      <w:r>
        <w:rPr>
          <w:rFonts w:ascii="Arial" w:hAnsi="Arial" w:eastAsia="微软雅黑"/>
          <w:b/>
          <w:i w:val="0"/>
          <w:color w:val="183B56"/>
          <w:sz w:val="32"/>
        </w:rPr>
        <w:t>分群判断的业务边界</w:t>
      </w:r>
    </w:p>
    <w:tbl>
      <w:tblPr>
        <w:tblStyle w:val="32"/>
        <w:tblW w:w="941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249001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70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878A6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9F0C424"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可以做</w:t>
            </w:r>
          </w:p>
        </w:tc>
        <w:tc>
          <w:tcPr>
            <w:tcW w:w="470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878A6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3CCCBDF"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暂时不要做</w:t>
            </w:r>
          </w:p>
        </w:tc>
      </w:tr>
      <w:tr w14:paraId="20B142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06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829D41B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20313F"/>
                <w:sz w:val="18"/>
              </w:rPr>
              <w:t>把年龄和基金经验作为下一轮配额与分析变量</w:t>
            </w:r>
          </w:p>
        </w:tc>
        <w:tc>
          <w:tcPr>
            <w:tcW w:w="4706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939F09B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根据本次比例直接给客户贴“懂/不懂”标签</w:t>
            </w:r>
          </w:p>
        </w:tc>
      </w:tr>
      <w:tr w14:paraId="0A325E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06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6E8BE89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20313F"/>
                <w:sz w:val="18"/>
              </w:rPr>
              <w:t>为年轻、临近退休和新手群体各准备一版示例材料</w:t>
            </w:r>
          </w:p>
        </w:tc>
        <w:tc>
          <w:tcPr>
            <w:tcW w:w="4706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E6F57B1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把方向性差异写成稳定人群规律</w:t>
            </w:r>
          </w:p>
        </w:tc>
      </w:tr>
      <w:tr w14:paraId="1026AC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06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FE8ECB8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20313F"/>
                <w:sz w:val="18"/>
              </w:rPr>
              <w:t>扩大样本后复核知识、使用和投教需求差异</w:t>
            </w:r>
          </w:p>
        </w:tc>
        <w:tc>
          <w:tcPr>
            <w:tcW w:w="4706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58CB9FC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在没有性别和常住地区数据时补造完整画像</w:t>
            </w:r>
          </w:p>
        </w:tc>
      </w:tr>
      <w:tr w14:paraId="1A5634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06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A6044F0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20313F"/>
                <w:sz w:val="18"/>
              </w:rPr>
              <w:t>结合访谈理解比例差异背后的原因</w:t>
            </w:r>
          </w:p>
        </w:tc>
        <w:tc>
          <w:tcPr>
            <w:tcW w:w="4706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996B704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只看p值，不考虑效应大小、题目口径和样本结构</w:t>
            </w:r>
          </w:p>
        </w:tc>
      </w:tr>
    </w:tbl>
    <w:p w14:paraId="2C09C8E6">
      <w:pPr>
        <w:spacing w:after="20"/>
      </w:pPr>
    </w:p>
    <w:p w14:paraId="7E9580FF">
      <w:pPr>
        <w:keepNext w:val="0"/>
        <w:keepLines w:val="0"/>
        <w:spacing w:before="0" w:after="120" w:line="317" w:lineRule="auto"/>
        <w:jc w:val="both"/>
      </w:pPr>
      <w:r>
        <w:rPr>
          <w:rFonts w:ascii="Arial" w:hAnsi="Arial" w:eastAsia="微软雅黑"/>
          <w:b w:val="0"/>
          <w:i w:val="0"/>
          <w:color w:val="20313F"/>
          <w:sz w:val="20"/>
        </w:rPr>
        <w:t>本次补充分析统一比较了5类分组和10项核心指标，共50组。所有比较使用Pearson卡方检验，并采用Benjamini-Hochberg方法控制多重比较带来的假阳性。期望频数不足的结果不作显著性判断。校正后没有一组达到0.05，因此报告只展示业务上较容易解释的方向性结果。</w:t>
      </w:r>
    </w:p>
    <w:p w14:paraId="5D855DA9">
      <w:r>
        <w:br w:type="page"/>
      </w:r>
    </w:p>
    <w:p w14:paraId="10028E80">
      <w:pPr>
        <w:pStyle w:val="3"/>
        <w:keepNext/>
        <w:keepLines w:val="0"/>
        <w:pBdr>
          <w:bottom w:val="single" w:color="B7791F" w:sz="8" w:space="5"/>
        </w:pBdr>
        <w:spacing w:before="280" w:after="140" w:line="252" w:lineRule="auto"/>
      </w:pPr>
      <w:r>
        <w:rPr>
          <w:rFonts w:ascii="Arial" w:hAnsi="Arial" w:eastAsia="微软雅黑"/>
          <w:b/>
          <w:i w:val="0"/>
          <w:color w:val="183B56"/>
          <w:sz w:val="32"/>
        </w:rPr>
        <w:t>07｜投资者教育：用户想解决具体问题</w:t>
      </w:r>
    </w:p>
    <w:p w14:paraId="0E09AEA9">
      <w:pPr>
        <w:keepNext w:val="0"/>
        <w:keepLines/>
        <w:spacing w:before="40" w:after="60" w:line="240" w:lineRule="auto"/>
        <w:jc w:val="center"/>
      </w:pPr>
      <w:r>
        <w:drawing>
          <wp:inline distT="0" distB="0" distL="114300" distR="114300">
            <wp:extent cx="5831840" cy="1976120"/>
            <wp:effectExtent l="0" t="0" r="6985" b="5080"/>
            <wp:docPr id="10" name="Picture 10" descr="图 10　投教内容、形式和触达时点的前三项需求（Q26-Q28，n=200；多选题）。" title="fig09_investor_education_v0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图 10　投教内容、形式和触达时点的前三项需求（Q26-Q28，n=200；多选题）。" title="fig09_investor_education_v0.3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97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27E8">
      <w:pPr>
        <w:keepNext w:val="0"/>
        <w:keepLines/>
        <w:spacing w:before="0" w:after="140" w:line="276" w:lineRule="auto"/>
        <w:jc w:val="center"/>
      </w:pPr>
      <w:r>
        <w:rPr>
          <w:rFonts w:ascii="Arial" w:hAnsi="Arial" w:eastAsia="微软雅黑"/>
          <w:b w:val="0"/>
          <w:i w:val="0"/>
          <w:color w:val="60717D"/>
          <w:sz w:val="16"/>
        </w:rPr>
        <w:t>图 10　投教内容、形式和触达时点的前三项需求（Q26-Q28，n=200；多选题）。</w:t>
      </w:r>
    </w:p>
    <w:p w14:paraId="75D1DAA5">
      <w:pPr>
        <w:keepNext w:val="0"/>
        <w:keepLines w:val="0"/>
        <w:spacing w:before="0" w:after="120" w:line="317" w:lineRule="auto"/>
        <w:jc w:val="both"/>
      </w:pPr>
      <w:r>
        <w:rPr>
          <w:rFonts w:ascii="Arial" w:hAnsi="Arial" w:eastAsia="微软雅黑"/>
          <w:b/>
          <w:i w:val="0"/>
          <w:color w:val="183B56"/>
          <w:sz w:val="20"/>
        </w:rPr>
        <w:t>用户最想了解的是未来配置变化31.0%、当前配置和风险26.0%、怎样根据退休年份或风险类型选择25.5%。</w:t>
      </w:r>
      <w:r>
        <w:rPr>
          <w:rFonts w:ascii="Arial" w:hAnsi="Arial" w:eastAsia="微软雅黑"/>
          <w:b w:val="0"/>
          <w:i w:val="0"/>
          <w:color w:val="20313F"/>
          <w:sz w:val="20"/>
        </w:rPr>
        <w:t>最受欢迎的形式是结合年龄或退休年份举例30.0%、资产配置表24.5%和一句话说明24.0%。触达时点则集中在第一次了解产品31.5%、基金调整配置时26.5%和市场波动较大时24.5%。</w:t>
      </w:r>
    </w:p>
    <w:p w14:paraId="4B2A0E9C">
      <w:pPr>
        <w:pStyle w:val="4"/>
        <w:keepNext/>
        <w:keepLines w:val="0"/>
        <w:spacing w:before="160" w:after="80" w:line="252" w:lineRule="auto"/>
      </w:pPr>
      <w:r>
        <w:rPr>
          <w:rFonts w:ascii="Arial" w:hAnsi="Arial" w:eastAsia="微软雅黑"/>
          <w:b/>
          <w:i w:val="0"/>
          <w:color w:val="2878A6"/>
          <w:sz w:val="25"/>
        </w:rPr>
        <w:t>7.1 投教内容不宜从术语目录出发</w:t>
      </w:r>
    </w:p>
    <w:tbl>
      <w:tblPr>
        <w:tblStyle w:val="32"/>
        <w:tblW w:w="941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3969"/>
        <w:gridCol w:w="3402"/>
      </w:tblGrid>
      <w:tr w14:paraId="2F115A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83B56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4B6FEAE"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用户任务</w:t>
            </w:r>
          </w:p>
        </w:tc>
        <w:tc>
          <w:tcPr>
            <w:tcW w:w="396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83B56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5B1D18D"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建议内容</w:t>
            </w:r>
          </w:p>
        </w:tc>
        <w:tc>
          <w:tcPr>
            <w:tcW w:w="340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83B56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7A5816A"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推荐表达</w:t>
            </w:r>
          </w:p>
        </w:tc>
      </w:tr>
      <w:tr w14:paraId="0AF347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240D7DA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我该怎么选</w:t>
            </w:r>
          </w:p>
        </w:tc>
        <w:tc>
          <w:tcPr>
            <w:tcW w:w="3969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F734F1E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目标日期型与目标风险型的差别、退休年份或风险类型匹配</w:t>
            </w:r>
          </w:p>
        </w:tc>
        <w:tc>
          <w:tcPr>
            <w:tcW w:w="3402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0AAEB2C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一句话判断 + 年龄/退休年份示例</w:t>
            </w:r>
          </w:p>
        </w:tc>
      </w:tr>
      <w:tr w14:paraId="1A186B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6FE004E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我现在承担什么风险</w:t>
            </w:r>
          </w:p>
        </w:tc>
        <w:tc>
          <w:tcPr>
            <w:tcW w:w="3969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A30E48B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当前股票、债券等配置和可能波动</w:t>
            </w:r>
          </w:p>
        </w:tc>
        <w:tc>
          <w:tcPr>
            <w:tcW w:w="3402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CD77681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资产配置表 + 风险提示</w:t>
            </w:r>
          </w:p>
        </w:tc>
      </w:tr>
      <w:tr w14:paraId="2B3547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662A390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以后会怎么变</w:t>
            </w:r>
          </w:p>
        </w:tc>
        <w:tc>
          <w:tcPr>
            <w:tcW w:w="3969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92DA9D2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未来配置路径、调整原因和风险边界</w:t>
            </w:r>
          </w:p>
        </w:tc>
        <w:tc>
          <w:tcPr>
            <w:tcW w:w="3402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9B0A453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简化下滑曲线 + 关键节点说明</w:t>
            </w:r>
          </w:p>
        </w:tc>
      </w:tr>
      <w:tr w14:paraId="05C84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93D4403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市场下跌怎么办</w:t>
            </w:r>
          </w:p>
        </w:tc>
        <w:tc>
          <w:tcPr>
            <w:tcW w:w="3969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3572284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下跌原因、产品是否仍匹配、可查询的信息入口</w:t>
            </w:r>
          </w:p>
        </w:tc>
        <w:tc>
          <w:tcPr>
            <w:tcW w:w="3402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A00992F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常见问答 + 持有页提示</w:t>
            </w:r>
          </w:p>
        </w:tc>
      </w:tr>
    </w:tbl>
    <w:p w14:paraId="3F9002B2">
      <w:pPr>
        <w:spacing w:after="20"/>
      </w:pPr>
    </w:p>
    <w:p w14:paraId="02763570">
      <w:pPr>
        <w:pStyle w:val="4"/>
        <w:keepNext/>
        <w:keepLines w:val="0"/>
        <w:spacing w:before="160" w:after="80" w:line="252" w:lineRule="auto"/>
      </w:pPr>
      <w:r>
        <w:rPr>
          <w:rFonts w:ascii="Arial" w:hAnsi="Arial" w:eastAsia="微软雅黑"/>
          <w:b/>
          <w:i w:val="0"/>
          <w:color w:val="2878A6"/>
          <w:sz w:val="25"/>
        </w:rPr>
        <w:t>7.2 IMA知识库的合适位置</w:t>
      </w:r>
    </w:p>
    <w:p w14:paraId="71F418F0">
      <w:pPr>
        <w:keepNext w:val="0"/>
        <w:keepLines w:val="0"/>
        <w:spacing w:before="0" w:after="120" w:line="317" w:lineRule="auto"/>
        <w:jc w:val="both"/>
      </w:pPr>
      <w:r>
        <w:rPr>
          <w:rFonts w:ascii="Arial" w:hAnsi="Arial" w:eastAsia="微软雅黑"/>
          <w:b w:val="0"/>
          <w:i w:val="0"/>
          <w:color w:val="20313F"/>
          <w:sz w:val="20"/>
        </w:rPr>
        <w:t>IMA知识库可以作为延伸学习入口。例如，在问卷、产品说明或持有期材料末尾加入“想了解更多金融常识，可前往IMA知识库搜索”的链接。它承担的是从调研到培训的桥梁，不替代核心解释，也不需要在当前版本追踪用户点击或停留时长。</w:t>
      </w:r>
    </w:p>
    <w:tbl>
      <w:tblPr>
        <w:tblStyle w:val="32"/>
        <w:tblW w:w="941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50F1BB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tcBorders>
              <w:top w:val="single" w:color="B7791F" w:sz="8" w:space="0"/>
              <w:left w:val="single" w:color="B7791F" w:sz="8" w:space="0"/>
              <w:bottom w:val="single" w:color="B7791F" w:sz="8" w:space="0"/>
              <w:right w:val="single" w:color="B7791F" w:sz="8" w:space="0"/>
            </w:tcBorders>
            <w:shd w:val="clear" w:color="auto" w:fill="FFF3D6"/>
            <w:tcMar>
              <w:top w:w="140" w:type="dxa"/>
              <w:left w:w="170" w:type="dxa"/>
              <w:bottom w:w="140" w:type="dxa"/>
              <w:right w:w="170" w:type="dxa"/>
            </w:tcMar>
            <w:vAlign w:val="center"/>
          </w:tcPr>
          <w:p w14:paraId="52F8BE16">
            <w:pPr>
              <w:keepNext w:val="0"/>
              <w:keepLines w:val="0"/>
              <w:spacing w:before="0" w:after="0" w:line="300" w:lineRule="auto"/>
            </w:pPr>
            <w:r>
              <w:rPr>
                <w:rFonts w:ascii="Arial" w:hAnsi="Arial" w:eastAsia="微软雅黑"/>
                <w:b/>
                <w:i w:val="0"/>
                <w:color w:val="B7791F"/>
                <w:sz w:val="20"/>
              </w:rPr>
              <w:t>优先级判断</w:t>
            </w:r>
            <w:r>
              <w:rPr>
                <w:rFonts w:ascii="Arial" w:hAnsi="Arial" w:eastAsia="微软雅黑"/>
                <w:b/>
                <w:i w:val="0"/>
                <w:color w:val="B7791F"/>
                <w:sz w:val="20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19"/>
              </w:rPr>
              <w:t>知识库链接属于辅助入口。当前更优先的是把产品页面和持有页本身写清楚，让不跳转的用户也能完成基本判断。</w:t>
            </w:r>
          </w:p>
        </w:tc>
      </w:tr>
    </w:tbl>
    <w:p w14:paraId="7E4272DF">
      <w:pPr>
        <w:spacing w:after="20"/>
      </w:pPr>
    </w:p>
    <w:p w14:paraId="5E94E24A">
      <w:r>
        <w:br w:type="page"/>
      </w:r>
    </w:p>
    <w:p w14:paraId="4D000823">
      <w:pPr>
        <w:pStyle w:val="3"/>
        <w:keepNext/>
        <w:keepLines w:val="0"/>
        <w:pBdr>
          <w:bottom w:val="single" w:color="B7791F" w:sz="8" w:space="5"/>
        </w:pBdr>
        <w:spacing w:before="280" w:after="140" w:line="252" w:lineRule="auto"/>
      </w:pPr>
      <w:r>
        <w:rPr>
          <w:rFonts w:ascii="Arial" w:hAnsi="Arial" w:eastAsia="微软雅黑"/>
          <w:b/>
          <w:i w:val="0"/>
          <w:color w:val="183B56"/>
          <w:sz w:val="32"/>
        </w:rPr>
        <w:t>08｜建议如何落地</w:t>
      </w:r>
    </w:p>
    <w:tbl>
      <w:tblPr>
        <w:tblStyle w:val="32"/>
        <w:tblW w:w="941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268"/>
        <w:gridCol w:w="3685"/>
        <w:gridCol w:w="1984"/>
      </w:tblGrid>
      <w:tr w14:paraId="24FA40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83B56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B82E070"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场景</w:t>
            </w:r>
          </w:p>
        </w:tc>
        <w:tc>
          <w:tcPr>
            <w:tcW w:w="226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83B56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87305CA"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首要改进</w:t>
            </w:r>
          </w:p>
        </w:tc>
        <w:tc>
          <w:tcPr>
            <w:tcW w:w="368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83B56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6789942"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建议内容</w:t>
            </w:r>
          </w:p>
        </w:tc>
        <w:tc>
          <w:tcPr>
            <w:tcW w:w="198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83B56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08FF36B"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衡量方式</w:t>
            </w:r>
          </w:p>
        </w:tc>
      </w:tr>
      <w:tr w14:paraId="698E1D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232E877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第一次了解产品</w:t>
            </w:r>
          </w:p>
        </w:tc>
        <w:tc>
          <w:tcPr>
            <w:tcW w:w="226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A10B9F4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先完成产品类型判断</w:t>
            </w:r>
          </w:p>
        </w:tc>
        <w:tc>
          <w:tcPr>
            <w:tcW w:w="368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5E90483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目标日期型/目标风险型一句话区别；退休年份或风险类型示例</w:t>
            </w:r>
          </w:p>
        </w:tc>
        <w:tc>
          <w:tcPr>
            <w:tcW w:w="198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F33F472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材料理解题正确率、信息清晰度评分</w:t>
            </w:r>
          </w:p>
        </w:tc>
      </w:tr>
      <w:tr w14:paraId="17E6C4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514EB50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购买页面</w:t>
            </w:r>
          </w:p>
        </w:tc>
        <w:tc>
          <w:tcPr>
            <w:tcW w:w="226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3228032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把风险类型和风险边界放到决策位置</w:t>
            </w:r>
          </w:p>
        </w:tc>
        <w:tc>
          <w:tcPr>
            <w:tcW w:w="368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88C6846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当前配置、主要风险、未来是否调整及不保本提示</w:t>
            </w:r>
          </w:p>
        </w:tc>
        <w:tc>
          <w:tcPr>
            <w:tcW w:w="198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2D825E8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关键字段阅读与理解、选择理由</w:t>
            </w:r>
          </w:p>
        </w:tc>
      </w:tr>
      <w:tr w14:paraId="7B785D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B4088DA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持有页面</w:t>
            </w:r>
          </w:p>
        </w:tc>
        <w:tc>
          <w:tcPr>
            <w:tcW w:w="226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ADCBB93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建立固定的配置查看入口</w:t>
            </w:r>
          </w:p>
        </w:tc>
        <w:tc>
          <w:tcPr>
            <w:tcW w:w="368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CA03B2D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当前配置、相对上期变化、下一阶段可能调整</w:t>
            </w:r>
          </w:p>
        </w:tc>
        <w:tc>
          <w:tcPr>
            <w:tcW w:w="198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D0BF675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入口可发现性、持有者信息清晰度</w:t>
            </w:r>
          </w:p>
        </w:tc>
      </w:tr>
      <w:tr w14:paraId="62A1CB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9013086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配置调整时</w:t>
            </w:r>
          </w:p>
        </w:tc>
        <w:tc>
          <w:tcPr>
            <w:tcW w:w="226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30FE3F1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解释为什么变</w:t>
            </w:r>
          </w:p>
        </w:tc>
        <w:tc>
          <w:tcPr>
            <w:tcW w:w="368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C827D68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调整原因、调整前后、对风险的影响</w:t>
            </w:r>
          </w:p>
        </w:tc>
        <w:tc>
          <w:tcPr>
            <w:tcW w:w="198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9FA979F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调整理解题、咨询问题变化</w:t>
            </w:r>
          </w:p>
        </w:tc>
      </w:tr>
      <w:tr w14:paraId="2476F5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E4C75EC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市场波动时</w:t>
            </w:r>
          </w:p>
        </w:tc>
        <w:tc>
          <w:tcPr>
            <w:tcW w:w="226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9C19343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同时回应长期目标和短期焦虑</w:t>
            </w:r>
          </w:p>
        </w:tc>
        <w:tc>
          <w:tcPr>
            <w:tcW w:w="368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87402A9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下跌来源、是否仍匹配、需要关注的风险</w:t>
            </w:r>
          </w:p>
        </w:tc>
        <w:tc>
          <w:tcPr>
            <w:tcW w:w="198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A6933FE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不明原因比例、信息查询成功率</w:t>
            </w:r>
          </w:p>
        </w:tc>
      </w:tr>
    </w:tbl>
    <w:p w14:paraId="23E0A90E">
      <w:pPr>
        <w:spacing w:after="20"/>
      </w:pPr>
    </w:p>
    <w:p w14:paraId="254F283D">
      <w:pPr>
        <w:pStyle w:val="4"/>
        <w:keepNext/>
        <w:keepLines w:val="0"/>
        <w:spacing w:before="160" w:after="80" w:line="252" w:lineRule="auto"/>
      </w:pPr>
      <w:r>
        <w:rPr>
          <w:rFonts w:ascii="Arial" w:hAnsi="Arial" w:eastAsia="微软雅黑"/>
          <w:b/>
          <w:i w:val="0"/>
          <w:color w:val="2878A6"/>
          <w:sz w:val="25"/>
        </w:rPr>
        <w:t>三步推进顺序</w:t>
      </w:r>
    </w:p>
    <w:tbl>
      <w:tblPr>
        <w:tblStyle w:val="32"/>
        <w:tblW w:w="941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4535"/>
        <w:gridCol w:w="3742"/>
      </w:tblGrid>
      <w:tr w14:paraId="160316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A9D8F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940AAC0"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w="453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A9D8F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0F900C1"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建议动作</w:t>
            </w:r>
          </w:p>
        </w:tc>
        <w:tc>
          <w:tcPr>
            <w:tcW w:w="374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2A9D8F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D2BAC18"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为什么先做</w:t>
            </w:r>
          </w:p>
        </w:tc>
      </w:tr>
      <w:tr w14:paraId="1BDD9D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22B9EFD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第一步</w:t>
            </w:r>
          </w:p>
        </w:tc>
        <w:tc>
          <w:tcPr>
            <w:tcW w:w="453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291D74D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改写购买前的产品类型、风险类型和风险边界说明</w:t>
            </w:r>
          </w:p>
        </w:tc>
        <w:tc>
          <w:tcPr>
            <w:tcW w:w="3742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5B3F16F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覆盖所有购买者，直接回应最基础的认知断点</w:t>
            </w:r>
          </w:p>
        </w:tc>
      </w:tr>
      <w:tr w14:paraId="6D512A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0C714F5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第二步</w:t>
            </w:r>
          </w:p>
        </w:tc>
        <w:tc>
          <w:tcPr>
            <w:tcW w:w="453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EB555A0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在持有页增加当前配置、未来变化和调整原因入口</w:t>
            </w:r>
          </w:p>
        </w:tc>
        <w:tc>
          <w:tcPr>
            <w:tcW w:w="3742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96C0D51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83B56"/>
                <w:sz w:val="17"/>
              </w:rPr>
              <w:t>59.5%</w:t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存在再次查看或入口缺口</w:t>
            </w:r>
          </w:p>
        </w:tc>
      </w:tr>
      <w:tr w14:paraId="0AAA5A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4658928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第三步</w:t>
            </w:r>
          </w:p>
        </w:tc>
        <w:tc>
          <w:tcPr>
            <w:tcW w:w="453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4878FE6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按首次了解、配置调整和市场波动三个时点组织投教材料</w:t>
            </w:r>
          </w:p>
        </w:tc>
        <w:tc>
          <w:tcPr>
            <w:tcW w:w="3742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56298C0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符合用户偏好的触达时点，便于形成连续服务</w:t>
            </w:r>
          </w:p>
        </w:tc>
      </w:tr>
    </w:tbl>
    <w:p w14:paraId="33609205">
      <w:pPr>
        <w:spacing w:after="20"/>
      </w:pPr>
    </w:p>
    <w:p w14:paraId="01689C0C">
      <w:pPr>
        <w:pStyle w:val="4"/>
        <w:keepNext/>
        <w:keepLines w:val="0"/>
        <w:spacing w:before="160" w:after="80" w:line="252" w:lineRule="auto"/>
      </w:pPr>
      <w:r>
        <w:rPr>
          <w:rFonts w:ascii="Arial" w:hAnsi="Arial" w:eastAsia="微软雅黑"/>
          <w:b/>
          <w:i w:val="0"/>
          <w:color w:val="2878A6"/>
          <w:sz w:val="25"/>
        </w:rPr>
        <w:t>下一轮研究建议</w:t>
      </w:r>
    </w:p>
    <w:p w14:paraId="0AD99C32">
      <w:pPr>
        <w:keepNext w:val="0"/>
        <w:keepLines w:val="0"/>
        <w:spacing w:before="0" w:after="120" w:line="317" w:lineRule="auto"/>
        <w:jc w:val="both"/>
      </w:pPr>
      <w:r>
        <w:rPr>
          <w:rFonts w:ascii="Arial" w:hAnsi="Arial" w:eastAsia="微软雅黑"/>
          <w:b w:val="0"/>
          <w:i w:val="0"/>
          <w:color w:val="20313F"/>
          <w:sz w:val="20"/>
        </w:rPr>
        <w:t>下一轮不需要把问卷大幅加长。建议补充三个画像字段，保留四道核心知识题和关键行为题，并围绕改版材料设计一组阅读后的理解题。如果要确认人群差异，应扩大样本并提前设定重点分组；如果要理解“为什么”，可在问卷后补充少量专题访谈。</w:t>
      </w:r>
    </w:p>
    <w:p w14:paraId="5B79B07E">
      <w:r>
        <w:br w:type="page"/>
      </w:r>
    </w:p>
    <w:p w14:paraId="6F929623">
      <w:pPr>
        <w:pStyle w:val="3"/>
        <w:keepNext/>
        <w:keepLines w:val="0"/>
        <w:pBdr>
          <w:bottom w:val="single" w:color="B7791F" w:sz="8" w:space="5"/>
        </w:pBdr>
        <w:spacing w:before="280" w:after="140" w:line="252" w:lineRule="auto"/>
      </w:pPr>
      <w:r>
        <w:rPr>
          <w:rFonts w:ascii="Arial" w:hAnsi="Arial" w:eastAsia="微软雅黑"/>
          <w:b/>
          <w:i w:val="0"/>
          <w:color w:val="183B56"/>
          <w:sz w:val="32"/>
        </w:rPr>
        <w:t>附录 A｜数据质量与有效性</w:t>
      </w:r>
    </w:p>
    <w:tbl>
      <w:tblPr>
        <w:tblStyle w:val="32"/>
        <w:tblW w:w="941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324"/>
        <w:gridCol w:w="4819"/>
      </w:tblGrid>
      <w:tr w14:paraId="541F8F8C">
        <w:trPr>
          <w:cantSplit/>
          <w:tblHeader/>
          <w:jc w:val="center"/>
        </w:trPr>
        <w:tc>
          <w:tcPr>
            <w:tcW w:w="226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83B56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6CC93FF"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检查项</w:t>
            </w:r>
          </w:p>
        </w:tc>
        <w:tc>
          <w:tcPr>
            <w:tcW w:w="232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83B56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28D930A"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结果</w:t>
            </w:r>
          </w:p>
        </w:tc>
        <w:tc>
          <w:tcPr>
            <w:tcW w:w="481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83B56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0809677"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处理</w:t>
            </w:r>
          </w:p>
        </w:tc>
      </w:tr>
      <w:tr w14:paraId="311BD8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89D112F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原始答卷</w:t>
            </w:r>
          </w:p>
        </w:tc>
        <w:tc>
          <w:tcPr>
            <w:tcW w:w="232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0CFF9A6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83B56"/>
                <w:sz w:val="17"/>
              </w:rPr>
              <w:t>200 份</w:t>
            </w:r>
          </w:p>
        </w:tc>
        <w:tc>
          <w:tcPr>
            <w:tcW w:w="4819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557B3B0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全部进入工作分析样本</w:t>
            </w:r>
          </w:p>
        </w:tc>
      </w:tr>
      <w:tr w14:paraId="278DF3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87A0A5D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硬排除</w:t>
            </w:r>
          </w:p>
        </w:tc>
        <w:tc>
          <w:tcPr>
            <w:tcW w:w="232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46DB638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0 份</w:t>
            </w:r>
          </w:p>
        </w:tc>
        <w:tc>
          <w:tcPr>
            <w:tcW w:w="4819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1D11FA6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无未同意、无不符合筛选、无高缺失等硬排除</w:t>
            </w:r>
          </w:p>
        </w:tc>
      </w:tr>
      <w:tr w14:paraId="516F3E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9EF7244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答题偏快标记</w:t>
            </w:r>
          </w:p>
        </w:tc>
        <w:tc>
          <w:tcPr>
            <w:tcW w:w="232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8BD82BF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12 份</w:t>
            </w:r>
          </w:p>
        </w:tc>
        <w:tc>
          <w:tcPr>
            <w:tcW w:w="4819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867AB0E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不因单一时长信号删除；另做敏感性分析</w:t>
            </w:r>
          </w:p>
        </w:tc>
      </w:tr>
      <w:tr w14:paraId="650765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A41BF9D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互斥项冲突</w:t>
            </w:r>
          </w:p>
        </w:tc>
        <w:tc>
          <w:tcPr>
            <w:tcW w:w="232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29D30A8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94 份</w:t>
            </w:r>
          </w:p>
        </w:tc>
        <w:tc>
          <w:tcPr>
            <w:tcW w:w="4819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07507B5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平台未启用互斥逻辑；实质选项与“记不清”等并存时删除互斥项</w:t>
            </w:r>
          </w:p>
        </w:tc>
      </w:tr>
      <w:tr w14:paraId="354333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3FCF1DF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多选上限违规</w:t>
            </w:r>
          </w:p>
        </w:tc>
        <w:tc>
          <w:tcPr>
            <w:tcW w:w="232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5448E65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0 份</w:t>
            </w:r>
          </w:p>
        </w:tc>
        <w:tc>
          <w:tcPr>
            <w:tcW w:w="4819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1C563A0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无需处理</w:t>
            </w:r>
          </w:p>
        </w:tc>
      </w:tr>
      <w:tr w14:paraId="1790B4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62BA5A4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关键指标敏感性</w:t>
            </w:r>
          </w:p>
        </w:tc>
        <w:tc>
          <w:tcPr>
            <w:tcW w:w="232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C412501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最大绝对差异 2.2 个百分点</w:t>
            </w:r>
          </w:p>
        </w:tc>
        <w:tc>
          <w:tcPr>
            <w:tcW w:w="4819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033AB9F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剔除12份偏快答卷后主要判断保持稳定</w:t>
            </w:r>
          </w:p>
        </w:tc>
      </w:tr>
      <w:tr w14:paraId="7E7883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115014F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数据状态</w:t>
            </w:r>
          </w:p>
        </w:tc>
        <w:tc>
          <w:tcPr>
            <w:tcW w:w="232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B54C48E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ANALYSIS_READY_WITH_LIMITS</w:t>
            </w:r>
          </w:p>
        </w:tc>
        <w:tc>
          <w:tcPr>
            <w:tcW w:w="4819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4C5A4DE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可用于内部洞察；外发前仍需业务、研究与合规复核</w:t>
            </w:r>
          </w:p>
        </w:tc>
      </w:tr>
    </w:tbl>
    <w:p w14:paraId="32B2B413">
      <w:pPr>
        <w:spacing w:after="20"/>
      </w:pPr>
    </w:p>
    <w:p w14:paraId="65EFC5A1">
      <w:pPr>
        <w:keepNext w:val="0"/>
        <w:keepLines w:val="0"/>
        <w:spacing w:before="0" w:after="120" w:line="317" w:lineRule="auto"/>
        <w:jc w:val="both"/>
      </w:pPr>
      <w:r>
        <w:rPr>
          <w:rFonts w:ascii="Arial" w:hAnsi="Arial" w:eastAsia="微软雅黑"/>
          <w:b w:val="0"/>
          <w:i w:val="0"/>
          <w:color w:val="20313F"/>
          <w:sz w:val="20"/>
        </w:rPr>
        <w:t>开放题存在完全相同表述，本报告只用于轻量主题计数，不把它们作为逐字引语或独立真实性证明。平台IP、地理位置、设备和浏览器字段未进入研究分析，也没有写入交付报告。</w:t>
      </w:r>
    </w:p>
    <w:tbl>
      <w:tblPr>
        <w:tblStyle w:val="32"/>
        <w:tblW w:w="941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2C71B7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tcBorders>
              <w:top w:val="single" w:color="B7791F" w:sz="8" w:space="0"/>
              <w:left w:val="single" w:color="B7791F" w:sz="8" w:space="0"/>
              <w:bottom w:val="single" w:color="B7791F" w:sz="8" w:space="0"/>
              <w:right w:val="single" w:color="B7791F" w:sz="8" w:space="0"/>
            </w:tcBorders>
            <w:shd w:val="clear" w:color="auto" w:fill="FFF3D6"/>
            <w:tcMar>
              <w:top w:w="140" w:type="dxa"/>
              <w:left w:w="170" w:type="dxa"/>
              <w:bottom w:w="140" w:type="dxa"/>
              <w:right w:w="170" w:type="dxa"/>
            </w:tcMar>
            <w:vAlign w:val="center"/>
          </w:tcPr>
          <w:p w14:paraId="0075D1C4">
            <w:pPr>
              <w:keepNext w:val="0"/>
              <w:keepLines w:val="0"/>
              <w:spacing w:before="0" w:after="0" w:line="300" w:lineRule="auto"/>
            </w:pPr>
            <w:r>
              <w:rPr>
                <w:rFonts w:ascii="Arial" w:hAnsi="Arial" w:eastAsia="微软雅黑"/>
                <w:b/>
                <w:i w:val="0"/>
                <w:color w:val="B7791F"/>
                <w:sz w:val="20"/>
              </w:rPr>
              <w:t>数据解释边界</w:t>
            </w:r>
            <w:r>
              <w:rPr>
                <w:rFonts w:ascii="Arial" w:hAnsi="Arial" w:eastAsia="微软雅黑"/>
                <w:b/>
                <w:i w:val="0"/>
                <w:color w:val="B7791F"/>
                <w:sz w:val="20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19"/>
              </w:rPr>
              <w:t>本次调查没有抽样框和总体权重，比例只描述200份回传样本。报告中的差异均为相关或方向性线索，不证明某项信息导致了购买、持有或赎回。</w:t>
            </w:r>
          </w:p>
        </w:tc>
      </w:tr>
    </w:tbl>
    <w:p w14:paraId="5A1B9135">
      <w:pPr>
        <w:spacing w:after="20"/>
      </w:pPr>
    </w:p>
    <w:p w14:paraId="20F1E18C">
      <w:r>
        <w:br w:type="page"/>
      </w:r>
    </w:p>
    <w:p w14:paraId="3F642E5D">
      <w:pPr>
        <w:pStyle w:val="3"/>
        <w:keepNext/>
        <w:keepLines w:val="0"/>
        <w:pBdr>
          <w:bottom w:val="single" w:color="B7791F" w:sz="8" w:space="5"/>
        </w:pBdr>
        <w:spacing w:before="280" w:after="140" w:line="252" w:lineRule="auto"/>
      </w:pPr>
      <w:r>
        <w:rPr>
          <w:rFonts w:ascii="Arial" w:hAnsi="Arial" w:eastAsia="微软雅黑"/>
          <w:b/>
          <w:i w:val="0"/>
          <w:color w:val="183B56"/>
          <w:sz w:val="32"/>
        </w:rPr>
        <w:t>附录 B｜关键指标口径</w:t>
      </w:r>
    </w:p>
    <w:tbl>
      <w:tblPr>
        <w:tblStyle w:val="32"/>
        <w:tblW w:w="941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4025"/>
        <w:gridCol w:w="3515"/>
      </w:tblGrid>
      <w:tr w14:paraId="6A5248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83B56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3E0EDAD"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指标</w:t>
            </w:r>
          </w:p>
        </w:tc>
        <w:tc>
          <w:tcPr>
            <w:tcW w:w="402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83B56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FA52D3B"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题目与计算方式</w:t>
            </w:r>
          </w:p>
        </w:tc>
        <w:tc>
          <w:tcPr>
            <w:tcW w:w="351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83B56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0569901"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不能解释成什么</w:t>
            </w:r>
          </w:p>
        </w:tc>
      </w:tr>
      <w:tr w14:paraId="1B1A39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0C13F78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四题全部答对</w:t>
            </w:r>
          </w:p>
        </w:tc>
        <w:tc>
          <w:tcPr>
            <w:tcW w:w="402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EF47AC8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Q17-Q20同一受访者四题均选正确答案</w:t>
            </w:r>
          </w:p>
        </w:tc>
        <w:tc>
          <w:tcPr>
            <w:tcW w:w="351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A11E8EB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不是考试及格率，也不等于其余人完全不懂</w:t>
            </w:r>
          </w:p>
        </w:tc>
      </w:tr>
      <w:tr w14:paraId="05624F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053AD95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两类产品均答对</w:t>
            </w:r>
          </w:p>
        </w:tc>
        <w:tc>
          <w:tcPr>
            <w:tcW w:w="402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DB0EFD3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Q17和Q18同时答对</w:t>
            </w:r>
          </w:p>
        </w:tc>
        <w:tc>
          <w:tcPr>
            <w:tcW w:w="351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D27F534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不代表已经能独立完成适当性判断</w:t>
            </w:r>
          </w:p>
        </w:tc>
      </w:tr>
      <w:tr w14:paraId="6BCD85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BF605F7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主动比较下滑曲线</w:t>
            </w:r>
          </w:p>
        </w:tc>
        <w:tc>
          <w:tcPr>
            <w:tcW w:w="402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1D5A693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Q8无提示比较因素中勾选下滑曲线</w:t>
            </w:r>
          </w:p>
        </w:tc>
        <w:tc>
          <w:tcPr>
            <w:tcW w:w="351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C42FB53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不等于听说过或看过</w:t>
            </w:r>
          </w:p>
        </w:tc>
      </w:tr>
      <w:tr w14:paraId="55D018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CCE78B5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提示后自报影响</w:t>
            </w:r>
          </w:p>
        </w:tc>
        <w:tc>
          <w:tcPr>
            <w:tcW w:w="402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FA39D46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Q16点名相关内容后回忆是否影响决定</w:t>
            </w:r>
          </w:p>
        </w:tc>
        <w:tc>
          <w:tcPr>
            <w:tcW w:w="351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0A07E04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不能与无提示主动比较率合并</w:t>
            </w:r>
          </w:p>
        </w:tc>
      </w:tr>
      <w:tr w14:paraId="364015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6E14D8F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信息触达缺口</w:t>
            </w:r>
          </w:p>
        </w:tc>
        <w:tc>
          <w:tcPr>
            <w:tcW w:w="402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846A5F7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Q15选择没有查看或想看但不知道在哪里看</w:t>
            </w:r>
          </w:p>
        </w:tc>
        <w:tc>
          <w:tcPr>
            <w:tcW w:w="351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C9B9A4C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不等于没有任何持有期信息需求</w:t>
            </w:r>
          </w:p>
        </w:tc>
      </w:tr>
      <w:tr w14:paraId="3C2025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1AEC4DF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长期与焦虑共现</w:t>
            </w:r>
          </w:p>
        </w:tc>
        <w:tc>
          <w:tcPr>
            <w:tcW w:w="402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8EB9978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Q23长期信号和焦虑信号同人勾选</w:t>
            </w:r>
          </w:p>
        </w:tc>
        <w:tc>
          <w:tcPr>
            <w:tcW w:w="351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B72264C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不是心理量表，也不是态度矛盾</w:t>
            </w:r>
          </w:p>
        </w:tc>
      </w:tr>
      <w:tr w14:paraId="6D30C8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5A6689D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分群显著性</w:t>
            </w:r>
          </w:p>
        </w:tc>
        <w:tc>
          <w:tcPr>
            <w:tcW w:w="402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1FD3FEB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Pearson卡方检验、Cramér's V、BH-FDR校正</w:t>
            </w:r>
          </w:p>
        </w:tc>
        <w:tc>
          <w:tcPr>
            <w:tcW w:w="351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01EB898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未显著不等于各组完全相同</w:t>
            </w:r>
          </w:p>
        </w:tc>
      </w:tr>
    </w:tbl>
    <w:p w14:paraId="34EFF8CB">
      <w:pPr>
        <w:spacing w:after="20"/>
      </w:pPr>
    </w:p>
    <w:p w14:paraId="33C87988">
      <w:r>
        <w:br w:type="page"/>
      </w:r>
    </w:p>
    <w:p w14:paraId="5E4B0294">
      <w:pPr>
        <w:pStyle w:val="3"/>
        <w:keepNext/>
        <w:keepLines w:val="0"/>
        <w:pBdr>
          <w:bottom w:val="single" w:color="B7791F" w:sz="8" w:space="5"/>
        </w:pBdr>
        <w:spacing w:before="280" w:after="140" w:line="252" w:lineRule="auto"/>
      </w:pPr>
      <w:r>
        <w:rPr>
          <w:rFonts w:ascii="Arial" w:hAnsi="Arial" w:eastAsia="微软雅黑"/>
          <w:b/>
          <w:i w:val="0"/>
          <w:color w:val="183B56"/>
          <w:sz w:val="32"/>
        </w:rPr>
        <w:t>附录 C｜本报告的使用建议</w:t>
      </w:r>
    </w:p>
    <w:tbl>
      <w:tblPr>
        <w:tblStyle w:val="32"/>
        <w:tblW w:w="941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58"/>
        <w:gridCol w:w="4252"/>
      </w:tblGrid>
      <w:tr w14:paraId="25DBF8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83B56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BE13493"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读者</w:t>
            </w:r>
          </w:p>
        </w:tc>
        <w:tc>
          <w:tcPr>
            <w:tcW w:w="345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83B56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388FCED"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建议重点阅读</w:t>
            </w:r>
          </w:p>
        </w:tc>
        <w:tc>
          <w:tcPr>
            <w:tcW w:w="42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83B56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3BEEA62"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适合用于</w:t>
            </w:r>
          </w:p>
        </w:tc>
      </w:tr>
      <w:tr w14:paraId="5C5FF3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EEC2D5E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管理层</w:t>
            </w:r>
          </w:p>
        </w:tc>
        <w:tc>
          <w:tcPr>
            <w:tcW w:w="345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5D188A5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结论汇总、行动方案</w:t>
            </w:r>
          </w:p>
        </w:tc>
        <w:tc>
          <w:tcPr>
            <w:tcW w:w="4252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DD5C70F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确定改版优先级和跨团队职责</w:t>
            </w:r>
          </w:p>
        </w:tc>
      </w:tr>
      <w:tr w14:paraId="1C86F6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0DAE2D7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产品团队</w:t>
            </w:r>
          </w:p>
        </w:tc>
        <w:tc>
          <w:tcPr>
            <w:tcW w:w="345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2D207A6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购买决策、下滑曲线、持有期信息</w:t>
            </w:r>
          </w:p>
        </w:tc>
        <w:tc>
          <w:tcPr>
            <w:tcW w:w="4252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332DB79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优化产品页、持有页和配置调整说明</w:t>
            </w:r>
          </w:p>
        </w:tc>
      </w:tr>
      <w:tr w14:paraId="6DD185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AF5643B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投教团队</w:t>
            </w:r>
          </w:p>
        </w:tc>
        <w:tc>
          <w:tcPr>
            <w:tcW w:w="345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03CC9EB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投资者教育建议</w:t>
            </w:r>
          </w:p>
        </w:tc>
        <w:tc>
          <w:tcPr>
            <w:tcW w:w="4252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7CB4635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规划主题、形式和触达时点</w:t>
            </w:r>
          </w:p>
        </w:tc>
      </w:tr>
      <w:tr w14:paraId="6C5889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77AEAB7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研究团队</w:t>
            </w:r>
          </w:p>
        </w:tc>
        <w:tc>
          <w:tcPr>
            <w:tcW w:w="345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6D2DC86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人群对比、附录</w:t>
            </w:r>
          </w:p>
        </w:tc>
        <w:tc>
          <w:tcPr>
            <w:tcW w:w="4252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705FF7A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设计下一轮问卷与专题访谈</w:t>
            </w:r>
          </w:p>
        </w:tc>
      </w:tr>
      <w:tr w14:paraId="212ABC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02BF1F6">
            <w:pPr>
              <w:keepNext w:val="0"/>
              <w:keepLines w:val="0"/>
              <w:spacing w:before="0" w:after="0" w:line="283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0313F"/>
                <w:sz w:val="17"/>
              </w:rPr>
              <w:t>合规与业务审核</w:t>
            </w:r>
          </w:p>
        </w:tc>
        <w:tc>
          <w:tcPr>
            <w:tcW w:w="345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BDC0672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知识题口径、风险边界、行动建议</w:t>
            </w:r>
          </w:p>
        </w:tc>
        <w:tc>
          <w:tcPr>
            <w:tcW w:w="4252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7B19E86">
            <w:pPr>
              <w:keepNext w:val="0"/>
              <w:keepLines w:val="0"/>
              <w:spacing w:before="0" w:after="0" w:line="283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复核表述是否准确、是否超出研究证据</w:t>
            </w:r>
          </w:p>
        </w:tc>
      </w:tr>
    </w:tbl>
    <w:p w14:paraId="36E1A50F">
      <w:pPr>
        <w:spacing w:after="20"/>
      </w:pPr>
    </w:p>
    <w:p w14:paraId="7C70C3E9">
      <w:pPr>
        <w:keepNext w:val="0"/>
        <w:keepLines w:val="0"/>
        <w:spacing w:before="240" w:after="120" w:line="336" w:lineRule="auto"/>
        <w:jc w:val="both"/>
      </w:pPr>
      <w:r>
        <w:rPr>
          <w:rFonts w:ascii="Arial" w:hAnsi="Arial" w:eastAsia="微软雅黑"/>
          <w:b/>
          <w:i w:val="0"/>
          <w:color w:val="183B56"/>
          <w:sz w:val="22"/>
        </w:rPr>
        <w:t>报告最终结论：</w:t>
      </w:r>
      <w:r>
        <w:rPr>
          <w:rFonts w:ascii="Arial" w:hAnsi="Arial" w:eastAsia="微软雅黑"/>
          <w:b w:val="0"/>
          <w:i w:val="0"/>
          <w:color w:val="20313F"/>
          <w:sz w:val="22"/>
        </w:rPr>
        <w:t>养老目标基金购买者并不缺少零散信息，真正缺少的是一套在购买前能完成匹配、持有中能持续查看、市场波动时能解释风险的判断支持。先改通用信息，再验证人群差异，是当前最稳妥的推进顺序。</w:t>
      </w:r>
    </w:p>
    <w:p w14:paraId="50E019E7">
      <w:pPr>
        <w:keepNext w:val="0"/>
        <w:keepLines w:val="0"/>
        <w:spacing w:before="0" w:after="80" w:line="288" w:lineRule="auto"/>
        <w:jc w:val="center"/>
      </w:pPr>
      <w:r>
        <w:rPr>
          <w:rFonts w:ascii="Arial" w:hAnsi="Arial" w:eastAsia="微软雅黑"/>
          <w:b w:val="0"/>
          <w:i w:val="0"/>
          <w:color w:val="60717D"/>
          <w:sz w:val="16"/>
        </w:rPr>
        <w:t>数据来源：FOF问卷回答_200人.csv；问卷规格：INS-OTF-SURVEY-001 v0.2.0；分析日期：2026年7月27日。</w:t>
      </w:r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020" w:right="1247" w:bottom="964" w:left="1247" w:header="425" w:footer="425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003C18">
    <w:pPr>
      <w:pStyle w:val="24"/>
      <w:jc w:val="right"/>
    </w:pPr>
    <w:r>
      <w:rPr>
        <w:rFonts w:ascii="Arial" w:hAnsi="Arial" w:eastAsia="微软雅黑"/>
        <w:b w:val="0"/>
        <w:i w:val="0"/>
        <w:color w:val="60717D"/>
        <w:sz w:val="16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rPr>
        <w:rFonts w:ascii="Arial" w:hAnsi="Arial"/>
        <w:color w:val="60717D"/>
        <w:sz w:val="16"/>
      </w:rPr>
      <w:fldChar w:fldCharType="end"/>
    </w:r>
    <w:r>
      <w:rPr>
        <w:rFonts w:ascii="Arial" w:hAnsi="Arial" w:eastAsia="微软雅黑"/>
        <w:b w:val="0"/>
        <w:i w:val="0"/>
        <w:color w:val="60717D"/>
        <w:sz w:val="16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2F0312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F4936F">
    <w:pPr>
      <w:pStyle w:val="25"/>
      <w:keepNext w:val="0"/>
      <w:keepLines w:val="0"/>
      <w:spacing w:before="0" w:after="0" w:line="240" w:lineRule="auto"/>
    </w:pPr>
    <w:r>
      <w:rPr>
        <w:rFonts w:ascii="Arial" w:hAnsi="Arial" w:eastAsia="微软雅黑"/>
        <w:b/>
        <w:i w:val="0"/>
        <w:color w:val="60717D"/>
        <w:sz w:val="16"/>
      </w:rPr>
      <w:t>养老目标基金购买者调查｜认知、决策与持有行为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6CFFEF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B57199E"/>
    <w:rsid w:val="5E947C3E"/>
    <w:rsid w:val="6B090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</w:pPr>
    <w:rPr>
      <w:rFonts w:ascii="Arial" w:hAnsi="Arial" w:eastAsia="微软雅黑" w:cstheme="minorBidi"/>
      <w:color w:val="20313F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83B56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878A6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Report Caption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60717D"/>
      <w:sz w:val="16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6944</Words>
  <Characters>7662</Characters>
  <Lines>0</Lines>
  <Paragraphs>0</Paragraphs>
  <TotalTime>18</TotalTime>
  <ScaleCrop>false</ScaleCrop>
  <LinksUpToDate>false</LinksUpToDate>
  <CharactersWithSpaces>7727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AI辅助用户研究工作流</dc:creator>
  <dc:description>领导审阅版；包含结论汇总、样本画像、探索性分群与业务行动建议</dc:description>
  <cp:keywords>养老目标基金, FOF, 用户研究, 购买决策, 持有行为, 投资者教育</cp:keywords>
  <cp:lastModifiedBy>momo（日常提肛版</cp:lastModifiedBy>
  <dcterms:modified xsi:type="dcterms:W3CDTF">2026-07-28T01:22:21Z</dcterms:modified>
  <dc:subject>基于200份实际购买者问卷的洞察与业务建议</dc:subject>
  <dc:title>养老目标基金购买者认知、决策与持有行为调查报告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eyJoZGlkIjoiZDAxYmE1ZWMzNjRiNTZhNTFjYWQxOTFjODZhNGEwYzkiLCJ1c2VySWQiOiIxNTA1MzMxMTkzIn0=</vt:lpwstr>
  </property>
  <property fmtid="{D5CDD505-2E9C-101B-9397-08002B2CF9AE}" pid="3" name="KSOProductBuildVer">
    <vt:lpwstr>2052-12.1.0.26895</vt:lpwstr>
  </property>
  <property fmtid="{D5CDD505-2E9C-101B-9397-08002B2CF9AE}" pid="4" name="ICV">
    <vt:lpwstr>E0847FA5D57D4E988D05F13A5BA20B6E_12</vt:lpwstr>
  </property>
</Properties>
</file>