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760" w:after="360" w:lineRule="auto" w:line="240"/>
        <w:jc w:val="center"/>
      </w:pPr>
      <w:r>
        <w:rPr>
          <w:rFonts w:ascii="Arial" w:hAnsi="Arial" w:eastAsia="Microsoft YaHei"/>
          <w:b/>
          <w:i w:val="0"/>
          <w:color w:val="B7791F"/>
          <w:sz w:val="18"/>
        </w:rPr>
        <w:t>INVESTOR ATTITUDE ANALYSIS  /  2026.07</w:t>
      </w:r>
    </w:p>
    <w:p>
      <w:pPr>
        <w:keepNext w:val="0"/>
        <w:spacing w:before="0" w:after="0" w:lineRule="auto" w:line="240"/>
        <w:jc w:val="center"/>
      </w:pPr>
      <w:r>
        <w:rPr>
          <w:rFonts w:ascii="Arial" w:hAnsi="Arial" w:eastAsia="Microsoft YaHei"/>
          <w:b/>
          <w:i w:val="0"/>
          <w:color w:val="183B56"/>
          <w:sz w:val="58"/>
        </w:rPr>
        <w:t>养老目标基金购买者</w:t>
      </w:r>
    </w:p>
    <w:p>
      <w:pPr>
        <w:keepNext w:val="0"/>
        <w:spacing w:before="0" w:after="260" w:lineRule="auto" w:line="240"/>
        <w:jc w:val="center"/>
      </w:pPr>
      <w:r>
        <w:rPr>
          <w:rFonts w:ascii="Arial" w:hAnsi="Arial" w:eastAsia="Microsoft YaHei"/>
          <w:b/>
          <w:i w:val="0"/>
          <w:color w:val="183B56"/>
          <w:sz w:val="58"/>
        </w:rPr>
        <w:t>调研分析报告</w:t>
      </w:r>
    </w:p>
    <w:p>
      <w:pPr>
        <w:keepNext w:val="0"/>
        <w:spacing w:before="0" w:after="640" w:lineRule="auto" w:line="240"/>
        <w:jc w:val="center"/>
      </w:pPr>
      <w:r>
        <w:rPr>
          <w:rFonts w:ascii="Arial" w:hAnsi="Arial" w:eastAsia="Microsoft YaHei"/>
          <w:b w:val="0"/>
          <w:i w:val="0"/>
          <w:color w:val="60717D"/>
          <w:sz w:val="22"/>
        </w:rPr>
        <w:t>分析先行 · 态度判断 · 证据支撑 · 投教行动</w:t>
      </w:r>
    </w:p>
    <w:tbl>
      <w:tblPr>
        <w:tblW w:type="dxa" w:w="9638"/>
        <w:jc w:val="center"/>
        <w:tblLayout w:type="fixed"/>
        <w:tblLook w:firstColumn="1" w:firstRow="1" w:lastColumn="0" w:lastRow="0" w:noHBand="0" w:noVBand="1" w:val="04A0"/>
        <w:tblInd w:type="dxa" w:w="0"/>
      </w:tblPr>
      <w:tblGrid>
        <w:gridCol w:w="4819"/>
        <w:gridCol w:w="4819"/>
      </w:tblGrid>
      <w:tr>
        <w:tc>
          <w:tcPr>
            <w:tcW w:type="dxa" w:w="4819"/>
            <w:vAlign w:val="center"/>
            <w:shd w:fill="EEF4F6"/>
            <w:tcMar>
              <w:top w:w="150" w:type="dxa"/>
              <w:start w:w="130" w:type="dxa"/>
              <w:bottom w:w="150" w:type="dxa"/>
              <w:end w:w="130" w:type="dxa"/>
            </w:tcMar>
            <w:tcBorders>
              <w:top w:val="single" w:sz="5" w:color="DCE5EA"/>
              <w:left w:val="single" w:sz="5" w:color="DCE5EA"/>
              <w:bottom w:val="single" w:sz="5" w:color="DCE5EA"/>
              <w:right w:val="single" w:sz="5" w:color="DCE5EA"/>
            </w:tcBorders>
          </w:tcPr>
          <w:p>
            <w:pPr>
              <w:keepNext w:val="0"/>
              <w:spacing w:before="0" w:after="0" w:lineRule="auto" w:line="264"/>
              <w:jc w:val="center"/>
            </w:pPr>
            <w:r>
              <w:rPr>
                <w:rFonts w:ascii="Arial" w:hAnsi="Arial" w:eastAsia="Microsoft YaHei"/>
                <w:b/>
                <w:i w:val="0"/>
                <w:color w:val="1F6E8C"/>
                <w:sz w:val="16"/>
              </w:rPr>
              <w:t>样本</w:t>
            </w:r>
            <w:r>
              <w:rPr>
                <w:rFonts w:ascii="Arial" w:hAnsi="Arial" w:eastAsia="Microsoft YaHei"/>
                <w:b/>
                <w:i w:val="0"/>
                <w:color w:val="183B56"/>
                <w:sz w:val="18"/>
              </w:rPr>
              <w:br/>
              <w:t>200 份有效分析答卷</w:t>
            </w:r>
          </w:p>
        </w:tc>
        <w:tc>
          <w:tcPr>
            <w:tcW w:type="dxa" w:w="4819"/>
            <w:vAlign w:val="center"/>
            <w:shd w:fill="EEF4F6"/>
            <w:tcMar>
              <w:top w:w="150" w:type="dxa"/>
              <w:start w:w="130" w:type="dxa"/>
              <w:bottom w:w="150" w:type="dxa"/>
              <w:end w:w="130" w:type="dxa"/>
            </w:tcMar>
            <w:tcBorders>
              <w:top w:val="single" w:sz="5" w:color="DCE5EA"/>
              <w:left w:val="single" w:sz="5" w:color="DCE5EA"/>
              <w:bottom w:val="single" w:sz="5" w:color="DCE5EA"/>
              <w:right w:val="single" w:sz="5" w:color="DCE5EA"/>
            </w:tcBorders>
          </w:tcPr>
          <w:p>
            <w:pPr>
              <w:keepNext w:val="0"/>
              <w:spacing w:before="0" w:after="0" w:lineRule="auto" w:line="264"/>
              <w:jc w:val="center"/>
            </w:pPr>
            <w:r>
              <w:rPr>
                <w:rFonts w:ascii="Arial" w:hAnsi="Arial" w:eastAsia="Microsoft YaHei"/>
                <w:b/>
                <w:i w:val="0"/>
                <w:color w:val="1F6E8C"/>
                <w:sz w:val="16"/>
              </w:rPr>
              <w:t>研究对象</w:t>
            </w:r>
            <w:r>
              <w:rPr>
                <w:rFonts w:ascii="Arial" w:hAnsi="Arial" w:eastAsia="Microsoft YaHei"/>
                <w:b/>
                <w:i w:val="0"/>
                <w:color w:val="183B56"/>
                <w:sz w:val="18"/>
              </w:rPr>
              <w:br/>
              <w:t>实际购买过养老目标基金</w:t>
            </w:r>
          </w:p>
        </w:tc>
      </w:tr>
    </w:tbl>
    <w:p>
      <w:pPr>
        <w:keepNext w:val="0"/>
        <w:spacing w:before="900" w:after="200" w:lineRule="auto" w:line="276"/>
        <w:jc w:val="center"/>
      </w:pPr>
      <w:r>
        <w:rPr>
          <w:rFonts w:ascii="Arial" w:hAnsi="Arial" w:eastAsia="Microsoft YaHei"/>
          <w:b/>
          <w:i w:val="0"/>
          <w:color w:val="20313F"/>
          <w:sz w:val="24"/>
        </w:rPr>
        <w:t>研究主题：购买过养老目标基金的投资者，如何认识产品、作出选择并应对持有期波动。</w:t>
      </w:r>
    </w:p>
    <w:p>
      <w:pPr>
        <w:keepNext w:val="0"/>
        <w:spacing w:before="0" w:after="0" w:lineRule="auto" w:line="300"/>
        <w:jc w:val="center"/>
      </w:pPr>
      <w:r>
        <w:rPr>
          <w:rFonts w:ascii="Arial" w:hAnsi="Arial" w:eastAsia="Microsoft YaHei"/>
          <w:b w:val="0"/>
          <w:i w:val="0"/>
          <w:color w:val="60717D"/>
          <w:sz w:val="16"/>
        </w:rPr>
        <w:t>说明：本报告描述本次回传样本，不代表市场总体；不构成产品推荐、适当性判断或投资建议。</w:t>
      </w:r>
    </w:p>
    <w:p>
      <w:r>
        <w:br w:type="page"/>
      </w:r>
    </w:p>
    <w:p>
      <w:pPr>
        <w:pStyle w:val="Heading1"/>
        <w:keepNext/>
      </w:pPr>
      <w:r>
        <w:rPr>
          <w:rFonts w:ascii="Arial" w:hAnsi="Arial" w:eastAsia="Microsoft YaHei"/>
          <w:b/>
          <w:i w:val="0"/>
          <w:color w:val="183B56"/>
          <w:sz w:val="32"/>
        </w:rPr>
        <w:t>研究说明：为什么要做这项研究</w:t>
      </w:r>
    </w:p>
    <w:p>
      <w:pPr>
        <w:pStyle w:val="Heading2"/>
        <w:keepNext/>
      </w:pPr>
      <w:r>
        <w:rPr>
          <w:rFonts w:ascii="Arial" w:hAnsi="Arial" w:eastAsia="Microsoft YaHei"/>
          <w:b/>
          <w:i w:val="0"/>
          <w:color w:val="1F6E8C"/>
          <w:sz w:val="25"/>
        </w:rPr>
        <w:t>研究背景</w:t>
      </w:r>
    </w:p>
    <w:p>
      <w:pPr>
        <w:keepNext w:val="0"/>
        <w:spacing w:before="0" w:after="100" w:lineRule="auto" w:line="300"/>
        <w:ind w:left="0"/>
      </w:pPr>
      <w:r>
        <w:rPr>
          <w:rFonts w:ascii="Arial" w:hAnsi="Arial" w:eastAsia="Microsoft YaHei"/>
          <w:b w:val="0"/>
          <w:i w:val="0"/>
          <w:color w:val="20313F"/>
          <w:sz w:val="21"/>
        </w:rPr>
        <w:t>养老目标基金是一类以养老资金长期配置为目标的基金中基金（FOF）。产品通常通过目标日期型或目标风险型等方式组织投资策略，并可能随着目标日期接近调整资产配置。对投资者而言，真正困难的并不只是记住产品名称，而是判断产品类型是否适合自己、理解当前和未来的配置变化，并在净值波动时知道应该如何解读产品表现。</w:t>
      </w:r>
    </w:p>
    <w:p>
      <w:pPr>
        <w:keepNext w:val="0"/>
        <w:spacing w:before="0" w:after="100" w:lineRule="auto" w:line="300"/>
        <w:ind w:left="0"/>
      </w:pPr>
      <w:r>
        <w:rPr>
          <w:rFonts w:ascii="Arial" w:hAnsi="Arial" w:eastAsia="Microsoft YaHei"/>
          <w:b w:val="0"/>
          <w:i w:val="0"/>
          <w:color w:val="20313F"/>
          <w:sz w:val="21"/>
        </w:rPr>
        <w:t>本次研究并不是为了估算养老目标基金的市场规模，也不是为了评价某一只基金“好不好”。我们把研究对象限定为目前或过去实际购买过养老目标基金的投资者，希望理解：购买行为已经发生之后，投资者到底依据什么作出选择，对产品核心机制理解到什么程度，哪些信息能够进入真实决策，以及持有期还缺少什么解释。</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研究目的</w:t>
            </w:r>
            <w:r>
              <w:rPr>
                <w:rFonts w:ascii="Arial" w:hAnsi="Arial" w:eastAsia="Microsoft YaHei"/>
                <w:b w:val="0"/>
                <w:i w:val="0"/>
                <w:color w:val="20313F"/>
                <w:sz w:val="20"/>
              </w:rPr>
              <w:br/>
              <w:t>从购买者的实际决策与持有经历出发，识别“产品已经被接受”与“产品是否被正确理解、能否被持续判断”之间的差距，为产品信息设计、持有期服务和投资者教育提供依据。</w:t>
            </w:r>
          </w:p>
        </w:tc>
      </w:tr>
    </w:tbl>
    <w:p>
      <w:pPr>
        <w:spacing w:after="20"/>
      </w:pPr>
    </w:p>
    <w:p>
      <w:pPr>
        <w:pStyle w:val="Heading2"/>
        <w:keepNext/>
      </w:pPr>
      <w:r>
        <w:rPr>
          <w:rFonts w:ascii="Arial" w:hAnsi="Arial" w:eastAsia="Microsoft YaHei"/>
          <w:b/>
          <w:i w:val="0"/>
          <w:color w:val="1F6E8C"/>
          <w:sz w:val="25"/>
        </w:rPr>
        <w:t>五个研究方向</w:t>
      </w:r>
    </w:p>
    <w:tbl>
      <w:tblPr>
        <w:tblW w:type="dxa" w:w="9410"/>
        <w:tblLayout w:type="fixed"/>
        <w:tblLook w:firstColumn="1" w:firstRow="1" w:lastColumn="0" w:lastRow="0" w:noHBand="0" w:noVBand="1" w:val="04A0"/>
        <w:jc w:val="center"/>
        <w:tblInd w:type="dxa" w:w="0"/>
      </w:tblPr>
      <w:tblGrid>
        <w:gridCol w:w="1587"/>
        <w:gridCol w:w="4535"/>
        <w:gridCol w:w="3288"/>
      </w:tblGrid>
      <w:tr>
        <w:trPr>
          <w:tblHeader w:val="true"/>
        </w:trPr>
        <w:tc>
          <w:tcPr>
            <w:tcW w:type="dxa" w:w="1587"/>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研究方向</w:t>
            </w:r>
          </w:p>
        </w:tc>
        <w:tc>
          <w:tcPr>
            <w:tcW w:type="dxa" w:w="4535"/>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要回答的问题</w:t>
            </w:r>
          </w:p>
        </w:tc>
        <w:tc>
          <w:tcPr>
            <w:tcW w:type="dxa" w:w="3288"/>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对应的业务用途</w:t>
            </w:r>
          </w:p>
        </w:tc>
      </w:tr>
      <w:tr>
        <w:trPr>
          <w:cantSplit/>
        </w:trPr>
        <w:tc>
          <w:tcPr>
            <w:tcW w:type="dxa" w:w="1587"/>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购买决策</w:t>
            </w:r>
          </w:p>
        </w:tc>
        <w:tc>
          <w:tcPr>
            <w:tcW w:type="dxa" w:w="453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投资者从哪里接触产品？哪些因素吸引关注，哪些因素真正进入比较和最终判断？</w:t>
            </w:r>
          </w:p>
        </w:tc>
        <w:tc>
          <w:tcPr>
            <w:tcW w:type="dxa" w:w="328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优化产品页面与沟通信息的层级</w:t>
            </w:r>
          </w:p>
        </w:tc>
      </w:tr>
      <w:tr>
        <w:trPr>
          <w:cantSplit/>
        </w:trPr>
        <w:tc>
          <w:tcPr>
            <w:tcW w:type="dxa" w:w="1587"/>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产品认知</w:t>
            </w:r>
          </w:p>
        </w:tc>
        <w:tc>
          <w:tcPr>
            <w:tcW w:type="dxa" w:w="453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投资者能否区分目标日期型、目标风险型，并理解二者的一般设计逻辑？</w:t>
            </w:r>
          </w:p>
        </w:tc>
        <w:tc>
          <w:tcPr>
            <w:tcW w:type="dxa" w:w="328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确定基础产品说明应解释到什么程度</w:t>
            </w:r>
          </w:p>
        </w:tc>
      </w:tr>
      <w:tr>
        <w:trPr>
          <w:cantSplit/>
        </w:trPr>
        <w:tc>
          <w:tcPr>
            <w:tcW w:type="dxa" w:w="1587"/>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下滑曲线</w:t>
            </w:r>
          </w:p>
        </w:tc>
        <w:tc>
          <w:tcPr>
            <w:tcW w:type="dxa" w:w="453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投资者是否听说、看过、理解并主动使用下滑曲线或资产配置调整信息？</w:t>
            </w:r>
          </w:p>
        </w:tc>
        <w:tc>
          <w:tcPr>
            <w:tcW w:type="dxa" w:w="328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改进配置路径与风险边界的表达</w:t>
            </w:r>
          </w:p>
        </w:tc>
      </w:tr>
      <w:tr>
        <w:trPr>
          <w:cantSplit/>
        </w:trPr>
        <w:tc>
          <w:tcPr>
            <w:tcW w:type="dxa" w:w="1587"/>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持有与波动</w:t>
            </w:r>
          </w:p>
        </w:tc>
        <w:tc>
          <w:tcPr>
            <w:tcW w:type="dxa" w:w="453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面对净值下跌时，投资者如何行动？长期认同与短期担忧之间是什么关系？</w:t>
            </w:r>
          </w:p>
        </w:tc>
        <w:tc>
          <w:tcPr>
            <w:tcW w:type="dxa" w:w="328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设计持有期解释与波动沟通</w:t>
            </w:r>
          </w:p>
        </w:tc>
      </w:tr>
      <w:tr>
        <w:trPr>
          <w:cantSplit/>
        </w:trPr>
        <w:tc>
          <w:tcPr>
            <w:tcW w:type="dxa" w:w="1587"/>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投教需求</w:t>
            </w:r>
          </w:p>
        </w:tc>
        <w:tc>
          <w:tcPr>
            <w:tcW w:type="dxa" w:w="453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投资者希望了解什么、用什么形式理解、在什么时点接收信息？</w:t>
            </w:r>
          </w:p>
        </w:tc>
        <w:tc>
          <w:tcPr>
            <w:tcW w:type="dxa" w:w="328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确定投资者教育的内容、形式与触达场景</w:t>
            </w:r>
          </w:p>
        </w:tc>
      </w:tr>
    </w:tbl>
    <w:p>
      <w:pPr>
        <w:spacing w:after="40"/>
      </w:pPr>
    </w:p>
    <w:p>
      <w:pPr>
        <w:pStyle w:val="Heading2"/>
        <w:keepNext/>
      </w:pPr>
      <w:r>
        <w:rPr>
          <w:rFonts w:ascii="Arial" w:hAnsi="Arial" w:eastAsia="Microsoft YaHei"/>
          <w:b/>
          <w:i w:val="0"/>
          <w:color w:val="1F6E8C"/>
          <w:sz w:val="25"/>
        </w:rPr>
        <w:t>研究对象与解释边界</w:t>
      </w:r>
    </w:p>
    <w:p>
      <w:pPr>
        <w:keepNext w:val="0"/>
        <w:spacing w:before="0" w:after="100" w:lineRule="auto" w:line="300"/>
        <w:ind w:left="0"/>
      </w:pPr>
      <w:r>
        <w:rPr>
          <w:rFonts w:ascii="Arial" w:hAnsi="Arial" w:eastAsia="Microsoft YaHei"/>
          <w:b w:val="0"/>
          <w:i w:val="0"/>
          <w:color w:val="20313F"/>
          <w:sz w:val="21"/>
        </w:rPr>
        <w:t>报告分析 200 份回传问卷。受访者均自报目前或过去购买过养老目标基金，因此报告描述的是“购买者样本”，而不是所有投资者或潜在客户。由于没有完整抽样框和总体分布，本报告不把样本比例外推为市场总体比例；年龄差异也只用于材料设计线索，不用于客户标签。</w:t>
      </w:r>
    </w:p>
    <w:p>
      <w:pPr>
        <w:pStyle w:val="Heading1"/>
        <w:keepNext/>
      </w:pPr>
      <w:r>
        <w:rPr>
          <w:rFonts w:ascii="Arial" w:hAnsi="Arial" w:eastAsia="Microsoft YaHei"/>
          <w:b/>
          <w:i w:val="0"/>
          <w:color w:val="183B56"/>
          <w:sz w:val="32"/>
        </w:rPr>
        <w:t>阅读准备：报告中的关键指标是什么意思</w:t>
      </w:r>
    </w:p>
    <w:p>
      <w:pPr>
        <w:pStyle w:val="Heading2"/>
        <w:keepNext/>
      </w:pPr>
      <w:r>
        <w:rPr>
          <w:rFonts w:ascii="Arial" w:hAnsi="Arial" w:eastAsia="Microsoft YaHei"/>
          <w:b/>
          <w:i w:val="0"/>
          <w:color w:val="1F6E8C"/>
          <w:sz w:val="25"/>
        </w:rPr>
        <w:t>为什么设计四道知识题</w:t>
      </w:r>
    </w:p>
    <w:p>
      <w:pPr>
        <w:keepNext w:val="0"/>
        <w:spacing w:before="0" w:after="100" w:lineRule="auto" w:line="300"/>
        <w:ind w:left="0"/>
      </w:pPr>
      <w:r>
        <w:rPr>
          <w:rFonts w:ascii="Arial" w:hAnsi="Arial" w:eastAsia="Microsoft YaHei"/>
          <w:b w:val="0"/>
          <w:i w:val="0"/>
          <w:color w:val="20313F"/>
          <w:sz w:val="21"/>
        </w:rPr>
        <w:t>问卷没有用“您是否了解养老目标基金”这一道主观题直接判断认知水平。因为受访者可能觉得自己了解，却无法准确解释产品机制；也可能不熟悉专业术语，但能够作出正确判断。因此，我们另外设置了四道单选知识题，分别检验产品类型、配置变化和风险边界。报告中的“四题全部答对”，指同一位受访者同时答对以下四个知识点。</w:t>
      </w:r>
    </w:p>
    <w:tbl>
      <w:tblPr>
        <w:tblW w:type="dxa" w:w="9411"/>
        <w:tblLayout w:type="fixed"/>
        <w:tblLook w:firstColumn="1" w:firstRow="1" w:lastColumn="0" w:lastRow="0" w:noHBand="0" w:noVBand="1" w:val="04A0"/>
        <w:jc w:val="center"/>
        <w:tblInd w:type="dxa" w:w="0"/>
      </w:tblPr>
      <w:tblGrid>
        <w:gridCol w:w="850"/>
        <w:gridCol w:w="2381"/>
        <w:gridCol w:w="3969"/>
        <w:gridCol w:w="2211"/>
      </w:tblGrid>
      <w:tr>
        <w:trPr>
          <w:tblHeader w:val="true"/>
        </w:trPr>
        <w:tc>
          <w:tcPr>
            <w:tcW w:type="dxa" w:w="850"/>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题号</w:t>
            </w:r>
          </w:p>
        </w:tc>
        <w:tc>
          <w:tcPr>
            <w:tcW w:type="dxa" w:w="2381"/>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检验的知识点</w:t>
            </w:r>
          </w:p>
        </w:tc>
        <w:tc>
          <w:tcPr>
            <w:tcW w:type="dxa" w:w="3969"/>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本报告采用的正确理解</w:t>
            </w:r>
          </w:p>
        </w:tc>
        <w:tc>
          <w:tcPr>
            <w:tcW w:type="dxa" w:w="2211"/>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为什么重要</w:t>
            </w:r>
          </w:p>
        </w:tc>
      </w:tr>
      <w:tr>
        <w:trPr>
          <w:cantSplit/>
        </w:trPr>
        <w:tc>
          <w:tcPr>
            <w:tcW w:type="dxa" w:w="850"/>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Q17</w:t>
            </w:r>
          </w:p>
        </w:tc>
        <w:tc>
          <w:tcPr>
            <w:tcW w:type="dxa" w:w="238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目标日期型的一般设计逻辑</w:t>
            </w:r>
          </w:p>
        </w:tc>
        <w:tc>
          <w:tcPr>
            <w:tcW w:type="dxa" w:w="3969"/>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主要依据预计退休年份选择，并可能随目标日期接近调整资产配置</w:t>
            </w:r>
          </w:p>
        </w:tc>
        <w:tc>
          <w:tcPr>
            <w:tcW w:type="dxa" w:w="221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帮助投资者理解目标年份不是收益承诺</w:t>
            </w:r>
          </w:p>
        </w:tc>
      </w:tr>
      <w:tr>
        <w:trPr>
          <w:cantSplit/>
        </w:trPr>
        <w:tc>
          <w:tcPr>
            <w:tcW w:type="dxa" w:w="850"/>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Q18</w:t>
            </w:r>
          </w:p>
        </w:tc>
        <w:tc>
          <w:tcPr>
            <w:tcW w:type="dxa" w:w="238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目标风险型的一般设计逻辑</w:t>
            </w:r>
          </w:p>
        </w:tc>
        <w:tc>
          <w:tcPr>
            <w:tcW w:type="dxa" w:w="3969"/>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主要依据预设风险水平选择，并在策略范围内维持相应风险特征</w:t>
            </w:r>
          </w:p>
        </w:tc>
        <w:tc>
          <w:tcPr>
            <w:tcW w:type="dxa" w:w="221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帮助投资者把风险类型与自身情况联系起来</w:t>
            </w:r>
          </w:p>
        </w:tc>
      </w:tr>
      <w:tr>
        <w:trPr>
          <w:cantSplit/>
        </w:trPr>
        <w:tc>
          <w:tcPr>
            <w:tcW w:type="dxa" w:w="850"/>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Q19</w:t>
            </w:r>
          </w:p>
        </w:tc>
        <w:tc>
          <w:tcPr>
            <w:tcW w:type="dxa" w:w="238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下滑曲线表达什么</w:t>
            </w:r>
          </w:p>
        </w:tc>
        <w:tc>
          <w:tcPr>
            <w:tcW w:type="dxa" w:w="3969"/>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表达随着目标日期接近，基金资产配置可能如何逐步调整</w:t>
            </w:r>
          </w:p>
        </w:tc>
        <w:tc>
          <w:tcPr>
            <w:tcW w:type="dxa" w:w="221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区分配置路径与历史收益曲线</w:t>
            </w:r>
          </w:p>
        </w:tc>
      </w:tr>
      <w:tr>
        <w:trPr>
          <w:cantSplit/>
        </w:trPr>
        <w:tc>
          <w:tcPr>
            <w:tcW w:type="dxa" w:w="850"/>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Q20</w:t>
            </w:r>
          </w:p>
        </w:tc>
        <w:tc>
          <w:tcPr>
            <w:tcW w:type="dxa" w:w="238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降低高波动资产后的风险边界</w:t>
            </w:r>
          </w:p>
        </w:tc>
        <w:tc>
          <w:tcPr>
            <w:tcW w:type="dxa" w:w="3969"/>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基金仍可能发生净值波动或亏损，不代表本金和收益有保证</w:t>
            </w:r>
          </w:p>
        </w:tc>
        <w:tc>
          <w:tcPr>
            <w:tcW w:type="dxa" w:w="221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防止把配置调整误解为保本或收益保证</w:t>
            </w:r>
          </w:p>
        </w:tc>
      </w:tr>
    </w:tbl>
    <w:p>
      <w:pPr>
        <w:spacing w:after="40"/>
      </w:pP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FFF3D6"/>
            <w:tcBorders>
              <w:top w:val="single" w:sz="14" w:color="B7791F"/>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B7791F"/>
                <w:sz w:val="21"/>
              </w:rPr>
              <w:t>如何理解“20.0% 四题全部答对”</w:t>
            </w:r>
            <w:r>
              <w:rPr>
                <w:rFonts w:ascii="Arial" w:hAnsi="Arial" w:eastAsia="Microsoft YaHei"/>
                <w:b w:val="0"/>
                <w:i w:val="0"/>
                <w:color w:val="20313F"/>
                <w:sz w:val="20"/>
              </w:rPr>
              <w:br/>
              <w:t>它不是考试及格率，也不代表另外 80.0% 的人“完全不知道养老目标基金”。四题全对是一项较严格的组合指标：只有四个关键知识点同时判断正确才计入。单题正确率均在六成左右，说明很多人掌握了部分知识，但跨概念、跨风险边界的理解还不稳定。</w:t>
            </w:r>
          </w:p>
        </w:tc>
      </w:tr>
    </w:tbl>
    <w:p>
      <w:pPr>
        <w:spacing w:after="20"/>
      </w:pPr>
    </w:p>
    <w:p>
      <w:pPr>
        <w:pStyle w:val="Heading2"/>
        <w:keepNext/>
      </w:pPr>
      <w:r>
        <w:rPr>
          <w:rFonts w:ascii="Arial" w:hAnsi="Arial" w:eastAsia="Microsoft YaHei"/>
          <w:b/>
          <w:i w:val="0"/>
          <w:color w:val="1F6E8C"/>
          <w:sz w:val="25"/>
        </w:rPr>
        <w:t>另外三个容易混淆的口径</w:t>
      </w:r>
    </w:p>
    <w:tbl>
      <w:tblPr>
        <w:tblW w:type="dxa" w:w="9411"/>
        <w:tblLayout w:type="fixed"/>
        <w:tblLook w:firstColumn="1" w:firstRow="1" w:lastColumn="0" w:lastRow="0" w:noHBand="0" w:noVBand="1" w:val="04A0"/>
        <w:jc w:val="center"/>
        <w:tblInd w:type="dxa" w:w="0"/>
      </w:tblPr>
      <w:tblGrid>
        <w:gridCol w:w="1814"/>
        <w:gridCol w:w="3969"/>
        <w:gridCol w:w="3628"/>
      </w:tblGrid>
      <w:tr>
        <w:trPr>
          <w:tblHeader w:val="true"/>
        </w:trPr>
        <w:tc>
          <w:tcPr>
            <w:tcW w:type="dxa" w:w="1814"/>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口径</w:t>
            </w:r>
          </w:p>
        </w:tc>
        <w:tc>
          <w:tcPr>
            <w:tcW w:type="dxa" w:w="3969"/>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在问卷中代表什么</w:t>
            </w:r>
          </w:p>
        </w:tc>
        <w:tc>
          <w:tcPr>
            <w:tcW w:type="dxa" w:w="3628"/>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阅读报告时不能把它当成什么</w:t>
            </w:r>
          </w:p>
        </w:tc>
      </w:tr>
      <w:tr>
        <w:trPr>
          <w:cantSplit/>
        </w:trPr>
        <w:tc>
          <w:tcPr>
            <w:tcW w:type="dxa" w:w="181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主动比较</w:t>
            </w:r>
          </w:p>
        </w:tc>
        <w:tc>
          <w:tcPr>
            <w:tcW w:type="dxa" w:w="3969"/>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购买前，受访者在无提示的比较因素题中主动选择了某项信息</w:t>
            </w:r>
          </w:p>
        </w:tc>
        <w:tc>
          <w:tcPr>
            <w:tcW w:type="dxa" w:w="362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不能等同于听说过、看过或被提示后觉得重要</w:t>
            </w:r>
          </w:p>
        </w:tc>
      </w:tr>
      <w:tr>
        <w:trPr>
          <w:cantSplit/>
        </w:trPr>
        <w:tc>
          <w:tcPr>
            <w:tcW w:type="dxa" w:w="181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提示后自报影响</w:t>
            </w:r>
          </w:p>
        </w:tc>
        <w:tc>
          <w:tcPr>
            <w:tcW w:type="dxa" w:w="3969"/>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题目直接点名某项信息后，受访者回忆它是否影响过购买、类型或持有决定</w:t>
            </w:r>
          </w:p>
        </w:tc>
        <w:tc>
          <w:tcPr>
            <w:tcW w:type="dxa" w:w="362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不能与无提示主动比较率合并成一个“使用率”</w:t>
            </w:r>
          </w:p>
        </w:tc>
      </w:tr>
      <w:tr>
        <w:trPr>
          <w:cantSplit/>
        </w:trPr>
        <w:tc>
          <w:tcPr>
            <w:tcW w:type="dxa" w:w="181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回答信号共现</w:t>
            </w:r>
          </w:p>
        </w:tc>
        <w:tc>
          <w:tcPr>
            <w:tcW w:type="dxa" w:w="3969"/>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同一受访者在多选题中同时选择两类预定义答案</w:t>
            </w:r>
          </w:p>
        </w:tc>
        <w:tc>
          <w:tcPr>
            <w:tcW w:type="dxa" w:w="362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不是心理量表，也不证明因果关系</w:t>
            </w:r>
          </w:p>
        </w:tc>
      </w:tr>
    </w:tbl>
    <w:p>
      <w:pPr>
        <w:spacing w:after="40"/>
      </w:pPr>
    </w:p>
    <w:p>
      <w:pPr>
        <w:keepNext w:val="0"/>
        <w:spacing w:before="0" w:after="100" w:lineRule="auto" w:line="300"/>
        <w:ind w:left="0"/>
      </w:pPr>
      <w:r>
        <w:rPr>
          <w:rFonts w:ascii="Arial" w:hAnsi="Arial" w:eastAsia="Microsoft YaHei"/>
          <w:b w:val="0"/>
          <w:i w:val="0"/>
          <w:color w:val="20313F"/>
          <w:sz w:val="21"/>
        </w:rPr>
        <w:t>有了这些定义，后面的百分比才有可比的语境：报告会分别讨论“知道”“看过”“主动比较”“提示后回忆”“知识题答对”和“信息偏好”，不会用其中任何一个指标替代另一个。</w:t>
      </w:r>
    </w:p>
    <w:p>
      <w:pPr>
        <w:pStyle w:val="Heading1"/>
        <w:keepNext/>
      </w:pPr>
      <w:r>
        <w:rPr>
          <w:rFonts w:ascii="Arial" w:hAnsi="Arial" w:eastAsia="Microsoft YaHei"/>
          <w:b/>
          <w:i w:val="0"/>
          <w:color w:val="183B56"/>
          <w:sz w:val="32"/>
        </w:rPr>
        <w:t>核心发现概览</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总判断</w:t>
            </w:r>
            <w:r>
              <w:rPr>
                <w:rFonts w:ascii="Arial" w:hAnsi="Arial" w:eastAsia="Microsoft YaHei"/>
                <w:b w:val="0"/>
                <w:i w:val="0"/>
                <w:color w:val="20313F"/>
                <w:sz w:val="20"/>
              </w:rPr>
              <w:br/>
              <w:t>本次样本呈现出三个同时存在的状态：第一，购买和持有说明投资者对养老投资与产品具有基本接受；第二，多数人能够判断部分知识点，但对产品类型、配置变化和风险边界的组合理解并不稳定；第三，真正进入购买比较和波动应对时，投资者仍需要外部信息帮助完成判断。因此，本报告关注的不是“知道或不知道”的二分，而是投资者能否把已有认知转化为具体、稳定的决策。</w:t>
            </w:r>
          </w:p>
        </w:tc>
      </w:tr>
    </w:tbl>
    <w:p>
      <w:pPr>
        <w:spacing w:after="20"/>
      </w:pPr>
    </w:p>
    <w:tbl>
      <w:tblPr>
        <w:tblW w:type="dxa" w:w="9636"/>
        <w:jc w:val="center"/>
        <w:tblLayout w:type="fixed"/>
        <w:tblLook w:firstColumn="1" w:firstRow="1" w:lastColumn="0" w:lastRow="0" w:noHBand="0" w:noVBand="1" w:val="04A0"/>
        <w:tblInd w:type="dxa" w:w="0"/>
      </w:tblPr>
      <w:tblGrid>
        <w:gridCol w:w="2409"/>
        <w:gridCol w:w="2409"/>
        <w:gridCol w:w="2409"/>
        <w:gridCol w:w="2409"/>
      </w:tblGrid>
      <w:tr>
        <w:tc>
          <w:tcPr>
            <w:tcW w:type="dxa" w:w="2409"/>
            <w:vAlign w:val="center"/>
            <w:shd w:fill="EEF4F6"/>
            <w:tcMar>
              <w:top w:w="140" w:type="dxa"/>
              <w:start w:w="120" w:type="dxa"/>
              <w:bottom w:w="130" w:type="dxa"/>
              <w:end w:w="120" w:type="dxa"/>
            </w:tcMar>
            <w:tcBorders>
              <w:top w:val="single" w:sz="18" w:color="1F6E8C"/>
              <w:left w:val="single" w:sz="5" w:color="DCE5EA"/>
              <w:bottom w:val="single" w:sz="5" w:color="DCE5EA"/>
              <w:right w:val="single" w:sz="5" w:color="DCE5EA"/>
            </w:tcBorders>
          </w:tcPr>
          <w:p>
            <w:pPr>
              <w:keepNext w:val="0"/>
              <w:spacing w:before="0" w:after="0" w:lineRule="auto" w:line="252"/>
              <w:jc w:val="center"/>
            </w:pPr>
            <w:r>
              <w:rPr>
                <w:rFonts w:ascii="Arial" w:hAnsi="Arial" w:eastAsia="Microsoft YaHei"/>
                <w:b/>
                <w:i w:val="0"/>
                <w:color w:val="1F6E8C"/>
                <w:sz w:val="34"/>
              </w:rPr>
              <w:t>72.0%</w:t>
            </w:r>
            <w:r>
              <w:rPr>
                <w:rFonts w:ascii="Arial" w:hAnsi="Arial" w:eastAsia="Microsoft YaHei"/>
                <w:b/>
                <w:i w:val="0"/>
                <w:color w:val="183B56"/>
                <w:sz w:val="17"/>
              </w:rPr>
              <w:br/>
              <w:t>目前仍在持有</w:t>
            </w:r>
            <w:r>
              <w:rPr>
                <w:rFonts w:ascii="Arial" w:hAnsi="Arial" w:eastAsia="Microsoft YaHei"/>
                <w:b w:val="0"/>
                <w:i w:val="0"/>
                <w:color w:val="60717D"/>
                <w:sz w:val="14"/>
              </w:rPr>
              <w:br/>
              <w:t>接受已发生</w:t>
            </w:r>
          </w:p>
        </w:tc>
        <w:tc>
          <w:tcPr>
            <w:tcW w:type="dxa" w:w="2409"/>
            <w:vAlign w:val="center"/>
            <w:shd w:fill="E8F5F1"/>
            <w:tcMar>
              <w:top w:w="140" w:type="dxa"/>
              <w:start w:w="120" w:type="dxa"/>
              <w:bottom w:w="130" w:type="dxa"/>
              <w:end w:w="120" w:type="dxa"/>
            </w:tcMar>
            <w:tcBorders>
              <w:top w:val="single" w:sz="18" w:color="2A9D8F"/>
              <w:left w:val="single" w:sz="5" w:color="DCE5EA"/>
              <w:bottom w:val="single" w:sz="5" w:color="DCE5EA"/>
              <w:right w:val="single" w:sz="5" w:color="DCE5EA"/>
            </w:tcBorders>
          </w:tcPr>
          <w:p>
            <w:pPr>
              <w:keepNext w:val="0"/>
              <w:spacing w:before="0" w:after="0" w:lineRule="auto" w:line="252"/>
              <w:jc w:val="center"/>
            </w:pPr>
            <w:r>
              <w:rPr>
                <w:rFonts w:ascii="Arial" w:hAnsi="Arial" w:eastAsia="Microsoft YaHei"/>
                <w:b/>
                <w:i w:val="0"/>
                <w:color w:val="2A9D8F"/>
                <w:sz w:val="34"/>
              </w:rPr>
              <w:t>20.0%</w:t>
            </w:r>
            <w:r>
              <w:rPr>
                <w:rFonts w:ascii="Arial" w:hAnsi="Arial" w:eastAsia="Microsoft YaHei"/>
                <w:b/>
                <w:i w:val="0"/>
                <w:color w:val="183B56"/>
                <w:sz w:val="17"/>
              </w:rPr>
              <w:br/>
              <w:t>四个知识点均答对</w:t>
            </w:r>
            <w:r>
              <w:rPr>
                <w:rFonts w:ascii="Arial" w:hAnsi="Arial" w:eastAsia="Microsoft YaHei"/>
                <w:b w:val="0"/>
                <w:i w:val="0"/>
                <w:color w:val="60717D"/>
                <w:sz w:val="14"/>
              </w:rPr>
              <w:br/>
              <w:t>严格组合指标</w:t>
            </w:r>
          </w:p>
        </w:tc>
        <w:tc>
          <w:tcPr>
            <w:tcW w:type="dxa" w:w="2409"/>
            <w:vAlign w:val="center"/>
            <w:shd w:fill="FFF3E8"/>
            <w:tcMar>
              <w:top w:w="140" w:type="dxa"/>
              <w:start w:w="120" w:type="dxa"/>
              <w:bottom w:w="130" w:type="dxa"/>
              <w:end w:w="120" w:type="dxa"/>
            </w:tcMar>
            <w:tcBorders>
              <w:top w:val="single" w:sz="18" w:color="C85C1A"/>
              <w:left w:val="single" w:sz="5" w:color="DCE5EA"/>
              <w:bottom w:val="single" w:sz="5" w:color="DCE5EA"/>
              <w:right w:val="single" w:sz="5" w:color="DCE5EA"/>
            </w:tcBorders>
          </w:tcPr>
          <w:p>
            <w:pPr>
              <w:keepNext w:val="0"/>
              <w:spacing w:before="0" w:after="0" w:lineRule="auto" w:line="252"/>
              <w:jc w:val="center"/>
            </w:pPr>
            <w:r>
              <w:rPr>
                <w:rFonts w:ascii="Arial" w:hAnsi="Arial" w:eastAsia="Microsoft YaHei"/>
                <w:b/>
                <w:i w:val="0"/>
                <w:color w:val="C85C1A"/>
                <w:sz w:val="34"/>
              </w:rPr>
              <w:t>3.5%</w:t>
            </w:r>
            <w:r>
              <w:rPr>
                <w:rFonts w:ascii="Arial" w:hAnsi="Arial" w:eastAsia="Microsoft YaHei"/>
                <w:b/>
                <w:i w:val="0"/>
                <w:color w:val="183B56"/>
                <w:sz w:val="17"/>
              </w:rPr>
              <w:br/>
              <w:t>主动比较下滑曲线</w:t>
            </w:r>
            <w:r>
              <w:rPr>
                <w:rFonts w:ascii="Arial" w:hAnsi="Arial" w:eastAsia="Microsoft YaHei"/>
                <w:b w:val="0"/>
                <w:i w:val="0"/>
                <w:color w:val="60717D"/>
                <w:sz w:val="14"/>
              </w:rPr>
              <w:br/>
              <w:t>使用未形成</w:t>
            </w:r>
          </w:p>
        </w:tc>
        <w:tc>
          <w:tcPr>
            <w:tcW w:type="dxa" w:w="2409"/>
            <w:vAlign w:val="center"/>
            <w:shd w:fill="F1EAF7"/>
            <w:tcMar>
              <w:top w:w="140" w:type="dxa"/>
              <w:start w:w="120" w:type="dxa"/>
              <w:bottom w:w="130" w:type="dxa"/>
              <w:end w:w="120" w:type="dxa"/>
            </w:tcMar>
            <w:tcBorders>
              <w:top w:val="single" w:sz="18" w:color="7C5C99"/>
              <w:left w:val="single" w:sz="5" w:color="DCE5EA"/>
              <w:bottom w:val="single" w:sz="5" w:color="DCE5EA"/>
              <w:right w:val="single" w:sz="5" w:color="DCE5EA"/>
            </w:tcBorders>
          </w:tcPr>
          <w:p>
            <w:pPr>
              <w:keepNext w:val="0"/>
              <w:spacing w:before="0" w:after="0" w:lineRule="auto" w:line="252"/>
              <w:jc w:val="center"/>
            </w:pPr>
            <w:r>
              <w:rPr>
                <w:rFonts w:ascii="Arial" w:hAnsi="Arial" w:eastAsia="Microsoft YaHei"/>
                <w:b/>
                <w:i w:val="0"/>
                <w:color w:val="7C5C99"/>
                <w:sz w:val="34"/>
              </w:rPr>
              <w:t>22.3%</w:t>
            </w:r>
            <w:r>
              <w:rPr>
                <w:rFonts w:ascii="Arial" w:hAnsi="Arial" w:eastAsia="Microsoft YaHei"/>
                <w:b/>
                <w:i w:val="0"/>
                <w:color w:val="183B56"/>
                <w:sz w:val="17"/>
              </w:rPr>
              <w:br/>
              <w:t>长期与焦虑共现</w:t>
            </w:r>
            <w:r>
              <w:rPr>
                <w:rFonts w:ascii="Arial" w:hAnsi="Arial" w:eastAsia="Microsoft YaHei"/>
                <w:b w:val="0"/>
                <w:i w:val="0"/>
                <w:color w:val="60717D"/>
                <w:sz w:val="14"/>
              </w:rPr>
              <w:br/>
              <w:t>态度有张力</w:t>
            </w:r>
          </w:p>
        </w:tc>
      </w:tr>
    </w:tbl>
    <w:p>
      <w:pPr>
        <w:spacing w:after="40"/>
      </w:pPr>
    </w:p>
    <w:p>
      <w:pPr>
        <w:pStyle w:val="Heading2"/>
        <w:keepNext/>
      </w:pPr>
      <w:r>
        <w:rPr>
          <w:rFonts w:ascii="Arial" w:hAnsi="Arial" w:eastAsia="Microsoft YaHei"/>
          <w:b/>
          <w:i w:val="0"/>
          <w:color w:val="1F6E8C"/>
          <w:sz w:val="25"/>
        </w:rPr>
        <w:t>五个投资者态度判断</w:t>
      </w:r>
    </w:p>
    <w:tbl>
      <w:tblPr>
        <w:tblW w:type="dxa" w:w="9410"/>
        <w:tblLayout w:type="fixed"/>
        <w:tblLook w:firstColumn="1" w:firstRow="1" w:lastColumn="0" w:lastRow="0" w:noHBand="0" w:noVBand="1" w:val="04A0"/>
        <w:jc w:val="center"/>
        <w:tblInd w:type="dxa" w:w="0"/>
      </w:tblPr>
      <w:tblGrid>
        <w:gridCol w:w="1474"/>
        <w:gridCol w:w="1984"/>
        <w:gridCol w:w="3061"/>
        <w:gridCol w:w="2891"/>
      </w:tblGrid>
      <w:tr>
        <w:trPr>
          <w:tblHeader w:val="true"/>
        </w:trPr>
        <w:tc>
          <w:tcPr>
            <w:tcW w:type="dxa" w:w="1474"/>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维度</w:t>
            </w:r>
          </w:p>
        </w:tc>
        <w:tc>
          <w:tcPr>
            <w:tcW w:type="dxa" w:w="1984"/>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态度判断</w:t>
            </w:r>
          </w:p>
        </w:tc>
        <w:tc>
          <w:tcPr>
            <w:tcW w:type="dxa" w:w="3061"/>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关键证据</w:t>
            </w:r>
          </w:p>
        </w:tc>
        <w:tc>
          <w:tcPr>
            <w:tcW w:type="dxa" w:w="2891"/>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分析含义</w:t>
            </w:r>
          </w:p>
        </w:tc>
      </w:tr>
      <w:tr>
        <w:trPr>
          <w:cantSplit/>
        </w:trPr>
        <w:tc>
          <w:tcPr>
            <w:tcW w:type="dxa" w:w="147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产品态度</w:t>
            </w:r>
          </w:p>
        </w:tc>
        <w:tc>
          <w:tcPr>
            <w:tcW w:type="dxa" w:w="198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接受先于完整理解</w:t>
            </w:r>
          </w:p>
        </w:tc>
        <w:tc>
          <w:tcPr>
            <w:tcW w:type="dxa" w:w="306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目前仍持有 72.0%；四个知识点均答对 20.0%</w:t>
            </w:r>
          </w:p>
        </w:tc>
        <w:tc>
          <w:tcPr>
            <w:tcW w:type="dxa" w:w="289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购买行为已经发生，但对类型、配置和风险边界的组合理解没有同步稳定。</w:t>
            </w:r>
          </w:p>
        </w:tc>
      </w:tr>
      <w:tr>
        <w:trPr>
          <w:cantSplit/>
        </w:trPr>
        <w:tc>
          <w:tcPr>
            <w:tcW w:type="dxa" w:w="147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决策态度</w:t>
            </w:r>
          </w:p>
        </w:tc>
        <w:tc>
          <w:tcPr>
            <w:tcW w:type="dxa" w:w="198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触发与判断分层</w:t>
            </w:r>
          </w:p>
        </w:tc>
        <w:tc>
          <w:tcPr>
            <w:tcW w:type="dxa" w:w="306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品牌/费率/业绩触发关注；退休年份/风险类型进入比较</w:t>
            </w:r>
          </w:p>
        </w:tc>
        <w:tc>
          <w:tcPr>
            <w:tcW w:type="dxa" w:w="289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同一页信息需要同时完成吸引注意与支持适配判断。</w:t>
            </w:r>
          </w:p>
        </w:tc>
      </w:tr>
      <w:tr>
        <w:trPr>
          <w:cantSplit/>
        </w:trPr>
        <w:tc>
          <w:tcPr>
            <w:tcW w:type="dxa" w:w="147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工具态度</w:t>
            </w:r>
          </w:p>
        </w:tc>
        <w:tc>
          <w:tcPr>
            <w:tcW w:type="dxa" w:w="198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被动知晓高于主动使用</w:t>
            </w:r>
          </w:p>
        </w:tc>
        <w:tc>
          <w:tcPr>
            <w:tcW w:type="dxa" w:w="306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听说过下滑曲线 62.5%；主动比较 3.5%</w:t>
            </w:r>
          </w:p>
        </w:tc>
        <w:tc>
          <w:tcPr>
            <w:tcW w:type="dxa" w:w="289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术语认知不能替代购买场景中的主动调用。</w:t>
            </w:r>
          </w:p>
        </w:tc>
      </w:tr>
      <w:tr>
        <w:trPr>
          <w:cantSplit/>
        </w:trPr>
        <w:tc>
          <w:tcPr>
            <w:tcW w:type="dxa" w:w="147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持有态度</w:t>
            </w:r>
          </w:p>
        </w:tc>
        <w:tc>
          <w:tcPr>
            <w:tcW w:type="dxa" w:w="198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长期认同与短期焦虑并存</w:t>
            </w:r>
          </w:p>
        </w:tc>
        <w:tc>
          <w:tcPr>
            <w:tcW w:type="dxa" w:w="306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波动经历者中，两类信号同人共现 22.3%</w:t>
            </w:r>
          </w:p>
        </w:tc>
        <w:tc>
          <w:tcPr>
            <w:tcW w:type="dxa" w:w="289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投教既要讲长期，也要解释当下风险和下跌原因。</w:t>
            </w:r>
          </w:p>
        </w:tc>
      </w:tr>
      <w:tr>
        <w:trPr>
          <w:cantSplit/>
        </w:trPr>
        <w:tc>
          <w:tcPr>
            <w:tcW w:type="dxa" w:w="147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学习态度</w:t>
            </w:r>
          </w:p>
        </w:tc>
        <w:tc>
          <w:tcPr>
            <w:tcW w:type="dxa" w:w="198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需要决策支持而非术语堆砌</w:t>
            </w:r>
          </w:p>
        </w:tc>
        <w:tc>
          <w:tcPr>
            <w:tcW w:type="dxa" w:w="306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最需要未来配置、当前风险与选择逻辑</w:t>
            </w:r>
          </w:p>
        </w:tc>
        <w:tc>
          <w:tcPr>
            <w:tcW w:type="dxa" w:w="289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内容应围绕任务和场景组织，而非按概念百科组织。</w:t>
            </w:r>
          </w:p>
        </w:tc>
      </w:tr>
    </w:tbl>
    <w:p>
      <w:pPr>
        <w:spacing w:after="40"/>
      </w:pPr>
    </w:p>
    <w:p>
      <w:pPr>
        <w:pStyle w:val="Heading2"/>
        <w:keepNext/>
      </w:pPr>
      <w:r>
        <w:rPr>
          <w:rFonts w:ascii="Arial" w:hAnsi="Arial" w:eastAsia="Microsoft YaHei"/>
          <w:b/>
          <w:i w:val="0"/>
          <w:color w:val="1F6E8C"/>
          <w:sz w:val="25"/>
        </w:rPr>
        <w:t>这份报告回答什么</w:t>
      </w:r>
    </w:p>
    <w:p>
      <w:pPr>
        <w:keepNext w:val="0"/>
        <w:spacing w:before="0" w:after="100" w:lineRule="auto" w:line="300"/>
        <w:ind w:left="0"/>
      </w:pPr>
      <w:r>
        <w:rPr>
          <w:rFonts w:ascii="Arial" w:hAnsi="Arial" w:eastAsia="Microsoft YaHei"/>
          <w:b w:val="0"/>
          <w:i w:val="0"/>
          <w:color w:val="20313F"/>
          <w:sz w:val="21"/>
        </w:rPr>
        <w:t>以下正文沿着投资者的实际路径展开：先看整体态度，再分析购买与理解的关系、购买决策的不同阶段、下滑曲线从知晓到使用的差距、持有期波动中的复杂态度，最后落到投资者教育和具体行动。每一节都会先说明研究问题，再给数据证据，随后解释数据意味着什么、不能说明什么，以及对业务有哪些启示。</w:t>
      </w:r>
    </w:p>
    <w:p>
      <w:pPr>
        <w:pStyle w:val="Heading1"/>
        <w:keepNext/>
      </w:pPr>
      <w:r>
        <w:rPr>
          <w:rFonts w:ascii="Arial" w:hAnsi="Arial" w:eastAsia="Microsoft YaHei"/>
          <w:b/>
          <w:i w:val="0"/>
          <w:color w:val="183B56"/>
          <w:sz w:val="32"/>
        </w:rPr>
        <w:t>一、研究发现总览：购买接受已经发生，稳定判断仍需支持</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本节要回答的问题</w:t>
            </w:r>
            <w:r>
              <w:rPr>
                <w:rFonts w:ascii="Arial" w:hAnsi="Arial" w:eastAsia="Microsoft YaHei"/>
                <w:b w:val="0"/>
                <w:i w:val="0"/>
                <w:color w:val="20313F"/>
                <w:sz w:val="20"/>
              </w:rPr>
              <w:br/>
              <w:t>如果不能只用“买没买”或“答对几题”判断投资者态度，我们应该怎样描述当前购买者？本节把持有状态、知识理解、主动比较和波动应对放在一起，形成后续分析的整体框架。</w:t>
            </w:r>
          </w:p>
        </w:tc>
      </w:tr>
    </w:tbl>
    <w:p>
      <w:pPr>
        <w:spacing w:after="20"/>
      </w:pPr>
    </w:p>
    <w:p>
      <w:pPr>
        <w:keepNext w:val="0"/>
        <w:spacing w:before="0" w:after="40" w:lineRule="auto" w:line="240"/>
        <w:jc w:val="center"/>
      </w:pPr>
      <w:r>
        <w:drawing>
          <wp:inline xmlns:a="http://schemas.openxmlformats.org/drawingml/2006/main" xmlns:pic="http://schemas.openxmlformats.org/drawingml/2006/picture">
            <wp:extent cx="5897880" cy="4065963"/>
            <wp:docPr id="1" name="Picture 1" descr="四卡片图。72.0%目前仍持有，说明产品接受已发生；20.0%四道知识题全部答对，说明机制理解不稳定；3.5%购买前主动比较下滑曲线，说明主动使用未形成；30.5%在波动时先查信息或咨询，说明投资者需要决策支持。" title="图 1　投资者态度的四个并列观察；各指标口径不同，不构成漏斗（n=200）"/>
            <wp:cNvGraphicFramePr>
              <a:graphicFrameLocks noChangeAspect="1"/>
            </wp:cNvGraphicFramePr>
            <a:graphic>
              <a:graphicData uri="http://schemas.openxmlformats.org/drawingml/2006/picture">
                <pic:pic>
                  <pic:nvPicPr>
                    <pic:cNvPr id="0" name="fig0_attitude_overview_v1.1.png"/>
                    <pic:cNvPicPr/>
                  </pic:nvPicPr>
                  <pic:blipFill>
                    <a:blip r:embed="rId13"/>
                    <a:stretch>
                      <a:fillRect/>
                    </a:stretch>
                  </pic:blipFill>
                  <pic:spPr>
                    <a:xfrm>
                      <a:off x="0" y="0"/>
                      <a:ext cx="5897880" cy="4065963"/>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1　投资者态度的四个并列观察；各指标口径不同，不构成漏斗（n=200）</w:t>
      </w:r>
      <w:r>
        <w:rPr>
          <w:rFonts w:ascii="Arial" w:hAnsi="Arial" w:eastAsia="Microsoft YaHei"/>
          <w:b w:val="0"/>
          <w:i w:val="0"/>
          <w:color w:val="60717D"/>
          <w:sz w:val="14"/>
        </w:rPr>
        <w:br/>
        <w:t>数据来源：FOF问卷回答_200人.csv；使用经校正的分析结果，未加权。</w:t>
      </w:r>
    </w:p>
    <w:p>
      <w:pPr>
        <w:pStyle w:val="Heading2"/>
        <w:keepNext/>
      </w:pPr>
      <w:r>
        <w:rPr>
          <w:rFonts w:ascii="Arial" w:hAnsi="Arial" w:eastAsia="Microsoft YaHei"/>
          <w:b/>
          <w:i w:val="0"/>
          <w:color w:val="1F6E8C"/>
          <w:sz w:val="25"/>
        </w:rPr>
        <w:t>1.1 态度不是“喜欢或不喜欢”，而是能否稳定判断</w:t>
      </w:r>
    </w:p>
    <w:p>
      <w:pPr>
        <w:keepNext w:val="0"/>
        <w:spacing w:before="0" w:after="100" w:lineRule="auto" w:line="300"/>
        <w:ind w:left="0"/>
      </w:pPr>
      <w:r>
        <w:rPr>
          <w:rFonts w:ascii="Arial" w:hAnsi="Arial" w:eastAsia="Microsoft YaHei"/>
          <w:b w:val="0"/>
          <w:i w:val="0"/>
          <w:color w:val="20313F"/>
          <w:sz w:val="21"/>
        </w:rPr>
        <w:t>仅用购买率、持有率或主观熟悉度，很容易把投资者描述成“认可产品”；仅用知识题，又容易把他们描述成“不了解产品”。两者都只说对了一部分。更完整的判断是：</w:t>
      </w:r>
      <w:r>
        <w:rPr>
          <w:rFonts w:ascii="Arial" w:hAnsi="Arial" w:eastAsia="Microsoft YaHei"/>
          <w:b/>
          <w:i w:val="0"/>
          <w:color w:val="183B56"/>
          <w:sz w:val="21"/>
        </w:rPr>
        <w:t>投资者已经用行为表达了接受</w:t>
      </w:r>
      <w:r>
        <w:rPr>
          <w:rFonts w:ascii="Arial" w:hAnsi="Arial" w:eastAsia="Microsoft YaHei"/>
          <w:b w:val="0"/>
          <w:i w:val="0"/>
          <w:color w:val="20313F"/>
          <w:sz w:val="21"/>
        </w:rPr>
        <w:t>，但对产品类型、配置路径和风险边界的</w:t>
      </w:r>
      <w:r>
        <w:rPr>
          <w:rFonts w:ascii="Arial" w:hAnsi="Arial" w:eastAsia="Microsoft YaHei"/>
          <w:b/>
          <w:i w:val="0"/>
          <w:color w:val="183B56"/>
          <w:sz w:val="21"/>
        </w:rPr>
        <w:t>理解尚未连成一套稳定框架</w:t>
      </w:r>
      <w:r>
        <w:rPr>
          <w:rFonts w:ascii="Arial" w:hAnsi="Arial" w:eastAsia="Microsoft YaHei"/>
          <w:b w:val="0"/>
          <w:i w:val="0"/>
          <w:color w:val="20313F"/>
          <w:sz w:val="21"/>
        </w:rPr>
        <w:t>。</w:t>
      </w:r>
    </w:p>
    <w:p>
      <w:pPr>
        <w:keepNext w:val="0"/>
        <w:spacing w:before="0" w:after="100" w:lineRule="auto" w:line="300"/>
        <w:ind w:left="0"/>
      </w:pPr>
      <w:r>
        <w:rPr>
          <w:rFonts w:ascii="Arial" w:hAnsi="Arial" w:eastAsia="Microsoft YaHei"/>
          <w:b w:val="0"/>
          <w:i w:val="0"/>
          <w:color w:val="20313F"/>
          <w:sz w:val="21"/>
        </w:rPr>
        <w:t>因此，本报告所说的“投资者态度”并不是一个单独的满意度分数，也不是简单询问投资者喜欢或不喜欢养老目标基金。它由四类观察共同组成：是否仍在持有，能否判断产品机制，购买时是否主动使用关键信息，以及市场波动时如何理解和行动。四类指标口径不同，放在一起的目的不是计算总分，而是还原投资者从购买到持有的真实状态。</w:t>
      </w:r>
    </w:p>
    <w:p>
      <w:pPr>
        <w:keepNext w:val="0"/>
        <w:spacing w:before="0" w:after="100" w:lineRule="auto" w:line="300"/>
        <w:ind w:left="0"/>
      </w:pPr>
      <w:r>
        <w:rPr>
          <w:rFonts w:ascii="Arial" w:hAnsi="Arial" w:eastAsia="Microsoft YaHei"/>
          <w:b w:val="0"/>
          <w:i w:val="0"/>
          <w:color w:val="20313F"/>
          <w:sz w:val="21"/>
        </w:rPr>
        <w:t>这个框架缺口会在三个节点暴露：购买时依赖品牌、业绩或推荐进入关注；比较时更需要退休年份和风险类型匹配；波动时又回到“为什么跌、现在风险多大、未来会怎样变”的解释需求。研究的业务价值就在于把这三个节点连起来。</w:t>
      </w:r>
    </w:p>
    <w:p>
      <w:pPr>
        <w:keepNext w:val="0"/>
        <w:spacing w:before="0" w:after="100" w:lineRule="auto" w:line="300"/>
        <w:ind w:left="0"/>
      </w:pPr>
      <w:r>
        <w:rPr>
          <w:rFonts w:ascii="Arial" w:hAnsi="Arial" w:eastAsia="Microsoft YaHei"/>
          <w:b w:val="0"/>
          <w:i w:val="0"/>
          <w:color w:val="20313F"/>
          <w:sz w:val="21"/>
        </w:rPr>
        <w:t>从业务角度看，这意味着不能把“仍在持有”直接解释为产品说明已经充分，也不能因为知识题没有全部答对就判断投资者拒绝产品。更准确的描述是：</w:t>
      </w:r>
      <w:r>
        <w:rPr>
          <w:rFonts w:ascii="Arial" w:hAnsi="Arial" w:eastAsia="Microsoft YaHei"/>
          <w:b/>
          <w:i w:val="0"/>
          <w:color w:val="183B56"/>
          <w:sz w:val="21"/>
        </w:rPr>
        <w:t>产品已经跨过了初步接受门槛</w:t>
      </w:r>
      <w:r>
        <w:rPr>
          <w:rFonts w:ascii="Arial" w:hAnsi="Arial" w:eastAsia="Microsoft YaHei"/>
          <w:b w:val="0"/>
          <w:i w:val="0"/>
          <w:color w:val="20313F"/>
          <w:sz w:val="21"/>
        </w:rPr>
        <w:t>，但用户仍需要</w:t>
      </w:r>
      <w:r>
        <w:rPr>
          <w:rFonts w:ascii="Arial" w:hAnsi="Arial" w:eastAsia="Microsoft YaHei"/>
          <w:b/>
          <w:i w:val="0"/>
          <w:color w:val="183B56"/>
          <w:sz w:val="21"/>
        </w:rPr>
        <w:t>一套更容易调用的判断框架</w:t>
      </w:r>
      <w:r>
        <w:rPr>
          <w:rFonts w:ascii="Arial" w:hAnsi="Arial" w:eastAsia="Microsoft YaHei"/>
          <w:b w:val="0"/>
          <w:i w:val="0"/>
          <w:color w:val="20313F"/>
          <w:sz w:val="21"/>
        </w:rPr>
        <w:t>，才能把零散信息用于选择、持有和波动应对。</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6F3EF"/>
            <w:tcBorders>
              <w:top w:val="single" w:sz="14" w:color="70AD47"/>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70AD47"/>
                <w:sz w:val="21"/>
              </w:rPr>
              <w:t>分析结论</w:t>
            </w:r>
            <w:r>
              <w:rPr>
                <w:rFonts w:ascii="Arial" w:hAnsi="Arial" w:eastAsia="Microsoft YaHei"/>
                <w:b w:val="0"/>
                <w:i w:val="0"/>
                <w:color w:val="20313F"/>
                <w:sz w:val="20"/>
              </w:rPr>
              <w:br/>
              <w:t>投资者并非缺少所有信息，而是缺少把分散信息组织成决策的方式。产品说明和投教材料都应围绕“我该选什么—现在持有什么—未来怎样变—波动如何理解”形成连续链条。</w:t>
            </w:r>
          </w:p>
        </w:tc>
      </w:tr>
    </w:tbl>
    <w:p>
      <w:pPr>
        <w:spacing w:after="20"/>
      </w:pPr>
    </w:p>
    <w:p>
      <w:pPr>
        <w:pStyle w:val="Heading1"/>
        <w:keepNext/>
      </w:pPr>
      <w:r>
        <w:rPr>
          <w:rFonts w:ascii="Arial" w:hAnsi="Arial" w:eastAsia="Microsoft YaHei"/>
          <w:b/>
          <w:i w:val="0"/>
          <w:color w:val="183B56"/>
          <w:sz w:val="32"/>
        </w:rPr>
        <w:t>二、研究发现一：购买行为已经发生，但完整机制理解仍不足</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本节要回答的问题</w:t>
            </w:r>
            <w:r>
              <w:rPr>
                <w:rFonts w:ascii="Arial" w:hAnsi="Arial" w:eastAsia="Microsoft YaHei"/>
                <w:b w:val="0"/>
                <w:i w:val="0"/>
                <w:color w:val="20313F"/>
                <w:sz w:val="20"/>
              </w:rPr>
              <w:br/>
              <w:t>购买过养老目标基金的人，对产品核心机制到底理解到什么程度？我们不把“购买过”直接当作“已经理解”，而是把当前持有状态与前文说明的四道知识题放在一起观察。</w:t>
            </w:r>
          </w:p>
        </w:tc>
      </w:tr>
    </w:tbl>
    <w:p>
      <w:pPr>
        <w:spacing w:after="20"/>
      </w:pPr>
    </w:p>
    <w:p>
      <w:pPr>
        <w:pStyle w:val="Heading2"/>
        <w:keepNext/>
      </w:pPr>
      <w:r>
        <w:rPr>
          <w:rFonts w:ascii="Arial" w:hAnsi="Arial" w:eastAsia="Microsoft YaHei"/>
          <w:b/>
          <w:i w:val="0"/>
          <w:color w:val="1F6E8C"/>
          <w:sz w:val="25"/>
        </w:rPr>
        <w:t>2.1 数据证据</w:t>
      </w:r>
    </w:p>
    <w:p>
      <w:pPr>
        <w:keepNext w:val="0"/>
        <w:spacing w:before="0" w:after="100" w:lineRule="auto" w:line="300"/>
        <w:ind w:left="0"/>
      </w:pPr>
      <w:r>
        <w:rPr>
          <w:rFonts w:ascii="Arial" w:hAnsi="Arial" w:eastAsia="Microsoft YaHei"/>
          <w:b w:val="0"/>
          <w:i w:val="0"/>
          <w:color w:val="20313F"/>
          <w:sz w:val="21"/>
        </w:rPr>
        <w:t>样本全部自报目前或过去购买过养老目标基金，</w:t>
      </w:r>
      <w:r>
        <w:rPr>
          <w:rFonts w:ascii="Arial" w:hAnsi="Arial" w:eastAsia="Microsoft YaHei"/>
          <w:b/>
          <w:i w:val="0"/>
          <w:color w:val="183B56"/>
          <w:sz w:val="21"/>
        </w:rPr>
        <w:t>72.0%</w:t>
      </w:r>
      <w:r>
        <w:rPr>
          <w:rFonts w:ascii="Arial" w:hAnsi="Arial" w:eastAsia="Microsoft YaHei"/>
          <w:b w:val="0"/>
          <w:i w:val="0"/>
          <w:color w:val="20313F"/>
          <w:sz w:val="21"/>
        </w:rPr>
        <w:t xml:space="preserve">目前仍在持有；但四道产品与机制知识题全部答对者只有 </w:t>
      </w:r>
      <w:r>
        <w:rPr>
          <w:rFonts w:ascii="Arial" w:hAnsi="Arial" w:eastAsia="Microsoft YaHei"/>
          <w:b/>
          <w:i w:val="0"/>
          <w:color w:val="183B56"/>
          <w:sz w:val="21"/>
        </w:rPr>
        <w:t>40/200（20.0%）</w:t>
      </w:r>
      <w:r>
        <w:rPr>
          <w:rFonts w:ascii="Arial" w:hAnsi="Arial" w:eastAsia="Microsoft YaHei"/>
          <w:b w:val="0"/>
          <w:i w:val="0"/>
          <w:color w:val="20313F"/>
          <w:sz w:val="21"/>
        </w:rPr>
        <w:t xml:space="preserve">。答对 3 题者最多，占 </w:t>
      </w:r>
      <w:r>
        <w:rPr>
          <w:rFonts w:ascii="Arial" w:hAnsi="Arial" w:eastAsia="Microsoft YaHei"/>
          <w:b/>
          <w:i w:val="0"/>
          <w:color w:val="183B56"/>
          <w:sz w:val="21"/>
        </w:rPr>
        <w:t>33.0%</w:t>
      </w:r>
      <w:r>
        <w:rPr>
          <w:rFonts w:ascii="Arial" w:hAnsi="Arial" w:eastAsia="Microsoft YaHei"/>
          <w:b w:val="0"/>
          <w:i w:val="0"/>
          <w:color w:val="20313F"/>
          <w:sz w:val="21"/>
        </w:rPr>
        <w:t xml:space="preserve">；答对 2 题占 </w:t>
      </w:r>
      <w:r>
        <w:rPr>
          <w:rFonts w:ascii="Arial" w:hAnsi="Arial" w:eastAsia="Microsoft YaHei"/>
          <w:b/>
          <w:i w:val="0"/>
          <w:color w:val="183B56"/>
          <w:sz w:val="21"/>
        </w:rPr>
        <w:t>25.5%</w:t>
      </w:r>
      <w:r>
        <w:rPr>
          <w:rFonts w:ascii="Arial" w:hAnsi="Arial" w:eastAsia="Microsoft YaHei"/>
          <w:b w:val="0"/>
          <w:i w:val="0"/>
          <w:color w:val="20313F"/>
          <w:sz w:val="21"/>
        </w:rPr>
        <w:t>。</w:t>
      </w:r>
      <w:r>
        <w:rPr>
          <w:rFonts w:ascii="Arial" w:hAnsi="Arial" w:eastAsia="Microsoft YaHei"/>
          <w:b/>
          <w:i w:val="0"/>
          <w:color w:val="183B56"/>
          <w:sz w:val="21"/>
        </w:rPr>
        <w:t>这不是“完全不了解”</w:t>
      </w:r>
      <w:r>
        <w:rPr>
          <w:rFonts w:ascii="Arial" w:hAnsi="Arial" w:eastAsia="Microsoft YaHei"/>
          <w:b w:val="0"/>
          <w:i w:val="0"/>
          <w:color w:val="20313F"/>
          <w:sz w:val="21"/>
        </w:rPr>
        <w:t>，而是多数人掌握了部分概念，却</w:t>
      </w:r>
      <w:r>
        <w:rPr>
          <w:rFonts w:ascii="Arial" w:hAnsi="Arial" w:eastAsia="Microsoft YaHei"/>
          <w:b/>
          <w:i w:val="0"/>
          <w:color w:val="183B56"/>
          <w:sz w:val="21"/>
        </w:rPr>
        <w:t>没有稳定跨过所有关键边界</w:t>
      </w:r>
      <w:r>
        <w:rPr>
          <w:rFonts w:ascii="Arial" w:hAnsi="Arial" w:eastAsia="Microsoft YaHei"/>
          <w:b w:val="0"/>
          <w:i w:val="0"/>
          <w:color w:val="20313F"/>
          <w:sz w:val="21"/>
        </w:rPr>
        <w:t>。</w:t>
      </w:r>
    </w:p>
    <w:p>
      <w:pPr>
        <w:keepNext w:val="0"/>
        <w:spacing w:before="0" w:after="100" w:lineRule="auto" w:line="300"/>
        <w:ind w:left="0"/>
      </w:pPr>
      <w:r>
        <w:rPr>
          <w:rFonts w:ascii="Arial" w:hAnsi="Arial" w:eastAsia="Microsoft YaHei"/>
          <w:b w:val="0"/>
          <w:i w:val="0"/>
          <w:color w:val="20313F"/>
          <w:sz w:val="21"/>
        </w:rPr>
        <w:t xml:space="preserve">从单题看，四道题的正确率并不低：目标日期型一般逻辑为 </w:t>
      </w:r>
      <w:r>
        <w:rPr>
          <w:rFonts w:ascii="Arial" w:hAnsi="Arial" w:eastAsia="Microsoft YaHei"/>
          <w:b/>
          <w:i w:val="0"/>
          <w:color w:val="183B56"/>
          <w:sz w:val="21"/>
        </w:rPr>
        <w:t>60.0%</w:t>
      </w:r>
      <w:r>
        <w:rPr>
          <w:rFonts w:ascii="Arial" w:hAnsi="Arial" w:eastAsia="Microsoft YaHei"/>
          <w:b w:val="0"/>
          <w:i w:val="0"/>
          <w:color w:val="20313F"/>
          <w:sz w:val="21"/>
        </w:rPr>
        <w:t xml:space="preserve">，目标风险型一般逻辑为 </w:t>
      </w:r>
      <w:r>
        <w:rPr>
          <w:rFonts w:ascii="Arial" w:hAnsi="Arial" w:eastAsia="Microsoft YaHei"/>
          <w:b/>
          <w:i w:val="0"/>
          <w:color w:val="183B56"/>
          <w:sz w:val="21"/>
        </w:rPr>
        <w:t>61.5%</w:t>
      </w:r>
      <w:r>
        <w:rPr>
          <w:rFonts w:ascii="Arial" w:hAnsi="Arial" w:eastAsia="Microsoft YaHei"/>
          <w:b w:val="0"/>
          <w:i w:val="0"/>
          <w:color w:val="20313F"/>
          <w:sz w:val="21"/>
        </w:rPr>
        <w:t xml:space="preserve">，下滑曲线含义为 </w:t>
      </w:r>
      <w:r>
        <w:rPr>
          <w:rFonts w:ascii="Arial" w:hAnsi="Arial" w:eastAsia="Microsoft YaHei"/>
          <w:b/>
          <w:i w:val="0"/>
          <w:color w:val="183B56"/>
          <w:sz w:val="21"/>
        </w:rPr>
        <w:t>63.5%</w:t>
      </w:r>
      <w:r>
        <w:rPr>
          <w:rFonts w:ascii="Arial" w:hAnsi="Arial" w:eastAsia="Microsoft YaHei"/>
          <w:b w:val="0"/>
          <w:i w:val="0"/>
          <w:color w:val="20313F"/>
          <w:sz w:val="21"/>
        </w:rPr>
        <w:t xml:space="preserve">，降低高波动资产后的风险边界为 </w:t>
      </w:r>
      <w:r>
        <w:rPr>
          <w:rFonts w:ascii="Arial" w:hAnsi="Arial" w:eastAsia="Microsoft YaHei"/>
          <w:b/>
          <w:i w:val="0"/>
          <w:color w:val="183B56"/>
          <w:sz w:val="21"/>
        </w:rPr>
        <w:t>62.0%</w:t>
      </w:r>
      <w:r>
        <w:rPr>
          <w:rFonts w:ascii="Arial" w:hAnsi="Arial" w:eastAsia="Microsoft YaHei"/>
          <w:b w:val="0"/>
          <w:i w:val="0"/>
          <w:color w:val="20313F"/>
          <w:sz w:val="21"/>
        </w:rPr>
        <w:t xml:space="preserve">。问题主要出现在知识组合上：目标日期型与目标风险型两题同时答对的比例降至 </w:t>
      </w:r>
      <w:r>
        <w:rPr>
          <w:rFonts w:ascii="Arial" w:hAnsi="Arial" w:eastAsia="Microsoft YaHei"/>
          <w:b/>
          <w:i w:val="0"/>
          <w:color w:val="183B56"/>
          <w:sz w:val="21"/>
        </w:rPr>
        <w:t>39.5%</w:t>
      </w:r>
      <w:r>
        <w:rPr>
          <w:rFonts w:ascii="Arial" w:hAnsi="Arial" w:eastAsia="Microsoft YaHei"/>
          <w:b w:val="0"/>
          <w:i w:val="0"/>
          <w:color w:val="20313F"/>
          <w:sz w:val="21"/>
        </w:rPr>
        <w:t xml:space="preserve">，下滑曲线含义与风险边界两题同时答对为 </w:t>
      </w:r>
      <w:r>
        <w:rPr>
          <w:rFonts w:ascii="Arial" w:hAnsi="Arial" w:eastAsia="Microsoft YaHei"/>
          <w:b/>
          <w:i w:val="0"/>
          <w:color w:val="183B56"/>
          <w:sz w:val="21"/>
        </w:rPr>
        <w:t>43.0%</w:t>
      </w:r>
      <w:r>
        <w:rPr>
          <w:rFonts w:ascii="Arial" w:hAnsi="Arial" w:eastAsia="Microsoft YaHei"/>
          <w:b w:val="0"/>
          <w:i w:val="0"/>
          <w:color w:val="20313F"/>
          <w:sz w:val="21"/>
        </w:rPr>
        <w:t xml:space="preserve">，四个知识点全部答对进一步降至 </w:t>
      </w:r>
      <w:r>
        <w:rPr>
          <w:rFonts w:ascii="Arial" w:hAnsi="Arial" w:eastAsia="Microsoft YaHei"/>
          <w:b/>
          <w:i w:val="0"/>
          <w:color w:val="183B56"/>
          <w:sz w:val="21"/>
        </w:rPr>
        <w:t>20.0%</w:t>
      </w:r>
      <w:r>
        <w:rPr>
          <w:rFonts w:ascii="Arial" w:hAnsi="Arial" w:eastAsia="Microsoft YaHei"/>
          <w:b w:val="0"/>
          <w:i w:val="0"/>
          <w:color w:val="20313F"/>
          <w:sz w:val="21"/>
        </w:rPr>
        <w:t>。</w:t>
      </w:r>
    </w:p>
    <w:p>
      <w:pPr>
        <w:keepNext w:val="0"/>
        <w:spacing w:before="0" w:after="40" w:lineRule="auto" w:line="240"/>
        <w:jc w:val="center"/>
      </w:pPr>
      <w:r>
        <w:drawing>
          <wp:inline xmlns:a="http://schemas.openxmlformats.org/drawingml/2006/main" xmlns:pic="http://schemas.openxmlformats.org/drawingml/2006/picture">
            <wp:extent cx="5897880" cy="3708515"/>
            <wp:docPr id="2" name="Picture 2" descr="左图为四道知识题答对题数分布：0题4.5%，1题17.0%，2题25.5%，3题33.0%，4题20.0%。右图显示购买前无提示主动比较下滑曲线3.5%，直接提示后自报影响决定51.0%；两个比例不能直接合并。" title="图 2　知识掌握与下滑曲线使用口径；右图两个比例来自不同提问方式（n=200）"/>
            <wp:cNvGraphicFramePr>
              <a:graphicFrameLocks noChangeAspect="1"/>
            </wp:cNvGraphicFramePr>
            <a:graphic>
              <a:graphicData uri="http://schemas.openxmlformats.org/drawingml/2006/picture">
                <pic:pic>
                  <pic:nvPicPr>
                    <pic:cNvPr id="0" name="fig7_knowledge_behavior_gap_v1.1.png"/>
                    <pic:cNvPicPr/>
                  </pic:nvPicPr>
                  <pic:blipFill>
                    <a:blip r:embed="rId14"/>
                    <a:stretch>
                      <a:fillRect/>
                    </a:stretch>
                  </pic:blipFill>
                  <pic:spPr>
                    <a:xfrm>
                      <a:off x="0" y="0"/>
                      <a:ext cx="5897880" cy="3708515"/>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2　知识掌握与下滑曲线使用口径；右图两个比例来自不同提问方式（n=200）</w:t>
      </w:r>
      <w:r>
        <w:rPr>
          <w:rFonts w:ascii="Arial" w:hAnsi="Arial" w:eastAsia="Microsoft YaHei"/>
          <w:b w:val="0"/>
          <w:i w:val="0"/>
          <w:color w:val="60717D"/>
          <w:sz w:val="14"/>
        </w:rPr>
        <w:br/>
        <w:t>数据来源：FOF问卷回答_200人.csv；使用经校正的分析结果，未加权。</w:t>
      </w:r>
    </w:p>
    <w:p>
      <w:pPr>
        <w:pStyle w:val="Heading2"/>
        <w:keepNext/>
      </w:pPr>
      <w:r>
        <w:rPr>
          <w:rFonts w:ascii="Arial" w:hAnsi="Arial" w:eastAsia="Microsoft YaHei"/>
          <w:b/>
          <w:i w:val="0"/>
          <w:color w:val="1F6E8C"/>
          <w:sz w:val="25"/>
        </w:rPr>
        <w:t>2.2 从单题到组合题：问题不是“完全不会”，而是知识尚未连起来</w:t>
      </w:r>
    </w:p>
    <w:p>
      <w:pPr>
        <w:keepNext w:val="0"/>
        <w:spacing w:before="0" w:after="100" w:lineRule="auto" w:line="300"/>
        <w:ind w:left="0"/>
      </w:pPr>
      <w:r>
        <w:rPr>
          <w:rFonts w:ascii="Arial" w:hAnsi="Arial" w:eastAsia="Microsoft YaHei"/>
          <w:b w:val="0"/>
          <w:i w:val="0"/>
          <w:color w:val="20313F"/>
          <w:sz w:val="21"/>
        </w:rPr>
        <w:t>购买行为可以在“部分理解”下发生。用户可能先基于品牌、历史表现、费率、推荐或操作便利做出选择，再在持有过程中逐步接触产品机制。因此，“买过”只能说明接受了某个选择，不等于能解释目标日期、目标风险、下滑曲线与非保本边界之间的关系。</w:t>
      </w:r>
    </w:p>
    <w:p>
      <w:pPr>
        <w:keepNext w:val="0"/>
        <w:spacing w:before="0" w:after="100" w:lineRule="auto" w:line="300"/>
        <w:ind w:left="0"/>
      </w:pPr>
      <w:r>
        <w:rPr>
          <w:rFonts w:ascii="Arial" w:hAnsi="Arial" w:eastAsia="Microsoft YaHei"/>
          <w:b w:val="0"/>
          <w:i w:val="0"/>
          <w:color w:val="20313F"/>
          <w:sz w:val="21"/>
        </w:rPr>
        <w:t>四题全部答对采用的是</w:t>
      </w:r>
      <w:r>
        <w:rPr>
          <w:rFonts w:ascii="Arial" w:hAnsi="Arial" w:eastAsia="Microsoft YaHei"/>
          <w:b/>
          <w:i w:val="0"/>
          <w:color w:val="183B56"/>
          <w:sz w:val="21"/>
        </w:rPr>
        <w:t>严格组合口径</w:t>
      </w:r>
      <w:r>
        <w:rPr>
          <w:rFonts w:ascii="Arial" w:hAnsi="Arial" w:eastAsia="Microsoft YaHei"/>
          <w:b w:val="0"/>
          <w:i w:val="0"/>
          <w:color w:val="20313F"/>
          <w:sz w:val="21"/>
        </w:rPr>
        <w:t>。它要求同一位受访者既能区分两类产品的一般选择逻辑，又能理解目标日期型产品的配置路径，还能守住“调整配置不等于保本”的风险边界。只要其中一个环节判断错误，就不会被计入四题全对。因此，</w:t>
      </w:r>
      <w:r>
        <w:rPr>
          <w:rFonts w:ascii="Arial" w:hAnsi="Arial" w:eastAsia="Microsoft YaHei"/>
          <w:b/>
          <w:i w:val="0"/>
          <w:color w:val="183B56"/>
          <w:sz w:val="21"/>
        </w:rPr>
        <w:t>20.0%</w:t>
      </w:r>
      <w:r>
        <w:rPr>
          <w:rFonts w:ascii="Arial" w:hAnsi="Arial" w:eastAsia="Microsoft YaHei"/>
          <w:b w:val="0"/>
          <w:i w:val="0"/>
          <w:color w:val="20313F"/>
          <w:sz w:val="21"/>
        </w:rPr>
        <w:t>更适合被理解为“</w:t>
      </w:r>
      <w:r>
        <w:rPr>
          <w:rFonts w:ascii="Arial" w:hAnsi="Arial" w:eastAsia="Microsoft YaHei"/>
          <w:b/>
          <w:i w:val="0"/>
          <w:color w:val="183B56"/>
          <w:sz w:val="21"/>
        </w:rPr>
        <w:t>关键知识是否形成完整链条</w:t>
      </w:r>
      <w:r>
        <w:rPr>
          <w:rFonts w:ascii="Arial" w:hAnsi="Arial" w:eastAsia="Microsoft YaHei"/>
          <w:b w:val="0"/>
          <w:i w:val="0"/>
          <w:color w:val="20313F"/>
          <w:sz w:val="21"/>
        </w:rPr>
        <w:t>”，而不是一场考试的及格率。</w:t>
      </w:r>
    </w:p>
    <w:p>
      <w:pPr>
        <w:keepNext w:val="0"/>
        <w:spacing w:before="0" w:after="100" w:lineRule="auto" w:line="300"/>
        <w:ind w:left="0"/>
      </w:pPr>
      <w:r>
        <w:rPr>
          <w:rFonts w:ascii="Arial" w:hAnsi="Arial" w:eastAsia="Microsoft YaHei"/>
          <w:b w:val="0"/>
          <w:i w:val="0"/>
          <w:color w:val="20313F"/>
          <w:sz w:val="21"/>
        </w:rPr>
        <w:t>这一结果也提示我们，单独解释一个术语可能产生“听懂了”的感觉，却未必能支持真实选择。例如，投资者可能知道目标年份与退休年份有关，但仍把下滑曲线误认为收益走势；也可能知道股票占比会下降，却进一步误解为越接近退休越不会亏损。产品说明需要把这些概念放进同一个决策情境中，而不是拆成彼此孤立的知识卡片。</w:t>
      </w:r>
    </w:p>
    <w:p>
      <w:pPr>
        <w:pStyle w:val="Heading2"/>
        <w:keepNext/>
      </w:pPr>
      <w:r>
        <w:rPr>
          <w:rFonts w:ascii="Arial" w:hAnsi="Arial" w:eastAsia="Microsoft YaHei"/>
          <w:b/>
          <w:i w:val="0"/>
          <w:color w:val="1F6E8C"/>
          <w:sz w:val="25"/>
        </w:rPr>
        <w:t>2.3 这组数据不能说明什么</w:t>
      </w:r>
    </w:p>
    <w:p>
      <w:pPr>
        <w:keepNext w:val="0"/>
        <w:spacing w:before="0" w:after="100" w:lineRule="auto" w:line="300"/>
        <w:ind w:left="0"/>
      </w:pPr>
      <w:r>
        <w:rPr>
          <w:rFonts w:ascii="Arial" w:hAnsi="Arial" w:eastAsia="Microsoft YaHei"/>
          <w:b w:val="0"/>
          <w:i w:val="0"/>
          <w:color w:val="20313F"/>
          <w:sz w:val="21"/>
        </w:rPr>
        <w:t>知识题只检验问卷预先定义的四个基础判断，不能代表受访者的总体金融素养，也不能替代风险测评、适当性判断或真实交易能力。报告也不据此把投资者划分为“懂”与“不懂”两类人。它的用途是定位信息说明中最容易断开的环节，并为后续材料测试提供一组可复用的前后测指标。</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对产品设计的含义</w:t>
            </w:r>
            <w:r>
              <w:rPr>
                <w:rFonts w:ascii="Arial" w:hAnsi="Arial" w:eastAsia="Microsoft YaHei"/>
                <w:b w:val="0"/>
                <w:i w:val="0"/>
                <w:color w:val="20313F"/>
                <w:sz w:val="20"/>
              </w:rPr>
              <w:br/>
              <w:t>产品信息不应只证明“这个产品值得关注”，还要帮助用户完成至少三次判断：产品类型是否匹配、当前与未来配置是什么、降低高波动资产后仍存在哪些风险。理解题应围绕这些判断，而不是考术语记忆。</w:t>
            </w:r>
          </w:p>
        </w:tc>
      </w:tr>
    </w:tbl>
    <w:p>
      <w:pPr>
        <w:spacing w:after="20"/>
      </w:pPr>
    </w:p>
    <w:p>
      <w:pPr>
        <w:pStyle w:val="Heading1"/>
        <w:keepNext/>
      </w:pPr>
      <w:r>
        <w:rPr>
          <w:rFonts w:ascii="Arial" w:hAnsi="Arial" w:eastAsia="Microsoft YaHei"/>
          <w:b/>
          <w:i w:val="0"/>
          <w:color w:val="183B56"/>
          <w:sz w:val="32"/>
        </w:rPr>
        <w:t>三、研究发现二：吸引关注与支持最终判断的因素不同</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本节要回答的问题</w:t>
            </w:r>
            <w:r>
              <w:rPr>
                <w:rFonts w:ascii="Arial" w:hAnsi="Arial" w:eastAsia="Microsoft YaHei"/>
                <w:b w:val="0"/>
                <w:i w:val="0"/>
                <w:color w:val="20313F"/>
                <w:sz w:val="20"/>
              </w:rPr>
              <w:br/>
              <w:t>投资者为什么开始关注某只产品，购买前会认真比较什么，最后又把什么视为最重要？问卷用三道不同题目分别测量这三个阶段，目的是避免把“吸引点击的因素”误认为“最终决策依据”。</w:t>
            </w:r>
          </w:p>
        </w:tc>
      </w:tr>
    </w:tbl>
    <w:p>
      <w:pPr>
        <w:spacing w:after="20"/>
      </w:pPr>
    </w:p>
    <w:p>
      <w:pPr>
        <w:keepNext w:val="0"/>
        <w:spacing w:before="0" w:after="100" w:lineRule="auto" w:line="300"/>
        <w:ind w:left="0"/>
      </w:pPr>
      <w:r>
        <w:rPr>
          <w:rFonts w:ascii="Arial" w:hAnsi="Arial" w:eastAsia="Microsoft YaHei"/>
          <w:b w:val="0"/>
          <w:i w:val="0"/>
          <w:color w:val="20313F"/>
          <w:sz w:val="21"/>
        </w:rPr>
        <w:t>具体而言，Q6 询问哪些因素促使受访者关注或购买产品，可多选；Q8 询问购买前认真比较过哪些信息，同样为多选且最多选择三项；Q9 要求从候选因素中只选出最终最重要的一项。三道题分别对应“被什么吸引—主动看了什么—最终最看重什么”，比例不能跨题直接相加。</w:t>
      </w:r>
    </w:p>
    <w:p>
      <w:pPr>
        <w:pStyle w:val="Heading2"/>
        <w:keepNext/>
      </w:pPr>
      <w:r>
        <w:rPr>
          <w:rFonts w:ascii="Arial" w:hAnsi="Arial" w:eastAsia="Microsoft YaHei"/>
          <w:b/>
          <w:i w:val="0"/>
          <w:color w:val="1F6E8C"/>
          <w:sz w:val="25"/>
        </w:rPr>
        <w:t>3.1 数据证据</w:t>
      </w:r>
    </w:p>
    <w:p>
      <w:pPr>
        <w:keepNext w:val="0"/>
        <w:spacing w:before="0" w:after="40" w:lineRule="auto" w:line="240"/>
        <w:jc w:val="center"/>
      </w:pPr>
      <w:r>
        <w:drawing>
          <wp:inline xmlns:a="http://schemas.openxmlformats.org/drawingml/2006/main" xmlns:pic="http://schemas.openxmlformats.org/drawingml/2006/picture">
            <wp:extent cx="5897880" cy="3457378"/>
            <wp:docPr id="3" name="Picture 3" descr="三栏排序图。购买触发前三为品牌或团队31.5%、费率或Y份额26.0%、历史表现25.5%；主动比较前三为退休年份43.5%、风险类型40.0%、历史表现37.5%；最终最重要前三为风险类型20.5%、历史表现13.0%、退休年份11.0%。" title="图 3　购买触发、主动比较与最终判断的前三项；Q6/Q8 为多选，Q9 为单选（n=200）"/>
            <wp:cNvGraphicFramePr>
              <a:graphicFrameLocks noChangeAspect="1"/>
            </wp:cNvGraphicFramePr>
            <a:graphic>
              <a:graphicData uri="http://schemas.openxmlformats.org/drawingml/2006/picture">
                <pic:pic>
                  <pic:nvPicPr>
                    <pic:cNvPr id="0" name="fig3_decision_path_v1.0.png"/>
                    <pic:cNvPicPr/>
                  </pic:nvPicPr>
                  <pic:blipFill>
                    <a:blip r:embed="rId15"/>
                    <a:stretch>
                      <a:fillRect/>
                    </a:stretch>
                  </pic:blipFill>
                  <pic:spPr>
                    <a:xfrm>
                      <a:off x="0" y="0"/>
                      <a:ext cx="5897880" cy="3457378"/>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3　购买触发、主动比较与最终判断的前三项；Q6/Q8 为多选，Q9 为单选（n=200）</w:t>
      </w:r>
      <w:r>
        <w:rPr>
          <w:rFonts w:ascii="Arial" w:hAnsi="Arial" w:eastAsia="Microsoft YaHei"/>
          <w:b w:val="0"/>
          <w:i w:val="0"/>
          <w:color w:val="60717D"/>
          <w:sz w:val="14"/>
        </w:rPr>
        <w:br/>
        <w:t>数据来源：FOF问卷回答_200人.csv；使用经校正的分析结果，未加权。</w:t>
      </w:r>
    </w:p>
    <w:tbl>
      <w:tblPr>
        <w:tblW w:type="dxa" w:w="9410"/>
        <w:tblLayout w:type="fixed"/>
        <w:tblLook w:firstColumn="1" w:firstRow="1" w:lastColumn="0" w:lastRow="0" w:noHBand="0" w:noVBand="1" w:val="04A0"/>
        <w:jc w:val="center"/>
        <w:tblInd w:type="dxa" w:w="0"/>
      </w:tblPr>
      <w:tblGrid>
        <w:gridCol w:w="1757"/>
        <w:gridCol w:w="4592"/>
        <w:gridCol w:w="3061"/>
      </w:tblGrid>
      <w:tr>
        <w:trPr>
          <w:tblHeader w:val="true"/>
        </w:trPr>
        <w:tc>
          <w:tcPr>
            <w:tcW w:type="dxa" w:w="1757"/>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决策阶段</w:t>
            </w:r>
          </w:p>
        </w:tc>
        <w:tc>
          <w:tcPr>
            <w:tcW w:type="dxa" w:w="4592"/>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主要因素</w:t>
            </w:r>
          </w:p>
        </w:tc>
        <w:tc>
          <w:tcPr>
            <w:tcW w:type="dxa" w:w="3061"/>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态度含义</w:t>
            </w:r>
          </w:p>
        </w:tc>
      </w:tr>
      <w:tr>
        <w:trPr>
          <w:cantSplit/>
        </w:trPr>
        <w:tc>
          <w:tcPr>
            <w:tcW w:type="dxa" w:w="1757"/>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进入关注</w:t>
            </w:r>
          </w:p>
        </w:tc>
        <w:tc>
          <w:tcPr>
            <w:tcW w:type="dxa" w:w="459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品牌/团队 31.5%；费率或 Y 份额 26.0%；历史表现 25.5%</w:t>
            </w:r>
          </w:p>
        </w:tc>
        <w:tc>
          <w:tcPr>
            <w:tcW w:type="dxa" w:w="306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先判断是否值得进一步看</w:t>
            </w:r>
          </w:p>
        </w:tc>
      </w:tr>
      <w:tr>
        <w:trPr>
          <w:cantSplit/>
        </w:trPr>
        <w:tc>
          <w:tcPr>
            <w:tcW w:type="dxa" w:w="1757"/>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主动比较</w:t>
            </w:r>
          </w:p>
        </w:tc>
        <w:tc>
          <w:tcPr>
            <w:tcW w:type="dxa" w:w="4592"/>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退休年份 43.5%；风险类型 40.0%；历史表现 37.5%</w:t>
            </w:r>
          </w:p>
        </w:tc>
        <w:tc>
          <w:tcPr>
            <w:tcW w:type="dxa" w:w="306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开始寻找与个人情况的匹配</w:t>
            </w:r>
          </w:p>
        </w:tc>
      </w:tr>
      <w:tr>
        <w:trPr>
          <w:cantSplit/>
        </w:trPr>
        <w:tc>
          <w:tcPr>
            <w:tcW w:type="dxa" w:w="1757"/>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最终最重要</w:t>
            </w:r>
          </w:p>
        </w:tc>
        <w:tc>
          <w:tcPr>
            <w:tcW w:type="dxa" w:w="459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风险类型 20.5%；历史表现 13.0%；退休年份 11.0%</w:t>
            </w:r>
          </w:p>
        </w:tc>
        <w:tc>
          <w:tcPr>
            <w:tcW w:type="dxa" w:w="306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单项判断中，风险匹配居首</w:t>
            </w:r>
          </w:p>
        </w:tc>
      </w:tr>
    </w:tbl>
    <w:p>
      <w:pPr>
        <w:spacing w:after="40"/>
      </w:pPr>
    </w:p>
    <w:p>
      <w:pPr>
        <w:pStyle w:val="Heading2"/>
        <w:keepNext/>
      </w:pPr>
      <w:r>
        <w:rPr>
          <w:rFonts w:ascii="Arial" w:hAnsi="Arial" w:eastAsia="Microsoft YaHei"/>
          <w:b/>
          <w:i w:val="0"/>
          <w:color w:val="1F6E8C"/>
          <w:sz w:val="25"/>
        </w:rPr>
        <w:t>3.2 态度解释</w:t>
      </w:r>
    </w:p>
    <w:p>
      <w:pPr>
        <w:keepNext w:val="0"/>
        <w:spacing w:before="0" w:after="100" w:lineRule="auto" w:line="300"/>
        <w:ind w:left="0"/>
      </w:pPr>
      <w:r>
        <w:rPr>
          <w:rFonts w:ascii="Arial" w:hAnsi="Arial" w:eastAsia="Microsoft YaHei"/>
          <w:b w:val="0"/>
          <w:i w:val="0"/>
          <w:color w:val="20313F"/>
          <w:sz w:val="21"/>
        </w:rPr>
        <w:t>投资者不是用一套固定标准从头走到尾。品牌、费率和历史表现更像</w:t>
      </w:r>
      <w:r>
        <w:rPr>
          <w:rFonts w:ascii="Arial" w:hAnsi="Arial" w:eastAsia="Microsoft YaHei"/>
          <w:b/>
          <w:i w:val="0"/>
          <w:color w:val="183B56"/>
          <w:sz w:val="21"/>
        </w:rPr>
        <w:t>“注意力入口”</w:t>
      </w:r>
      <w:r>
        <w:rPr>
          <w:rFonts w:ascii="Arial" w:hAnsi="Arial" w:eastAsia="Microsoft YaHei"/>
          <w:b w:val="0"/>
          <w:i w:val="0"/>
          <w:color w:val="20313F"/>
          <w:sz w:val="21"/>
        </w:rPr>
        <w:t>；真正进入比较后，退休年份和风险类型承担</w:t>
      </w:r>
      <w:r>
        <w:rPr>
          <w:rFonts w:ascii="Arial" w:hAnsi="Arial" w:eastAsia="Microsoft YaHei"/>
          <w:b/>
          <w:i w:val="0"/>
          <w:color w:val="183B56"/>
          <w:sz w:val="21"/>
        </w:rPr>
        <w:t>“这个产品是否适合我”</w:t>
      </w:r>
      <w:r>
        <w:rPr>
          <w:rFonts w:ascii="Arial" w:hAnsi="Arial" w:eastAsia="Microsoft YaHei"/>
          <w:b w:val="0"/>
          <w:i w:val="0"/>
          <w:color w:val="20313F"/>
          <w:sz w:val="21"/>
        </w:rPr>
        <w:t>的解释功能。若产品页面只强化入口因素，用户可能愿意点开，却仍无法形成有依据的选择。</w:t>
      </w:r>
    </w:p>
    <w:p>
      <w:pPr>
        <w:keepNext w:val="0"/>
        <w:spacing w:before="0" w:after="100" w:lineRule="auto" w:line="300"/>
        <w:ind w:left="0"/>
      </w:pPr>
      <w:r>
        <w:rPr>
          <w:rFonts w:ascii="Arial" w:hAnsi="Arial" w:eastAsia="Microsoft YaHei"/>
          <w:b w:val="0"/>
          <w:i w:val="0"/>
          <w:color w:val="20313F"/>
          <w:sz w:val="21"/>
        </w:rPr>
        <w:t>三个阶段背后对应三种不同的判断捷径。品牌或管理团队提供信任感，费率或 Y 份额提供可见的成本利益，历史表现提供最容易观察的既有结果；进入认真比较后，退休年份和风险类型开始把产品与个人养老阶段、风险承受特征连接起来。到最终单选时，风险类型居首，说明当受访者必须作取舍时，“是否匹配自身风险”比单纯吸引注意更接近核心判断。</w:t>
      </w:r>
    </w:p>
    <w:p>
      <w:pPr>
        <w:keepNext w:val="0"/>
        <w:spacing w:before="0" w:after="100" w:lineRule="auto" w:line="300"/>
        <w:ind w:left="0"/>
      </w:pPr>
      <w:r>
        <w:rPr>
          <w:rFonts w:ascii="Arial" w:hAnsi="Arial" w:eastAsia="Microsoft YaHei"/>
          <w:b w:val="0"/>
          <w:i w:val="0"/>
          <w:color w:val="20313F"/>
          <w:sz w:val="21"/>
        </w:rPr>
        <w:t>历史表现同时出现在关注、比较和最终判断的前三项，说明它并不会因为产品具有长期养老属性而自然退出决策。业务表达不能只告诉用户“养老要看长期”，还需要解释历史表现应该怎样看、不能代表什么，以及配置路径和风险类型为什么是更适合养老场景的补充判断依据。</w:t>
      </w:r>
    </w:p>
    <w:p>
      <w:pPr>
        <w:pStyle w:val="Heading2"/>
        <w:keepNext/>
      </w:pPr>
      <w:r>
        <w:rPr>
          <w:rFonts w:ascii="Arial" w:hAnsi="Arial" w:eastAsia="Microsoft YaHei"/>
          <w:b/>
          <w:i w:val="0"/>
          <w:color w:val="1F6E8C"/>
          <w:sz w:val="25"/>
        </w:rPr>
        <w:t>3.3 阅读这组比例时的边界</w:t>
      </w:r>
    </w:p>
    <w:p>
      <w:pPr>
        <w:keepNext w:val="0"/>
        <w:spacing w:before="0" w:after="100" w:lineRule="auto" w:line="300"/>
        <w:ind w:left="0"/>
      </w:pPr>
      <w:r>
        <w:rPr>
          <w:rFonts w:ascii="Arial" w:hAnsi="Arial" w:eastAsia="Microsoft YaHei"/>
          <w:b w:val="0"/>
          <w:i w:val="0"/>
          <w:color w:val="20313F"/>
          <w:sz w:val="21"/>
        </w:rPr>
        <w:t>Q6、Q8 是多选题，Q9 是单选题，因此 Q9 单项比例看起来会更低，这不代表最终判断非常分散或某个因素不重要；它只表示在必须选一项时的相对排序。报告据此讨论信息层级，而不把不同题型的百分比拼接成购买转化漏斗，也不据此推断各因素对真实购买的因果贡献。</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6F3EF"/>
            <w:tcBorders>
              <w:top w:val="single" w:sz="14" w:color="70AD47"/>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70AD47"/>
                <w:sz w:val="21"/>
              </w:rPr>
              <w:t>对信息架构的含义</w:t>
            </w:r>
            <w:r>
              <w:rPr>
                <w:rFonts w:ascii="Arial" w:hAnsi="Arial" w:eastAsia="Microsoft YaHei"/>
                <w:b w:val="0"/>
                <w:i w:val="0"/>
                <w:color w:val="20313F"/>
                <w:sz w:val="20"/>
              </w:rPr>
              <w:br/>
              <w:t>建议把购买页分为两层：第一层用简洁信息回答“为什么值得看”；第二层紧接着回答“我该选哪类、依据是什么”。入口信息可以突出，但不能挤掉适配判断和风险边界。</w:t>
            </w:r>
          </w:p>
        </w:tc>
      </w:tr>
    </w:tbl>
    <w:p>
      <w:pPr>
        <w:spacing w:after="20"/>
      </w:pPr>
    </w:p>
    <w:p>
      <w:pPr>
        <w:pStyle w:val="Heading1"/>
        <w:keepNext/>
      </w:pPr>
      <w:r>
        <w:rPr>
          <w:rFonts w:ascii="Arial" w:hAnsi="Arial" w:eastAsia="Microsoft YaHei"/>
          <w:b/>
          <w:i w:val="0"/>
          <w:color w:val="183B56"/>
          <w:sz w:val="32"/>
        </w:rPr>
        <w:t>四、研究发现三：下滑曲线有一定知晓，但尚未稳定进入主动比较</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本节要回答的问题</w:t>
            </w:r>
            <w:r>
              <w:rPr>
                <w:rFonts w:ascii="Arial" w:hAnsi="Arial" w:eastAsia="Microsoft YaHei"/>
                <w:b w:val="0"/>
                <w:i w:val="0"/>
                <w:color w:val="20313F"/>
                <w:sz w:val="20"/>
              </w:rPr>
              <w:br/>
              <w:t>下滑曲线在投资者决策中究竟处于什么位置？本节依次区分听说过、购买前看过、持有期看过、主动比较、提示后自报影响和知识题答对，避免用一个模糊的“使用率”概括所有状态。</w:t>
            </w:r>
          </w:p>
        </w:tc>
      </w:tr>
    </w:tbl>
    <w:p>
      <w:pPr>
        <w:spacing w:after="20"/>
      </w:pPr>
    </w:p>
    <w:p>
      <w:pPr>
        <w:keepNext w:val="0"/>
        <w:spacing w:before="0" w:after="100" w:lineRule="auto" w:line="300"/>
        <w:ind w:left="0"/>
      </w:pPr>
      <w:r>
        <w:rPr>
          <w:rFonts w:ascii="Arial" w:hAnsi="Arial" w:eastAsia="Microsoft YaHei"/>
          <w:b w:val="0"/>
          <w:i w:val="0"/>
          <w:color w:val="20313F"/>
          <w:sz w:val="21"/>
        </w:rPr>
        <w:t>这里的“下滑曲线”不是基金净值走势图，而是目标日期型养老目标基金可能采用的一条资产配置路径：随着目标日期接近，组合通常逐步降低股票等波动较高资产的比例、提高相对稳健资产的比例。它说明的是配置怎样变化，不代表收益一定怎样变化，也不意味着产品保本。</w:t>
      </w:r>
    </w:p>
    <w:p>
      <w:pPr>
        <w:pStyle w:val="Heading2"/>
        <w:keepNext/>
      </w:pPr>
      <w:r>
        <w:rPr>
          <w:rFonts w:ascii="Arial" w:hAnsi="Arial" w:eastAsia="Microsoft YaHei"/>
          <w:b/>
          <w:i w:val="0"/>
          <w:color w:val="1F6E8C"/>
          <w:sz w:val="25"/>
        </w:rPr>
        <w:t>4.1 同一个术语出现了四种不同口径</w:t>
      </w:r>
    </w:p>
    <w:p>
      <w:pPr>
        <w:keepNext w:val="0"/>
        <w:spacing w:before="0" w:after="100" w:lineRule="auto" w:line="300"/>
        <w:ind w:left="0"/>
      </w:pPr>
      <w:r>
        <w:rPr>
          <w:rFonts w:ascii="Arial" w:hAnsi="Arial" w:eastAsia="Microsoft YaHei"/>
          <w:b w:val="0"/>
          <w:i w:val="0"/>
          <w:color w:val="20313F"/>
          <w:sz w:val="21"/>
        </w:rPr>
        <w:t>在“听说过”这一层，</w:t>
      </w:r>
      <w:r>
        <w:rPr>
          <w:rFonts w:ascii="Arial" w:hAnsi="Arial" w:eastAsia="Microsoft YaHei"/>
          <w:b/>
          <w:i w:val="0"/>
          <w:color w:val="183B56"/>
          <w:sz w:val="21"/>
        </w:rPr>
        <w:t>51 人</w:t>
      </w:r>
      <w:r>
        <w:rPr>
          <w:rFonts w:ascii="Arial" w:hAnsi="Arial" w:eastAsia="Microsoft YaHei"/>
          <w:b w:val="0"/>
          <w:i w:val="0"/>
          <w:color w:val="20313F"/>
          <w:sz w:val="21"/>
        </w:rPr>
        <w:t>表示听说过且大致理解，</w:t>
      </w:r>
      <w:r>
        <w:rPr>
          <w:rFonts w:ascii="Arial" w:hAnsi="Arial" w:eastAsia="Microsoft YaHei"/>
          <w:b/>
          <w:i w:val="0"/>
          <w:color w:val="183B56"/>
          <w:sz w:val="21"/>
        </w:rPr>
        <w:t>74 人</w:t>
      </w:r>
      <w:r>
        <w:rPr>
          <w:rFonts w:ascii="Arial" w:hAnsi="Arial" w:eastAsia="Microsoft YaHei"/>
          <w:b w:val="0"/>
          <w:i w:val="0"/>
          <w:color w:val="20313F"/>
          <w:sz w:val="21"/>
        </w:rPr>
        <w:t xml:space="preserve">表示听说过但不太清楚，两者合计 </w:t>
      </w:r>
      <w:r>
        <w:rPr>
          <w:rFonts w:ascii="Arial" w:hAnsi="Arial" w:eastAsia="Microsoft YaHei"/>
          <w:b/>
          <w:i w:val="0"/>
          <w:color w:val="183B56"/>
          <w:sz w:val="21"/>
        </w:rPr>
        <w:t>125 人</w:t>
      </w:r>
      <w:r>
        <w:rPr>
          <w:rFonts w:ascii="Arial" w:hAnsi="Arial" w:eastAsia="Microsoft YaHei"/>
          <w:b w:val="0"/>
          <w:i w:val="0"/>
          <w:color w:val="20313F"/>
          <w:sz w:val="21"/>
        </w:rPr>
        <w:t>（</w:t>
      </w:r>
      <w:r>
        <w:rPr>
          <w:rFonts w:ascii="Arial" w:hAnsi="Arial" w:eastAsia="Microsoft YaHei"/>
          <w:b/>
          <w:i w:val="0"/>
          <w:color w:val="183B56"/>
          <w:sz w:val="21"/>
        </w:rPr>
        <w:t>62.5%</w:t>
      </w:r>
      <w:r>
        <w:rPr>
          <w:rFonts w:ascii="Arial" w:hAnsi="Arial" w:eastAsia="Microsoft YaHei"/>
          <w:b w:val="0"/>
          <w:i w:val="0"/>
          <w:color w:val="20313F"/>
          <w:sz w:val="21"/>
        </w:rPr>
        <w:t xml:space="preserve">）。购买前“看过”的 </w:t>
      </w:r>
      <w:r>
        <w:rPr>
          <w:rFonts w:ascii="Arial" w:hAnsi="Arial" w:eastAsia="Microsoft YaHei"/>
          <w:b/>
          <w:i w:val="0"/>
          <w:color w:val="183B56"/>
          <w:sz w:val="21"/>
        </w:rPr>
        <w:t>88 人</w:t>
      </w:r>
      <w:r>
        <w:rPr>
          <w:rFonts w:ascii="Arial" w:hAnsi="Arial" w:eastAsia="Microsoft YaHei"/>
          <w:b w:val="0"/>
          <w:i w:val="0"/>
          <w:color w:val="20313F"/>
          <w:sz w:val="21"/>
        </w:rPr>
        <w:t xml:space="preserve">，则包括 </w:t>
      </w:r>
      <w:r>
        <w:rPr>
          <w:rFonts w:ascii="Arial" w:hAnsi="Arial" w:eastAsia="Microsoft YaHei"/>
          <w:b/>
          <w:i w:val="0"/>
          <w:color w:val="183B56"/>
          <w:sz w:val="21"/>
        </w:rPr>
        <w:t>28 人</w:t>
      </w:r>
      <w:r>
        <w:rPr>
          <w:rFonts w:ascii="Arial" w:hAnsi="Arial" w:eastAsia="Microsoft YaHei"/>
          <w:b w:val="0"/>
          <w:i w:val="0"/>
          <w:color w:val="20313F"/>
          <w:sz w:val="21"/>
        </w:rPr>
        <w:t xml:space="preserve">认真看过和 </w:t>
      </w:r>
      <w:r>
        <w:rPr>
          <w:rFonts w:ascii="Arial" w:hAnsi="Arial" w:eastAsia="Microsoft YaHei"/>
          <w:b/>
          <w:i w:val="0"/>
          <w:color w:val="183B56"/>
          <w:sz w:val="21"/>
        </w:rPr>
        <w:t>60 人</w:t>
      </w:r>
      <w:r>
        <w:rPr>
          <w:rFonts w:ascii="Arial" w:hAnsi="Arial" w:eastAsia="Microsoft YaHei"/>
          <w:b w:val="0"/>
          <w:i w:val="0"/>
          <w:color w:val="20313F"/>
          <w:sz w:val="21"/>
        </w:rPr>
        <w:t xml:space="preserve">大致看过；持有期看过一次或多次的合计为 </w:t>
      </w:r>
      <w:r>
        <w:rPr>
          <w:rFonts w:ascii="Arial" w:hAnsi="Arial" w:eastAsia="Microsoft YaHei"/>
          <w:b/>
          <w:i w:val="0"/>
          <w:color w:val="183B56"/>
          <w:sz w:val="21"/>
        </w:rPr>
        <w:t>60 人</w:t>
      </w:r>
      <w:r>
        <w:rPr>
          <w:rFonts w:ascii="Arial" w:hAnsi="Arial" w:eastAsia="Microsoft YaHei"/>
          <w:b w:val="0"/>
          <w:i w:val="0"/>
          <w:color w:val="20313F"/>
          <w:sz w:val="21"/>
        </w:rPr>
        <w:t>（</w:t>
      </w:r>
      <w:r>
        <w:rPr>
          <w:rFonts w:ascii="Arial" w:hAnsi="Arial" w:eastAsia="Microsoft YaHei"/>
          <w:b/>
          <w:i w:val="0"/>
          <w:color w:val="183B56"/>
          <w:sz w:val="21"/>
        </w:rPr>
        <w:t>30.0%</w:t>
      </w:r>
      <w:r>
        <w:rPr>
          <w:rFonts w:ascii="Arial" w:hAnsi="Arial" w:eastAsia="Microsoft YaHei"/>
          <w:b w:val="0"/>
          <w:i w:val="0"/>
          <w:color w:val="20313F"/>
          <w:sz w:val="21"/>
        </w:rPr>
        <w:t>）。这些回答显示了从术语曝光到材料接触的不同深度，但还不能说明下滑曲线已经进入购买决策。</w:t>
      </w:r>
    </w:p>
    <w:tbl>
      <w:tblPr>
        <w:tblW w:type="dxa" w:w="9411"/>
        <w:tblLayout w:type="fixed"/>
        <w:tblLook w:firstColumn="1" w:firstRow="1" w:lastColumn="0" w:lastRow="0" w:noHBand="0" w:noVBand="1" w:val="04A0"/>
        <w:jc w:val="center"/>
        <w:tblInd w:type="dxa" w:w="0"/>
      </w:tblPr>
      <w:tblGrid>
        <w:gridCol w:w="2268"/>
        <w:gridCol w:w="2381"/>
        <w:gridCol w:w="4762"/>
      </w:tblGrid>
      <w:tr>
        <w:trPr>
          <w:tblHeader w:val="true"/>
        </w:trPr>
        <w:tc>
          <w:tcPr>
            <w:tcW w:type="dxa" w:w="2268"/>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层次</w:t>
            </w:r>
          </w:p>
        </w:tc>
        <w:tc>
          <w:tcPr>
            <w:tcW w:type="dxa" w:w="2381"/>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结果</w:t>
            </w:r>
          </w:p>
        </w:tc>
        <w:tc>
          <w:tcPr>
            <w:tcW w:type="dxa" w:w="4762"/>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分析解释</w:t>
            </w:r>
          </w:p>
        </w:tc>
      </w:tr>
      <w:tr>
        <w:trPr>
          <w:cantSplit/>
        </w:trPr>
        <w:tc>
          <w:tcPr>
            <w:tcW w:type="dxa" w:w="226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听说过</w:t>
            </w:r>
          </w:p>
        </w:tc>
        <w:tc>
          <w:tcPr>
            <w:tcW w:type="dxa" w:w="238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125/200（62.5%）</w:t>
            </w:r>
          </w:p>
        </w:tc>
        <w:tc>
          <w:tcPr>
            <w:tcW w:type="dxa" w:w="476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说明术语有一定曝光，不等于看过或理解</w:t>
            </w:r>
          </w:p>
        </w:tc>
      </w:tr>
      <w:tr>
        <w:trPr>
          <w:cantSplit/>
        </w:trPr>
        <w:tc>
          <w:tcPr>
            <w:tcW w:type="dxa" w:w="226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购买前看过</w:t>
            </w:r>
          </w:p>
        </w:tc>
        <w:tc>
          <w:tcPr>
            <w:tcW w:type="dxa" w:w="238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88/200（44.0%）</w:t>
            </w:r>
          </w:p>
        </w:tc>
        <w:tc>
          <w:tcPr>
            <w:tcW w:type="dxa" w:w="4762"/>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包括大致看过和认真看过</w:t>
            </w:r>
          </w:p>
        </w:tc>
      </w:tr>
      <w:tr>
        <w:trPr>
          <w:cantSplit/>
        </w:trPr>
        <w:tc>
          <w:tcPr>
            <w:tcW w:type="dxa" w:w="226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购买前主动比较</w:t>
            </w:r>
          </w:p>
        </w:tc>
        <w:tc>
          <w:tcPr>
            <w:tcW w:type="dxa" w:w="238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7/200（3.5%）</w:t>
            </w:r>
          </w:p>
        </w:tc>
        <w:tc>
          <w:tcPr>
            <w:tcW w:type="dxa" w:w="476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无提示购买比较中的主动调用很弱</w:t>
            </w:r>
          </w:p>
        </w:tc>
      </w:tr>
      <w:tr>
        <w:trPr>
          <w:cantSplit/>
        </w:trPr>
        <w:tc>
          <w:tcPr>
            <w:tcW w:type="dxa" w:w="226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提示后自报影响决定</w:t>
            </w:r>
          </w:p>
        </w:tc>
        <w:tc>
          <w:tcPr>
            <w:tcW w:type="dxa" w:w="238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102/200（51.0%）</w:t>
            </w:r>
          </w:p>
        </w:tc>
        <w:tc>
          <w:tcPr>
            <w:tcW w:type="dxa" w:w="4762"/>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直接提示后的回忆性归因，不能替代主动使用</w:t>
            </w:r>
          </w:p>
        </w:tc>
      </w:tr>
      <w:tr>
        <w:trPr>
          <w:cantSplit/>
        </w:trPr>
        <w:tc>
          <w:tcPr>
            <w:tcW w:type="dxa" w:w="226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两道相关知识题均答对</w:t>
            </w:r>
          </w:p>
        </w:tc>
        <w:tc>
          <w:tcPr>
            <w:tcW w:type="dxa" w:w="238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86/200（43.0%）</w:t>
            </w:r>
          </w:p>
        </w:tc>
        <w:tc>
          <w:tcPr>
            <w:tcW w:type="dxa" w:w="476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理解口径，与看过和使用分开</w:t>
            </w:r>
          </w:p>
        </w:tc>
      </w:tr>
    </w:tbl>
    <w:p>
      <w:pPr>
        <w:spacing w:after="40"/>
      </w:pPr>
    </w:p>
    <w:p>
      <w:pPr>
        <w:keepNext w:val="0"/>
        <w:spacing w:before="0" w:after="40" w:lineRule="auto" w:line="240"/>
        <w:jc w:val="center"/>
      </w:pPr>
      <w:r>
        <w:drawing>
          <wp:inline xmlns:a="http://schemas.openxmlformats.org/drawingml/2006/main" xmlns:pic="http://schemas.openxmlformats.org/drawingml/2006/picture">
            <wp:extent cx="5897880" cy="3620078"/>
            <wp:docPr id="4" name="Picture 4" descr="横向条形图。听说过下滑曲线62.5%，购买前看过44.0%，持有期看过30.0%，主动比较过3.5%；提示后自报影响决策51.0%，两道相关知识题均答对43.0%。" title="图 4　知晓、接触、主动使用、提示后自报与理解是不同层次（n=200）"/>
            <wp:cNvGraphicFramePr>
              <a:graphicFrameLocks noChangeAspect="1"/>
            </wp:cNvGraphicFramePr>
            <a:graphic>
              <a:graphicData uri="http://schemas.openxmlformats.org/drawingml/2006/picture">
                <pic:pic>
                  <pic:nvPicPr>
                    <pic:cNvPr id="0" name="fig2_glide_v1.0.png"/>
                    <pic:cNvPicPr/>
                  </pic:nvPicPr>
                  <pic:blipFill>
                    <a:blip r:embed="rId16"/>
                    <a:stretch>
                      <a:fillRect/>
                    </a:stretch>
                  </pic:blipFill>
                  <pic:spPr>
                    <a:xfrm>
                      <a:off x="0" y="0"/>
                      <a:ext cx="5897880" cy="3620078"/>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4　知晓、接触、主动使用、提示后自报与理解是不同层次（n=200）</w:t>
      </w:r>
      <w:r>
        <w:rPr>
          <w:rFonts w:ascii="Arial" w:hAnsi="Arial" w:eastAsia="Microsoft YaHei"/>
          <w:b w:val="0"/>
          <w:i w:val="0"/>
          <w:color w:val="60717D"/>
          <w:sz w:val="14"/>
        </w:rPr>
        <w:br/>
        <w:t>数据来源：FOF问卷回答_200人.csv；使用经校正的分析结果，未加权。</w:t>
      </w:r>
    </w:p>
    <w:p>
      <w:pPr>
        <w:pStyle w:val="Heading2"/>
        <w:keepNext/>
      </w:pPr>
      <w:r>
        <w:rPr>
          <w:rFonts w:ascii="Arial" w:hAnsi="Arial" w:eastAsia="Microsoft YaHei"/>
          <w:b/>
          <w:i w:val="0"/>
          <w:color w:val="1F6E8C"/>
          <w:sz w:val="25"/>
        </w:rPr>
        <w:t>4.2 提示效应比“使用率矛盾”更值得关注</w:t>
      </w:r>
    </w:p>
    <w:p>
      <w:pPr>
        <w:keepNext w:val="0"/>
        <w:spacing w:before="0" w:after="100" w:lineRule="auto" w:line="300"/>
        <w:ind w:left="0"/>
      </w:pPr>
      <w:r>
        <w:rPr>
          <w:rFonts w:ascii="Arial" w:hAnsi="Arial" w:eastAsia="Microsoft YaHei"/>
          <w:b w:val="0"/>
          <w:i w:val="0"/>
          <w:color w:val="20313F"/>
          <w:sz w:val="21"/>
        </w:rPr>
        <w:t xml:space="preserve">在 102 名提示后自报下滑曲线影响过决定的人中，有 </w:t>
      </w:r>
      <w:r>
        <w:rPr>
          <w:rFonts w:ascii="Arial" w:hAnsi="Arial" w:eastAsia="Microsoft YaHei"/>
          <w:b/>
          <w:i w:val="0"/>
          <w:color w:val="183B56"/>
          <w:sz w:val="21"/>
        </w:rPr>
        <w:t>97 人</w:t>
      </w:r>
      <w:r>
        <w:rPr>
          <w:rFonts w:ascii="Arial" w:hAnsi="Arial" w:eastAsia="Microsoft YaHei"/>
          <w:b w:val="0"/>
          <w:i w:val="0"/>
          <w:color w:val="20313F"/>
          <w:sz w:val="21"/>
        </w:rPr>
        <w:t xml:space="preserve">没有在前面的无提示比较题中选择下滑曲线，占 </w:t>
      </w:r>
      <w:r>
        <w:rPr>
          <w:rFonts w:ascii="Arial" w:hAnsi="Arial" w:eastAsia="Microsoft YaHei"/>
          <w:b/>
          <w:i w:val="0"/>
          <w:color w:val="183B56"/>
          <w:sz w:val="21"/>
        </w:rPr>
        <w:t>95.1%</w:t>
      </w:r>
      <w:r>
        <w:rPr>
          <w:rFonts w:ascii="Arial" w:hAnsi="Arial" w:eastAsia="Microsoft YaHei"/>
          <w:b w:val="0"/>
          <w:i w:val="0"/>
          <w:color w:val="20313F"/>
          <w:sz w:val="21"/>
        </w:rPr>
        <w:t>。由于两题提示强度、题型和选项上限不同，这不能判定回答虚假；更合理的解释是：术语被点名后容易获得认可，但在真实比较任务中尚未进入前几位。</w:t>
      </w:r>
    </w:p>
    <w:p>
      <w:pPr>
        <w:keepNext w:val="0"/>
        <w:spacing w:before="0" w:after="100" w:lineRule="auto" w:line="300"/>
        <w:ind w:left="0"/>
      </w:pPr>
      <w:r>
        <w:rPr>
          <w:rFonts w:ascii="Arial" w:hAnsi="Arial" w:eastAsia="Microsoft YaHei"/>
          <w:b w:val="0"/>
          <w:i w:val="0"/>
          <w:color w:val="20313F"/>
          <w:sz w:val="21"/>
        </w:rPr>
        <w:t>换句话说，</w:t>
      </w:r>
      <w:r>
        <w:rPr>
          <w:rFonts w:ascii="Arial" w:hAnsi="Arial" w:eastAsia="Microsoft YaHei"/>
          <w:b/>
          <w:i w:val="0"/>
          <w:color w:val="183B56"/>
          <w:sz w:val="21"/>
        </w:rPr>
        <w:t>3.5%</w:t>
      </w:r>
      <w:r>
        <w:rPr>
          <w:rFonts w:ascii="Arial" w:hAnsi="Arial" w:eastAsia="Microsoft YaHei"/>
          <w:b w:val="0"/>
          <w:i w:val="0"/>
          <w:color w:val="20313F"/>
          <w:sz w:val="21"/>
        </w:rPr>
        <w:t xml:space="preserve"> 与 </w:t>
      </w:r>
      <w:r>
        <w:rPr>
          <w:rFonts w:ascii="Arial" w:hAnsi="Arial" w:eastAsia="Microsoft YaHei"/>
          <w:b/>
          <w:i w:val="0"/>
          <w:color w:val="183B56"/>
          <w:sz w:val="21"/>
        </w:rPr>
        <w:t>51.0%</w:t>
      </w:r>
      <w:r>
        <w:rPr>
          <w:rFonts w:ascii="Arial" w:hAnsi="Arial" w:eastAsia="Microsoft YaHei"/>
          <w:b w:val="0"/>
          <w:i w:val="0"/>
          <w:color w:val="20313F"/>
          <w:sz w:val="21"/>
        </w:rPr>
        <w:t xml:space="preserve"> </w:t>
      </w:r>
      <w:r>
        <w:rPr>
          <w:rFonts w:ascii="Arial" w:hAnsi="Arial" w:eastAsia="Microsoft YaHei"/>
          <w:b/>
          <w:i w:val="0"/>
          <w:color w:val="183B56"/>
          <w:sz w:val="21"/>
        </w:rPr>
        <w:t>不是互相否定的两个“使用率”</w:t>
      </w:r>
      <w:r>
        <w:rPr>
          <w:rFonts w:ascii="Arial" w:hAnsi="Arial" w:eastAsia="Microsoft YaHei"/>
          <w:b w:val="0"/>
          <w:i w:val="0"/>
          <w:color w:val="20313F"/>
          <w:sz w:val="21"/>
        </w:rPr>
        <w:t>。前者问的是，在没有单独强调下滑曲线时，它是否主动进入受访者最主要的比较清单；后者问的是，当题目明确提示这个概念后，受访者是否回忆它曾影响某个决定。提示后的认可可能来自真实但次要的影响，也可能来自概念熟悉感或事后归因，</w:t>
      </w:r>
      <w:r>
        <w:rPr>
          <w:rFonts w:ascii="Arial" w:hAnsi="Arial" w:eastAsia="Microsoft YaHei"/>
          <w:b/>
          <w:i w:val="0"/>
          <w:color w:val="183B56"/>
          <w:sz w:val="21"/>
        </w:rPr>
        <w:t>本次问卷无法进一步区分</w:t>
      </w:r>
      <w:r>
        <w:rPr>
          <w:rFonts w:ascii="Arial" w:hAnsi="Arial" w:eastAsia="Microsoft YaHei"/>
          <w:b w:val="0"/>
          <w:i w:val="0"/>
          <w:color w:val="20313F"/>
          <w:sz w:val="21"/>
        </w:rPr>
        <w:t>。</w:t>
      </w:r>
    </w:p>
    <w:p>
      <w:pPr>
        <w:keepNext w:val="0"/>
        <w:spacing w:before="0" w:after="100" w:lineRule="auto" w:line="300"/>
        <w:ind w:left="0"/>
      </w:pPr>
      <w:r>
        <w:rPr>
          <w:rFonts w:ascii="Arial" w:hAnsi="Arial" w:eastAsia="Microsoft YaHei"/>
          <w:b w:val="0"/>
          <w:i w:val="0"/>
          <w:color w:val="20313F"/>
          <w:sz w:val="21"/>
        </w:rPr>
        <w:t>这正是后续研究可以继续验证的地方：不是反复询问“你觉得下滑曲线重要吗”，而是给出一张简化配置图，让用户完成“选择产品、解释变化、判断风险”三个具体任务。只有当用户能够在任务中找到并正确使用信息，才能说明材料真正支持了决策。</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FFF3D6"/>
            <w:tcBorders>
              <w:top w:val="single" w:sz="14" w:color="B7791F"/>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B7791F"/>
                <w:sz w:val="21"/>
              </w:rPr>
              <w:t>分析结论</w:t>
            </w:r>
            <w:r>
              <w:rPr>
                <w:rFonts w:ascii="Arial" w:hAnsi="Arial" w:eastAsia="Microsoft YaHei"/>
                <w:b w:val="0"/>
                <w:i w:val="0"/>
                <w:color w:val="20313F"/>
                <w:sz w:val="20"/>
              </w:rPr>
              <w:br/>
              <w:t>下滑曲线当前更接近“被提醒时认得”而不是“需要时会主动用”。改进重点不是继续增加术语曝光，而是把它翻译成可执行问题：我现在持有什么、未来会怎样变、为什么这样变、这是否代表不会亏损。</w:t>
            </w:r>
          </w:p>
        </w:tc>
      </w:tr>
    </w:tbl>
    <w:p>
      <w:pPr>
        <w:spacing w:after="20"/>
      </w:pPr>
    </w:p>
    <w:p>
      <w:pPr>
        <w:pStyle w:val="Heading1"/>
        <w:keepNext/>
      </w:pPr>
      <w:r>
        <w:rPr>
          <w:rFonts w:ascii="Arial" w:hAnsi="Arial" w:eastAsia="Microsoft YaHei"/>
          <w:b/>
          <w:i w:val="0"/>
          <w:color w:val="183B56"/>
          <w:sz w:val="32"/>
        </w:rPr>
        <w:t>五、研究发现四：长期认同与短期焦虑可以在同一人身上共存</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本节要回答的问题</w:t>
            </w:r>
            <w:r>
              <w:rPr>
                <w:rFonts w:ascii="Arial" w:hAnsi="Arial" w:eastAsia="Microsoft YaHei"/>
                <w:b w:val="0"/>
                <w:i w:val="0"/>
                <w:color w:val="20313F"/>
                <w:sz w:val="20"/>
              </w:rPr>
              <w:br/>
              <w:t>面对基金净值明显下跌时，投资者是因为理解长期投资而继续持有，还是因为担心亏损而想退出？多选题结果显示，这两类态度不是非此即彼，因此我们进一步分析它们是否会在同一受访者身上同时出现。</w:t>
            </w:r>
          </w:p>
        </w:tc>
      </w:tr>
    </w:tbl>
    <w:p>
      <w:pPr>
        <w:spacing w:after="20"/>
      </w:pPr>
    </w:p>
    <w:p>
      <w:pPr>
        <w:pStyle w:val="Heading2"/>
        <w:keepNext/>
      </w:pPr>
      <w:r>
        <w:rPr>
          <w:rFonts w:ascii="Arial" w:hAnsi="Arial" w:eastAsia="Microsoft YaHei"/>
          <w:b/>
          <w:i w:val="0"/>
          <w:color w:val="1F6E8C"/>
          <w:sz w:val="25"/>
        </w:rPr>
        <w:t>5.1 不是两群人，而是同一种复杂态度</w:t>
      </w:r>
    </w:p>
    <w:p>
      <w:pPr>
        <w:keepNext w:val="0"/>
        <w:spacing w:before="0" w:after="100" w:lineRule="auto" w:line="300"/>
        <w:ind w:left="0"/>
      </w:pPr>
      <w:r>
        <w:rPr>
          <w:rFonts w:ascii="Arial" w:hAnsi="Arial" w:eastAsia="Microsoft YaHei"/>
          <w:b w:val="0"/>
          <w:i w:val="0"/>
          <w:color w:val="20313F"/>
          <w:sz w:val="21"/>
        </w:rPr>
        <w:t>这里的“长期/理解信号”是指受访者在 Q23 中选择“这是长期养老投资，我愿意继续持有”或“我理解净值波动可能是正常的”；“焦虑/不明信号”是指选择“我担心继续亏损”或“我不清楚为什么会下跌”。这两组答案只是对多选题的描述性归类，不是经过信效度检验的情绪或风险态度量表。</w:t>
      </w:r>
    </w:p>
    <w:p>
      <w:pPr>
        <w:keepNext w:val="0"/>
        <w:spacing w:before="0" w:after="40" w:lineRule="auto" w:line="240"/>
        <w:jc w:val="center"/>
      </w:pPr>
      <w:r>
        <w:drawing>
          <wp:inline xmlns:a="http://schemas.openxmlformats.org/drawingml/2006/main" xmlns:pic="http://schemas.openxmlformats.org/drawingml/2006/picture">
            <wp:extent cx="5349240" cy="3120390"/>
            <wp:docPr id="5" name="Picture 5" descr="堆叠条形图。42.7%仅出现长期或理解正常波动信号，22.3%同时出现长期理解与焦虑不明信号，22.9%仅出现焦虑不明信号，12.1%两类信号均未出现。" title="图 5　波动经历者中的长期/理解信号与焦虑/不明信号（Q23 多选，n=157）"/>
            <wp:cNvGraphicFramePr>
              <a:graphicFrameLocks noChangeAspect="1"/>
            </wp:cNvGraphicFramePr>
            <a:graphic>
              <a:graphicData uri="http://schemas.openxmlformats.org/drawingml/2006/picture">
                <pic:pic>
                  <pic:nvPicPr>
                    <pic:cNvPr id="0" name="fig6_holding_tension_v1.1.png"/>
                    <pic:cNvPicPr/>
                  </pic:nvPicPr>
                  <pic:blipFill>
                    <a:blip r:embed="rId17"/>
                    <a:stretch>
                      <a:fillRect/>
                    </a:stretch>
                  </pic:blipFill>
                  <pic:spPr>
                    <a:xfrm>
                      <a:off x="0" y="0"/>
                      <a:ext cx="5349240" cy="3120390"/>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5　波动经历者中的长期/理解信号与焦虑/不明信号（Q23 多选，n=157）</w:t>
      </w:r>
      <w:r>
        <w:rPr>
          <w:rFonts w:ascii="Arial" w:hAnsi="Arial" w:eastAsia="Microsoft YaHei"/>
          <w:b w:val="0"/>
          <w:i w:val="0"/>
          <w:color w:val="60717D"/>
          <w:sz w:val="14"/>
        </w:rPr>
        <w:br/>
        <w:t>数据来源：FOF问卷回答_200人.csv；使用经校正的分析结果，未加权。</w:t>
      </w:r>
    </w:p>
    <w:p>
      <w:pPr>
        <w:keepNext w:val="0"/>
        <w:spacing w:before="0" w:after="100" w:lineRule="auto" w:line="300"/>
        <w:ind w:left="0"/>
      </w:pPr>
      <w:r>
        <w:rPr>
          <w:rFonts w:ascii="Arial" w:hAnsi="Arial" w:eastAsia="Microsoft YaHei"/>
          <w:b w:val="0"/>
          <w:i w:val="0"/>
          <w:color w:val="20313F"/>
          <w:sz w:val="21"/>
        </w:rPr>
        <w:t xml:space="preserve">在经历过最近一次明显下跌的 </w:t>
      </w:r>
      <w:r>
        <w:rPr>
          <w:rFonts w:ascii="Arial" w:hAnsi="Arial" w:eastAsia="Microsoft YaHei"/>
          <w:b/>
          <w:i w:val="0"/>
          <w:color w:val="183B56"/>
          <w:sz w:val="21"/>
        </w:rPr>
        <w:t>157 人</w:t>
      </w:r>
      <w:r>
        <w:rPr>
          <w:rFonts w:ascii="Arial" w:hAnsi="Arial" w:eastAsia="Microsoft YaHei"/>
          <w:b w:val="0"/>
          <w:i w:val="0"/>
          <w:color w:val="20313F"/>
          <w:sz w:val="21"/>
        </w:rPr>
        <w:t>中，</w:t>
      </w:r>
      <w:r>
        <w:rPr>
          <w:rFonts w:ascii="Arial" w:hAnsi="Arial" w:eastAsia="Microsoft YaHei"/>
          <w:b/>
          <w:i w:val="0"/>
          <w:color w:val="183B56"/>
          <w:sz w:val="21"/>
        </w:rPr>
        <w:t>65.0%</w:t>
      </w:r>
      <w:r>
        <w:rPr>
          <w:rFonts w:ascii="Arial" w:hAnsi="Arial" w:eastAsia="Microsoft YaHei"/>
          <w:b w:val="0"/>
          <w:i w:val="0"/>
          <w:color w:val="20313F"/>
          <w:sz w:val="21"/>
        </w:rPr>
        <w:t>至少选择了“长期养老、愿意持有”或“理解净值波动可能正常”；</w:t>
      </w:r>
      <w:r>
        <w:rPr>
          <w:rFonts w:ascii="Arial" w:hAnsi="Arial" w:eastAsia="Microsoft YaHei"/>
          <w:b/>
          <w:i w:val="0"/>
          <w:color w:val="183B56"/>
          <w:sz w:val="21"/>
        </w:rPr>
        <w:t>45.2%</w:t>
      </w:r>
      <w:r>
        <w:rPr>
          <w:rFonts w:ascii="Arial" w:hAnsi="Arial" w:eastAsia="Microsoft YaHei"/>
          <w:b w:val="0"/>
          <w:i w:val="0"/>
          <w:color w:val="20313F"/>
          <w:sz w:val="21"/>
        </w:rPr>
        <w:t xml:space="preserve">至少选择了“担心继续亏损”或“不清楚为什么下跌”。其中 </w:t>
      </w:r>
      <w:r>
        <w:rPr>
          <w:rFonts w:ascii="Arial" w:hAnsi="Arial" w:eastAsia="Microsoft YaHei"/>
          <w:b/>
          <w:i w:val="0"/>
          <w:color w:val="183B56"/>
          <w:sz w:val="21"/>
        </w:rPr>
        <w:t>35 人</w:t>
      </w:r>
      <w:r>
        <w:rPr>
          <w:rFonts w:ascii="Arial" w:hAnsi="Arial" w:eastAsia="Microsoft YaHei"/>
          <w:b w:val="0"/>
          <w:i w:val="0"/>
          <w:color w:val="20313F"/>
          <w:sz w:val="21"/>
        </w:rPr>
        <w:t>（</w:t>
      </w:r>
      <w:r>
        <w:rPr>
          <w:rFonts w:ascii="Arial" w:hAnsi="Arial" w:eastAsia="Microsoft YaHei"/>
          <w:b/>
          <w:i w:val="0"/>
          <w:color w:val="183B56"/>
          <w:sz w:val="21"/>
        </w:rPr>
        <w:t>22.3%</w:t>
      </w:r>
      <w:r>
        <w:rPr>
          <w:rFonts w:ascii="Arial" w:hAnsi="Arial" w:eastAsia="Microsoft YaHei"/>
          <w:b w:val="0"/>
          <w:i w:val="0"/>
          <w:color w:val="20313F"/>
          <w:sz w:val="21"/>
        </w:rPr>
        <w:t>）</w:t>
      </w:r>
      <w:r>
        <w:rPr>
          <w:rFonts w:ascii="Arial" w:hAnsi="Arial" w:eastAsia="Microsoft YaHei"/>
          <w:b/>
          <w:i w:val="0"/>
          <w:color w:val="183B56"/>
          <w:sz w:val="21"/>
        </w:rPr>
        <w:t>两类信号同时出现</w:t>
      </w:r>
      <w:r>
        <w:rPr>
          <w:rFonts w:ascii="Arial" w:hAnsi="Arial" w:eastAsia="Microsoft YaHei"/>
          <w:b w:val="0"/>
          <w:i w:val="0"/>
          <w:color w:val="20313F"/>
          <w:sz w:val="21"/>
        </w:rPr>
        <w:t>。</w:t>
      </w:r>
      <w:r>
        <w:rPr>
          <w:rFonts w:ascii="Arial" w:hAnsi="Arial" w:eastAsia="Microsoft YaHei"/>
          <w:b/>
          <w:i w:val="0"/>
          <w:color w:val="183B56"/>
          <w:sz w:val="21"/>
        </w:rPr>
        <w:t>长期认同不是焦虑的反义词</w:t>
      </w:r>
      <w:r>
        <w:rPr>
          <w:rFonts w:ascii="Arial" w:hAnsi="Arial" w:eastAsia="Microsoft YaHei"/>
          <w:b w:val="0"/>
          <w:i w:val="0"/>
          <w:color w:val="20313F"/>
          <w:sz w:val="21"/>
        </w:rPr>
        <w:t>，理解正常波动也不代表没有情绪压力。</w:t>
      </w:r>
    </w:p>
    <w:p>
      <w:pPr>
        <w:keepNext w:val="0"/>
        <w:spacing w:before="0" w:after="100" w:lineRule="auto" w:line="300"/>
        <w:ind w:left="0"/>
      </w:pPr>
      <w:r>
        <w:rPr>
          <w:rFonts w:ascii="Arial" w:hAnsi="Arial" w:eastAsia="Microsoft YaHei"/>
          <w:b w:val="0"/>
          <w:i w:val="0"/>
          <w:color w:val="20313F"/>
          <w:sz w:val="21"/>
        </w:rPr>
        <w:t xml:space="preserve">因此，不能简单把样本分成“理性长期持有者”和“焦虑赎回者”两群人。至少对这 </w:t>
      </w:r>
      <w:r>
        <w:rPr>
          <w:rFonts w:ascii="Arial" w:hAnsi="Arial" w:eastAsia="Microsoft YaHei"/>
          <w:b/>
          <w:i w:val="0"/>
          <w:color w:val="183B56"/>
          <w:sz w:val="21"/>
        </w:rPr>
        <w:t>35 人</w:t>
      </w:r>
      <w:r>
        <w:rPr>
          <w:rFonts w:ascii="Arial" w:hAnsi="Arial" w:eastAsia="Microsoft YaHei"/>
          <w:b w:val="0"/>
          <w:i w:val="0"/>
          <w:color w:val="20313F"/>
          <w:sz w:val="21"/>
        </w:rPr>
        <w:t>而言，他们一方面认同长期养老的产品定位，另一方面仍会担心损失或缺少对下跌原因的解释。投教若只重复长期口号，可能无法解除当下的不确定；若只强调短期风险，又可能削弱产品的长期定位。更有效的做法是同时提供长期目标与当前状态之间的解释桥梁。</w:t>
      </w:r>
    </w:p>
    <w:p>
      <w:pPr>
        <w:pStyle w:val="Heading2"/>
        <w:keepNext/>
      </w:pPr>
      <w:r>
        <w:rPr>
          <w:rFonts w:ascii="Arial" w:hAnsi="Arial" w:eastAsia="Microsoft YaHei"/>
          <w:b/>
          <w:i w:val="0"/>
          <w:color w:val="1F6E8C"/>
          <w:sz w:val="25"/>
        </w:rPr>
        <w:t>5.2 波动时，解释处在操作之前</w:t>
      </w:r>
    </w:p>
    <w:tbl>
      <w:tblPr>
        <w:tblW w:type="dxa" w:w="9411"/>
        <w:tblLayout w:type="fixed"/>
        <w:tblLook w:firstColumn="1" w:firstRow="1" w:lastColumn="0" w:lastRow="0" w:noHBand="0" w:noVBand="1" w:val="04A0"/>
        <w:jc w:val="center"/>
        <w:tblInd w:type="dxa" w:w="0"/>
      </w:tblPr>
      <w:tblGrid>
        <w:gridCol w:w="4025"/>
        <w:gridCol w:w="1134"/>
        <w:gridCol w:w="1247"/>
        <w:gridCol w:w="3005"/>
      </w:tblGrid>
      <w:tr>
        <w:trPr>
          <w:tblHeader w:val="true"/>
        </w:trPr>
        <w:tc>
          <w:tcPr>
            <w:tcW w:type="dxa" w:w="4025"/>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最近一次明显下跌时的主要做法</w:t>
            </w:r>
          </w:p>
        </w:tc>
        <w:tc>
          <w:tcPr>
            <w:tcW w:type="dxa" w:w="1134"/>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人数</w:t>
            </w:r>
          </w:p>
        </w:tc>
        <w:tc>
          <w:tcPr>
            <w:tcW w:type="dxa" w:w="1247"/>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比例</w:t>
            </w:r>
          </w:p>
        </w:tc>
        <w:tc>
          <w:tcPr>
            <w:tcW w:type="dxa" w:w="3005"/>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态度含义</w:t>
            </w:r>
          </w:p>
        </w:tc>
      </w:tr>
      <w:tr>
        <w:trPr>
          <w:cantSplit/>
        </w:trPr>
        <w:tc>
          <w:tcPr>
            <w:tcW w:type="dxa" w:w="402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先查询信息或咨询他人，再决定</w:t>
            </w:r>
          </w:p>
        </w:tc>
        <w:tc>
          <w:tcPr>
            <w:tcW w:type="dxa" w:w="113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61</w:t>
            </w:r>
          </w:p>
        </w:tc>
        <w:tc>
          <w:tcPr>
            <w:tcW w:type="dxa" w:w="1247"/>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30.5%</w:t>
            </w:r>
          </w:p>
        </w:tc>
        <w:tc>
          <w:tcPr>
            <w:tcW w:type="dxa" w:w="300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需要先形成解释再行动</w:t>
            </w:r>
          </w:p>
        </w:tc>
      </w:tr>
      <w:tr>
        <w:trPr>
          <w:cantSplit/>
        </w:trPr>
        <w:tc>
          <w:tcPr>
            <w:tcW w:type="dxa" w:w="402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继续持有，没有操作</w:t>
            </w:r>
          </w:p>
        </w:tc>
        <w:tc>
          <w:tcPr>
            <w:tcW w:type="dxa" w:w="113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46</w:t>
            </w:r>
          </w:p>
        </w:tc>
        <w:tc>
          <w:tcPr>
            <w:tcW w:type="dxa" w:w="1247"/>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23.0%</w:t>
            </w:r>
          </w:p>
        </w:tc>
        <w:tc>
          <w:tcPr>
            <w:tcW w:type="dxa" w:w="300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长期定位或暂不行动</w:t>
            </w:r>
          </w:p>
        </w:tc>
      </w:tr>
      <w:tr>
        <w:trPr>
          <w:cantSplit/>
        </w:trPr>
        <w:tc>
          <w:tcPr>
            <w:tcW w:type="dxa" w:w="402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追加购买</w:t>
            </w:r>
          </w:p>
        </w:tc>
        <w:tc>
          <w:tcPr>
            <w:tcW w:type="dxa" w:w="113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22</w:t>
            </w:r>
          </w:p>
        </w:tc>
        <w:tc>
          <w:tcPr>
            <w:tcW w:type="dxa" w:w="1247"/>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11.0%</w:t>
            </w:r>
          </w:p>
        </w:tc>
        <w:tc>
          <w:tcPr>
            <w:tcW w:type="dxa" w:w="300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以行动表达判断</w:t>
            </w:r>
          </w:p>
        </w:tc>
      </w:tr>
      <w:tr>
        <w:trPr>
          <w:cantSplit/>
        </w:trPr>
        <w:tc>
          <w:tcPr>
            <w:tcW w:type="dxa" w:w="402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部分或全部赎回</w:t>
            </w:r>
          </w:p>
        </w:tc>
        <w:tc>
          <w:tcPr>
            <w:tcW w:type="dxa" w:w="113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28</w:t>
            </w:r>
          </w:p>
        </w:tc>
        <w:tc>
          <w:tcPr>
            <w:tcW w:type="dxa" w:w="1247"/>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14.0%</w:t>
            </w:r>
          </w:p>
        </w:tc>
        <w:tc>
          <w:tcPr>
            <w:tcW w:type="dxa" w:w="300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风险压力已转化为退出行为</w:t>
            </w:r>
          </w:p>
        </w:tc>
      </w:tr>
    </w:tbl>
    <w:p>
      <w:pPr>
        <w:spacing w:after="40"/>
      </w:pPr>
    </w:p>
    <w:p>
      <w:pPr>
        <w:keepNext w:val="0"/>
        <w:spacing w:before="0" w:after="100" w:lineRule="auto" w:line="300"/>
        <w:ind w:left="0"/>
      </w:pPr>
      <w:r>
        <w:rPr>
          <w:rFonts w:ascii="Arial" w:hAnsi="Arial" w:eastAsia="Microsoft YaHei"/>
          <w:b w:val="0"/>
          <w:i w:val="0"/>
          <w:color w:val="20313F"/>
          <w:sz w:val="21"/>
        </w:rPr>
        <w:t xml:space="preserve">另有 </w:t>
      </w:r>
      <w:r>
        <w:rPr>
          <w:rFonts w:ascii="Arial" w:hAnsi="Arial" w:eastAsia="Microsoft YaHei"/>
          <w:b/>
          <w:i w:val="0"/>
          <w:color w:val="183B56"/>
          <w:sz w:val="21"/>
        </w:rPr>
        <w:t>43/200（21.5%）</w:t>
      </w:r>
      <w:r>
        <w:rPr>
          <w:rFonts w:ascii="Arial" w:hAnsi="Arial" w:eastAsia="Microsoft YaHei"/>
          <w:b w:val="0"/>
          <w:i w:val="0"/>
          <w:color w:val="20313F"/>
          <w:sz w:val="21"/>
        </w:rPr>
        <w:t>表示没有经历过明显下跌或记不清，因此不进入 Q23 理由分析。</w:t>
      </w:r>
    </w:p>
    <w:p>
      <w:pPr>
        <w:keepNext w:val="0"/>
        <w:spacing w:before="0" w:after="100" w:lineRule="auto" w:line="300"/>
        <w:ind w:left="0"/>
      </w:pPr>
      <w:r>
        <w:rPr>
          <w:rFonts w:ascii="Arial" w:hAnsi="Arial" w:eastAsia="Microsoft YaHei"/>
          <w:b w:val="0"/>
          <w:i w:val="0"/>
          <w:color w:val="20313F"/>
          <w:sz w:val="21"/>
        </w:rPr>
        <w:t xml:space="preserve">“先查询信息或咨询他人”是 Q22 的单选结果，占全部样本的 </w:t>
      </w:r>
      <w:r>
        <w:rPr>
          <w:rFonts w:ascii="Arial" w:hAnsi="Arial" w:eastAsia="Microsoft YaHei"/>
          <w:b/>
          <w:i w:val="0"/>
          <w:color w:val="183B56"/>
          <w:sz w:val="21"/>
        </w:rPr>
        <w:t>30.5%</w:t>
      </w:r>
      <w:r>
        <w:rPr>
          <w:rFonts w:ascii="Arial" w:hAnsi="Arial" w:eastAsia="Microsoft YaHei"/>
          <w:b w:val="0"/>
          <w:i w:val="0"/>
          <w:color w:val="20313F"/>
          <w:sz w:val="21"/>
        </w:rPr>
        <w:t>，是四类实质行为中比例最高的一项。它说明在波动情境里，一部分投资者的首要需求不是立即交易，而是先回答“发生了什么、对我的产品意味着什么”。继续持有、追加购买或赎回本身都不能在本研究中被判定为正确或错误，因为合理行动还取决于个人目标、风险承受能力和当时市场条件。</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6F3EF"/>
            <w:tcBorders>
              <w:top w:val="single" w:sz="14" w:color="70AD47"/>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70AD47"/>
                <w:sz w:val="21"/>
              </w:rPr>
              <w:t>对持有期服务的含义</w:t>
            </w:r>
            <w:r>
              <w:rPr>
                <w:rFonts w:ascii="Arial" w:hAnsi="Arial" w:eastAsia="Microsoft YaHei"/>
                <w:b w:val="0"/>
                <w:i w:val="0"/>
                <w:color w:val="20313F"/>
                <w:sz w:val="20"/>
              </w:rPr>
              <w:br/>
              <w:t>只讲“长期持有”不足以回应投资者。波动沟通需要同时解释：本次下跌来自什么、当前配置和风险水平如何、下滑曲线是否按原逻辑运行、哪些风险仍然存在。说明应支持判断，但不能变成具体加仓、持有或赎回建议。</w:t>
            </w:r>
          </w:p>
        </w:tc>
      </w:tr>
    </w:tbl>
    <w:p>
      <w:pPr>
        <w:spacing w:after="20"/>
      </w:pPr>
    </w:p>
    <w:p>
      <w:pPr>
        <w:pStyle w:val="Heading1"/>
        <w:keepNext/>
      </w:pPr>
      <w:r>
        <w:rPr>
          <w:rFonts w:ascii="Arial" w:hAnsi="Arial" w:eastAsia="Microsoft YaHei"/>
          <w:b/>
          <w:i w:val="0"/>
          <w:color w:val="183B56"/>
          <w:sz w:val="32"/>
        </w:rPr>
        <w:t>六、投资者教育方向：把产品知识转化为可完成的判断任务</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本节要回答的问题</w:t>
            </w:r>
            <w:r>
              <w:rPr>
                <w:rFonts w:ascii="Arial" w:hAnsi="Arial" w:eastAsia="Microsoft YaHei"/>
                <w:b w:val="0"/>
                <w:i w:val="0"/>
                <w:color w:val="20313F"/>
                <w:sz w:val="20"/>
              </w:rPr>
              <w:br/>
              <w:t>投资者还希望获得哪些信息，用什么形式更容易理解，又希望在什么时点看到？这些结果反映的是内容和形式偏好，不直接证明某种材料有效；它们的作用是帮助我们确定下一轮投教原型先做什么。</w:t>
            </w:r>
          </w:p>
        </w:tc>
      </w:tr>
    </w:tbl>
    <w:p>
      <w:pPr>
        <w:spacing w:after="20"/>
      </w:pPr>
    </w:p>
    <w:p>
      <w:pPr>
        <w:pStyle w:val="Heading2"/>
        <w:keepNext/>
      </w:pPr>
      <w:r>
        <w:rPr>
          <w:rFonts w:ascii="Arial" w:hAnsi="Arial" w:eastAsia="Microsoft YaHei"/>
          <w:b/>
          <w:i w:val="0"/>
          <w:color w:val="1F6E8C"/>
          <w:sz w:val="25"/>
        </w:rPr>
        <w:t>6.1 内容、形式与时点形成了同一条需求链</w:t>
      </w:r>
    </w:p>
    <w:p>
      <w:pPr>
        <w:keepNext w:val="0"/>
        <w:spacing w:before="0" w:after="100" w:lineRule="auto" w:line="300"/>
        <w:ind w:left="0"/>
      </w:pPr>
      <w:r>
        <w:rPr>
          <w:rFonts w:ascii="Arial" w:hAnsi="Arial" w:eastAsia="Microsoft YaHei"/>
          <w:b w:val="0"/>
          <w:i w:val="0"/>
          <w:color w:val="20313F"/>
          <w:sz w:val="21"/>
        </w:rPr>
        <w:t>Q26、Q27 和 Q28 均为多选题，分别询问希望补充的内容、偏好的表达形式和最需要信息的时点。这里的百分比表示选择某个选项的人占全部 200 名受访者的比例，用来观察相对优先级；它不是满意度，也不能解释为只有相应比例的人需要这类信息。</w:t>
      </w:r>
    </w:p>
    <w:p>
      <w:pPr>
        <w:keepNext w:val="0"/>
        <w:spacing w:before="0" w:after="40" w:lineRule="auto" w:line="240"/>
        <w:jc w:val="center"/>
      </w:pPr>
      <w:r>
        <w:drawing>
          <wp:inline xmlns:a="http://schemas.openxmlformats.org/drawingml/2006/main" xmlns:pic="http://schemas.openxmlformats.org/drawingml/2006/picture">
            <wp:extent cx="5897880" cy="4067503"/>
            <wp:docPr id="6" name="Picture 6" descr="三栏排序图。优先内容首位为未来配置或下滑曲线31.0%；偏好形式首位为结合年龄或退休年份举例30.0%；希望时点首位为第一次了解产品时31.5%。" title="图 6　投教内容、形式与时点偏好（多选，n=200）"/>
            <wp:cNvGraphicFramePr>
              <a:graphicFrameLocks noChangeAspect="1"/>
            </wp:cNvGraphicFramePr>
            <a:graphic>
              <a:graphicData uri="http://schemas.openxmlformats.org/drawingml/2006/picture">
                <pic:pic>
                  <pic:nvPicPr>
                    <pic:cNvPr id="0" name="fig4_education_v1.0.png"/>
                    <pic:cNvPicPr/>
                  </pic:nvPicPr>
                  <pic:blipFill>
                    <a:blip r:embed="rId18"/>
                    <a:stretch>
                      <a:fillRect/>
                    </a:stretch>
                  </pic:blipFill>
                  <pic:spPr>
                    <a:xfrm>
                      <a:off x="0" y="0"/>
                      <a:ext cx="5897880" cy="4067503"/>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6　投教内容、形式与时点偏好（多选，n=200）</w:t>
      </w:r>
      <w:r>
        <w:rPr>
          <w:rFonts w:ascii="Arial" w:hAnsi="Arial" w:eastAsia="Microsoft YaHei"/>
          <w:b w:val="0"/>
          <w:i w:val="0"/>
          <w:color w:val="60717D"/>
          <w:sz w:val="14"/>
        </w:rPr>
        <w:br/>
        <w:t>数据来源：FOF问卷回答_200人.csv；使用经校正的分析结果，未加权。</w:t>
      </w:r>
    </w:p>
    <w:tbl>
      <w:tblPr>
        <w:tblW w:type="dxa" w:w="9410"/>
        <w:tblLayout w:type="fixed"/>
        <w:tblLook w:firstColumn="1" w:firstRow="1" w:lastColumn="0" w:lastRow="0" w:noHBand="0" w:noVBand="1" w:val="04A0"/>
        <w:jc w:val="center"/>
        <w:tblInd w:type="dxa" w:w="0"/>
      </w:tblPr>
      <w:tblGrid>
        <w:gridCol w:w="1757"/>
        <w:gridCol w:w="4535"/>
        <w:gridCol w:w="3118"/>
      </w:tblGrid>
      <w:tr>
        <w:trPr>
          <w:tblHeader w:val="true"/>
        </w:trPr>
        <w:tc>
          <w:tcPr>
            <w:tcW w:type="dxa" w:w="1757"/>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问题</w:t>
            </w:r>
          </w:p>
        </w:tc>
        <w:tc>
          <w:tcPr>
            <w:tcW w:type="dxa" w:w="4535"/>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首要信号</w:t>
            </w:r>
          </w:p>
        </w:tc>
        <w:tc>
          <w:tcPr>
            <w:tcW w:type="dxa" w:w="3118"/>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分析结论</w:t>
            </w:r>
          </w:p>
        </w:tc>
      </w:tr>
      <w:tr>
        <w:trPr>
          <w:cantSplit/>
        </w:trPr>
        <w:tc>
          <w:tcPr>
            <w:tcW w:type="dxa" w:w="1757"/>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想了解什么</w:t>
            </w:r>
          </w:p>
        </w:tc>
        <w:tc>
          <w:tcPr>
            <w:tcW w:type="dxa" w:w="453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未来配置/下滑曲线 31.0%；当前配置与风险 26.0%；选择逻辑 25.5%</w:t>
            </w:r>
          </w:p>
        </w:tc>
        <w:tc>
          <w:tcPr>
            <w:tcW w:type="dxa" w:w="311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用户关心的是如何判断，不是术语数量</w:t>
            </w:r>
          </w:p>
        </w:tc>
      </w:tr>
      <w:tr>
        <w:trPr>
          <w:cantSplit/>
        </w:trPr>
        <w:tc>
          <w:tcPr>
            <w:tcW w:type="dxa" w:w="1757"/>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怎样更好理解</w:t>
            </w:r>
          </w:p>
        </w:tc>
        <w:tc>
          <w:tcPr>
            <w:tcW w:type="dxa" w:w="453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年龄/退休年份示例 30.0%；资产配置表 24.5%；一句话说明 24.0%</w:t>
            </w:r>
          </w:p>
        </w:tc>
        <w:tc>
          <w:tcPr>
            <w:tcW w:type="dxa" w:w="311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抽象概念要被翻译成个人情境和配置变化</w:t>
            </w:r>
          </w:p>
        </w:tc>
      </w:tr>
      <w:tr>
        <w:trPr>
          <w:cantSplit/>
        </w:trPr>
        <w:tc>
          <w:tcPr>
            <w:tcW w:type="dxa" w:w="1757"/>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什么时候需要</w:t>
            </w:r>
          </w:p>
        </w:tc>
        <w:tc>
          <w:tcPr>
            <w:tcW w:type="dxa" w:w="453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首次了解 31.5%；配置调整 26.5%；市场波动 24.5%</w:t>
            </w:r>
          </w:p>
        </w:tc>
        <w:tc>
          <w:tcPr>
            <w:tcW w:type="dxa" w:w="311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投教应贯穿购买前和持有期</w:t>
            </w:r>
          </w:p>
        </w:tc>
      </w:tr>
    </w:tbl>
    <w:p>
      <w:pPr>
        <w:spacing w:after="40"/>
      </w:pPr>
    </w:p>
    <w:p>
      <w:pPr>
        <w:pStyle w:val="Heading2"/>
        <w:keepNext/>
      </w:pPr>
      <w:r>
        <w:rPr>
          <w:rFonts w:ascii="Arial" w:hAnsi="Arial" w:eastAsia="Microsoft YaHei"/>
          <w:b/>
          <w:i w:val="0"/>
          <w:color w:val="1F6E8C"/>
          <w:sz w:val="25"/>
        </w:rPr>
        <w:t>6.2 建议把投教设计成四个连续任务</w:t>
      </w:r>
    </w:p>
    <w:p>
      <w:pPr>
        <w:keepNext w:val="0"/>
        <w:spacing w:before="0" w:after="100" w:lineRule="auto" w:line="300"/>
        <w:ind w:left="0"/>
      </w:pPr>
      <w:r>
        <w:rPr>
          <w:rFonts w:ascii="Arial" w:hAnsi="Arial" w:eastAsia="Microsoft YaHei"/>
          <w:b w:val="0"/>
          <w:i w:val="0"/>
          <w:color w:val="20313F"/>
          <w:sz w:val="21"/>
        </w:rPr>
        <w:t>三组偏好放在一起后，可以看到一条较清晰的设计线索：内容上，投资者优先关心未来配置、当前风险和产品选择逻辑；形式上，更偏好与年龄或退休年份结合的示例、资产配置表和一句话说明；时点上，需求集中在首次了解、配置调整和市场波动。也就是说，</w:t>
      </w:r>
      <w:r>
        <w:rPr>
          <w:rFonts w:ascii="Arial" w:hAnsi="Arial" w:eastAsia="Microsoft YaHei"/>
          <w:b/>
          <w:i w:val="0"/>
          <w:color w:val="183B56"/>
          <w:sz w:val="21"/>
        </w:rPr>
        <w:t>投教不宜是一篇脱离场景的长篇百科</w:t>
      </w:r>
      <w:r>
        <w:rPr>
          <w:rFonts w:ascii="Arial" w:hAnsi="Arial" w:eastAsia="Microsoft YaHei"/>
          <w:b w:val="0"/>
          <w:i w:val="0"/>
          <w:color w:val="20313F"/>
          <w:sz w:val="21"/>
        </w:rPr>
        <w:t>，而应</w:t>
      </w:r>
      <w:r>
        <w:rPr>
          <w:rFonts w:ascii="Arial" w:hAnsi="Arial" w:eastAsia="Microsoft YaHei"/>
          <w:b/>
          <w:i w:val="0"/>
          <w:color w:val="183B56"/>
          <w:sz w:val="21"/>
        </w:rPr>
        <w:t>在关键节点帮助用户完成当下判断</w:t>
      </w:r>
      <w:r>
        <w:rPr>
          <w:rFonts w:ascii="Arial" w:hAnsi="Arial" w:eastAsia="Microsoft YaHei"/>
          <w:b w:val="0"/>
          <w:i w:val="0"/>
          <w:color w:val="20313F"/>
          <w:sz w:val="21"/>
        </w:rPr>
        <w:t>。</w:t>
      </w:r>
    </w:p>
    <w:tbl>
      <w:tblPr>
        <w:tblW w:type="dxa" w:w="9411"/>
        <w:tblLayout w:type="fixed"/>
        <w:tblLook w:firstColumn="1" w:firstRow="1" w:lastColumn="0" w:lastRow="0" w:noHBand="0" w:noVBand="1" w:val="04A0"/>
        <w:jc w:val="center"/>
        <w:tblInd w:type="dxa" w:w="0"/>
      </w:tblPr>
      <w:tblGrid>
        <w:gridCol w:w="1531"/>
        <w:gridCol w:w="3515"/>
        <w:gridCol w:w="4365"/>
      </w:tblGrid>
      <w:tr>
        <w:trPr>
          <w:tblHeader w:val="true"/>
        </w:trPr>
        <w:tc>
          <w:tcPr>
            <w:tcW w:type="dxa" w:w="1531"/>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任务</w:t>
            </w:r>
          </w:p>
        </w:tc>
        <w:tc>
          <w:tcPr>
            <w:tcW w:type="dxa" w:w="3515"/>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投资者要回答的问题</w:t>
            </w:r>
          </w:p>
        </w:tc>
        <w:tc>
          <w:tcPr>
            <w:tcW w:type="dxa" w:w="4365"/>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建议表达</w:t>
            </w:r>
          </w:p>
        </w:tc>
      </w:tr>
      <w:tr>
        <w:trPr>
          <w:cantSplit/>
        </w:trPr>
        <w:tc>
          <w:tcPr>
            <w:tcW w:type="dxa" w:w="153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选哪类</w:t>
            </w:r>
          </w:p>
        </w:tc>
        <w:tc>
          <w:tcPr>
            <w:tcW w:type="dxa" w:w="351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目标日期型还是目标风险型，和我有什么关系？</w:t>
            </w:r>
          </w:p>
        </w:tc>
        <w:tc>
          <w:tcPr>
            <w:tcW w:type="dxa" w:w="436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简明区别 + 年龄/退休年份示例 + 风险类型说明</w:t>
            </w:r>
          </w:p>
        </w:tc>
      </w:tr>
      <w:tr>
        <w:trPr>
          <w:cantSplit/>
        </w:trPr>
        <w:tc>
          <w:tcPr>
            <w:tcW w:type="dxa" w:w="153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看现在</w:t>
            </w:r>
          </w:p>
        </w:tc>
        <w:tc>
          <w:tcPr>
            <w:tcW w:type="dxa" w:w="351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我现在持有哪些资产，承担多大风险？</w:t>
            </w:r>
          </w:p>
        </w:tc>
        <w:tc>
          <w:tcPr>
            <w:tcW w:type="dxa" w:w="436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当前资产配置表 + 风险边界</w:t>
            </w:r>
          </w:p>
        </w:tc>
      </w:tr>
      <w:tr>
        <w:trPr>
          <w:cantSplit/>
        </w:trPr>
        <w:tc>
          <w:tcPr>
            <w:tcW w:type="dxa" w:w="153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看未来</w:t>
            </w:r>
          </w:p>
        </w:tc>
        <w:tc>
          <w:tcPr>
            <w:tcW w:type="dxa" w:w="351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未来配置怎样变化，为什么调整？</w:t>
            </w:r>
          </w:p>
        </w:tc>
        <w:tc>
          <w:tcPr>
            <w:tcW w:type="dxa" w:w="436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简化下滑曲线 + 调整原因 + 非保本说明</w:t>
            </w:r>
          </w:p>
        </w:tc>
      </w:tr>
      <w:tr>
        <w:trPr>
          <w:cantSplit/>
        </w:trPr>
        <w:tc>
          <w:tcPr>
            <w:tcW w:type="dxa" w:w="153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看波动</w:t>
            </w:r>
          </w:p>
        </w:tc>
        <w:tc>
          <w:tcPr>
            <w:tcW w:type="dxa" w:w="351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下跌意味着什么，我应该先看什么？</w:t>
            </w:r>
          </w:p>
        </w:tc>
        <w:tc>
          <w:tcPr>
            <w:tcW w:type="dxa" w:w="436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波动原因框架 + 当前配置 + FAQ；不提供操作建议</w:t>
            </w:r>
          </w:p>
        </w:tc>
      </w:tr>
    </w:tbl>
    <w:p>
      <w:pPr>
        <w:spacing w:after="40"/>
      </w:pPr>
    </w:p>
    <w:p>
      <w:pPr>
        <w:pStyle w:val="Heading2"/>
        <w:keepNext/>
      </w:pPr>
      <w:r>
        <w:rPr>
          <w:rFonts w:ascii="Arial" w:hAnsi="Arial" w:eastAsia="Microsoft YaHei"/>
          <w:b/>
          <w:i w:val="0"/>
          <w:color w:val="1F6E8C"/>
          <w:sz w:val="25"/>
        </w:rPr>
        <w:t>6.3 IMA 的位置：次级学习桥梁</w:t>
      </w:r>
    </w:p>
    <w:p>
      <w:pPr>
        <w:keepNext w:val="0"/>
        <w:spacing w:before="0" w:after="100" w:lineRule="auto" w:line="300"/>
        <w:ind w:left="0"/>
      </w:pPr>
      <w:r>
        <w:rPr>
          <w:rFonts w:ascii="Arial" w:hAnsi="Arial" w:eastAsia="Microsoft YaHei"/>
          <w:b w:val="0"/>
          <w:i w:val="0"/>
          <w:color w:val="20313F"/>
          <w:sz w:val="21"/>
        </w:rPr>
        <w:t xml:space="preserve">自行搜索知识库的偏好为 </w:t>
      </w:r>
      <w:r>
        <w:rPr>
          <w:rFonts w:ascii="Arial" w:hAnsi="Arial" w:eastAsia="Microsoft YaHei"/>
          <w:b/>
          <w:i w:val="0"/>
          <w:color w:val="183B56"/>
          <w:sz w:val="21"/>
        </w:rPr>
        <w:t>17/200（8.5%）</w:t>
      </w:r>
      <w:r>
        <w:rPr>
          <w:rFonts w:ascii="Arial" w:hAnsi="Arial" w:eastAsia="Microsoft YaHei"/>
          <w:b w:val="0"/>
          <w:i w:val="0"/>
          <w:color w:val="20313F"/>
          <w:sz w:val="21"/>
        </w:rPr>
        <w:t>，明显低于示例、表格、简短说明与 FAQ。因此 IMA 适合放在必要解释之后，作为“想继续了解金融常识”的次级入口；它不能替代问卷或产品页面内必须完成的解释。当前工作流不启用自动检索，也不追踪点击或阅读时长。</w:t>
      </w:r>
    </w:p>
    <w:p>
      <w:pPr>
        <w:keepNext w:val="0"/>
        <w:spacing w:before="0" w:after="100" w:lineRule="auto" w:line="300"/>
        <w:ind w:left="0"/>
      </w:pPr>
      <w:r>
        <w:rPr>
          <w:rFonts w:ascii="Arial" w:hAnsi="Arial" w:eastAsia="Microsoft YaHei"/>
          <w:b/>
          <w:i w:val="0"/>
          <w:color w:val="183B56"/>
          <w:sz w:val="21"/>
        </w:rPr>
        <w:t>8.5%</w:t>
      </w:r>
      <w:r>
        <w:rPr>
          <w:rFonts w:ascii="Arial" w:hAnsi="Arial" w:eastAsia="Microsoft YaHei"/>
          <w:b w:val="0"/>
          <w:i w:val="0"/>
          <w:color w:val="20313F"/>
          <w:sz w:val="21"/>
        </w:rPr>
        <w:t xml:space="preserve"> 也</w:t>
      </w:r>
      <w:r>
        <w:rPr>
          <w:rFonts w:ascii="Arial" w:hAnsi="Arial" w:eastAsia="Microsoft YaHei"/>
          <w:b/>
          <w:i w:val="0"/>
          <w:color w:val="183B56"/>
          <w:sz w:val="21"/>
        </w:rPr>
        <w:t>不能被解释为知识库没有价值</w:t>
      </w:r>
      <w:r>
        <w:rPr>
          <w:rFonts w:ascii="Arial" w:hAnsi="Arial" w:eastAsia="Microsoft YaHei"/>
          <w:b w:val="0"/>
          <w:i w:val="0"/>
          <w:color w:val="20313F"/>
          <w:sz w:val="21"/>
        </w:rPr>
        <w:t>。搜索知识库需要用户主动提出问题，更适合已经产生进一步学习意愿的人；而示例、配置表和简短说明属于低门槛的第一层解释。</w:t>
      </w:r>
      <w:r>
        <w:rPr>
          <w:rFonts w:ascii="Arial" w:hAnsi="Arial" w:eastAsia="Microsoft YaHei"/>
          <w:b/>
          <w:i w:val="0"/>
          <w:color w:val="183B56"/>
          <w:sz w:val="21"/>
        </w:rPr>
        <w:t>两者应是递进关系</w:t>
      </w:r>
      <w:r>
        <w:rPr>
          <w:rFonts w:ascii="Arial" w:hAnsi="Arial" w:eastAsia="Microsoft YaHei"/>
          <w:b w:val="0"/>
          <w:i w:val="0"/>
          <w:color w:val="20313F"/>
          <w:sz w:val="21"/>
        </w:rPr>
        <w:t>：页面先把完成当前判断所必需的信息说清楚，再提供 IMA 链接承接更深入的金融常识学习。</w:t>
      </w:r>
    </w:p>
    <w:p>
      <w:pPr>
        <w:keepNext w:val="0"/>
        <w:spacing w:before="0" w:after="120" w:lineRule="auto" w:line="300"/>
        <w:jc w:val="center"/>
      </w:pPr>
      <w:r>
        <w:rPr>
          <w:rFonts w:ascii="Arial" w:hAnsi="Arial" w:eastAsia="Microsoft YaHei"/>
          <w:b/>
          <w:i w:val="0"/>
          <w:color w:val="1F6E8C"/>
          <w:sz w:val="21"/>
        </w:rPr>
        <w:t>延伸学习：</w:t>
      </w:r>
      <w:hyperlink r:id="rId19">
        <w:r>
          <w:rPr>
            <w:rFonts w:eastAsia="Microsoft YaHei"/>
            <w:color w:val="1F6E8C"/>
            <w:u w:val="single"/>
          </w:rPr>
          <w:t>易方达基金 IMA 知识库</w:t>
        </w:r>
      </w:hyperlink>
    </w:p>
    <w:p>
      <w:pPr>
        <w:pStyle w:val="Heading1"/>
        <w:keepNext/>
      </w:pPr>
      <w:r>
        <w:rPr>
          <w:rFonts w:ascii="Arial" w:hAnsi="Arial" w:eastAsia="Microsoft YaHei"/>
          <w:b/>
          <w:i w:val="0"/>
          <w:color w:val="183B56"/>
          <w:sz w:val="32"/>
        </w:rPr>
        <w:t>七、从分析到行动：优先建设“判断框架”</w:t>
      </w: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本节如何从发现导出建议</w:t>
            </w:r>
            <w:r>
              <w:rPr>
                <w:rFonts w:ascii="Arial" w:hAnsi="Arial" w:eastAsia="Microsoft YaHei"/>
                <w:b w:val="0"/>
                <w:i w:val="0"/>
                <w:color w:val="20313F"/>
                <w:sz w:val="20"/>
              </w:rPr>
              <w:br/>
              <w:t>四项发现指向同一问题：投资者已经进入产品，但基础知识较零散；吸引关注的信息与适配判断不同；下滑曲线被听说却很少主动使用；波动时长期认同与短期焦虑并存。因此，建议优先补齐能够贯穿购买前、持有中和波动期的判断框架，而不是一次增加大量新内容。</w:t>
            </w:r>
          </w:p>
        </w:tc>
      </w:tr>
    </w:tbl>
    <w:p>
      <w:pPr>
        <w:spacing w:after="20"/>
      </w:pPr>
    </w:p>
    <w:p>
      <w:pPr>
        <w:pStyle w:val="Heading2"/>
        <w:keepNext/>
      </w:pPr>
      <w:r>
        <w:rPr>
          <w:rFonts w:ascii="Arial" w:hAnsi="Arial" w:eastAsia="Microsoft YaHei"/>
          <w:b/>
          <w:i w:val="0"/>
          <w:color w:val="1F6E8C"/>
          <w:sz w:val="25"/>
        </w:rPr>
        <w:t>7.1 三项优先行动</w:t>
      </w:r>
    </w:p>
    <w:p>
      <w:pPr>
        <w:keepNext w:val="0"/>
        <w:spacing w:before="0" w:after="100" w:lineRule="auto" w:line="300"/>
        <w:ind w:left="0"/>
      </w:pPr>
      <w:r>
        <w:rPr>
          <w:rFonts w:ascii="Arial" w:hAnsi="Arial" w:eastAsia="Microsoft YaHei"/>
          <w:b w:val="0"/>
          <w:i w:val="0"/>
          <w:color w:val="20313F"/>
          <w:sz w:val="21"/>
        </w:rPr>
        <w:t>P0 表示建议先完成的基础能力，P1 表示在基础信息结构形成后继续建设的场景能力。优先级依据不是某一个比例的高低，而是该行动是否同时回应多项研究发现、能否形成最小可验证闭环。</w:t>
      </w:r>
    </w:p>
    <w:tbl>
      <w:tblPr>
        <w:tblW w:type="dxa" w:w="9411"/>
        <w:tblLayout w:type="fixed"/>
        <w:tblLook w:firstColumn="1" w:firstRow="1" w:lastColumn="0" w:lastRow="0" w:noHBand="0" w:noVBand="1" w:val="04A0"/>
        <w:jc w:val="center"/>
        <w:tblInd w:type="dxa" w:w="0"/>
      </w:tblPr>
      <w:tblGrid>
        <w:gridCol w:w="907"/>
        <w:gridCol w:w="2268"/>
        <w:gridCol w:w="3458"/>
        <w:gridCol w:w="2778"/>
      </w:tblGrid>
      <w:tr>
        <w:trPr>
          <w:tblHeader w:val="true"/>
        </w:trPr>
        <w:tc>
          <w:tcPr>
            <w:tcW w:type="dxa" w:w="907"/>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优先级</w:t>
            </w:r>
          </w:p>
        </w:tc>
        <w:tc>
          <w:tcPr>
            <w:tcW w:type="dxa" w:w="2268"/>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行动</w:t>
            </w:r>
          </w:p>
        </w:tc>
        <w:tc>
          <w:tcPr>
            <w:tcW w:type="dxa" w:w="3458"/>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解决的核心问题</w:t>
            </w:r>
          </w:p>
        </w:tc>
        <w:tc>
          <w:tcPr>
            <w:tcW w:type="dxa" w:w="2778"/>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验证方式</w:t>
            </w:r>
          </w:p>
        </w:tc>
      </w:tr>
      <w:tr>
        <w:trPr>
          <w:cantSplit/>
        </w:trPr>
        <w:tc>
          <w:tcPr>
            <w:tcW w:type="dxa" w:w="907"/>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P0</w:t>
            </w:r>
          </w:p>
        </w:tc>
        <w:tc>
          <w:tcPr>
            <w:tcW w:type="dxa" w:w="226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重构购买页信息层级</w:t>
            </w:r>
          </w:p>
        </w:tc>
        <w:tc>
          <w:tcPr>
            <w:tcW w:type="dxa" w:w="345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把“值得看”与“适不适合我”分开表达</w:t>
            </w:r>
          </w:p>
        </w:tc>
        <w:tc>
          <w:tcPr>
            <w:tcW w:type="dxa" w:w="277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观察用户能否正确选择类型并说明依据</w:t>
            </w:r>
          </w:p>
        </w:tc>
      </w:tr>
      <w:tr>
        <w:trPr>
          <w:cantSplit/>
        </w:trPr>
        <w:tc>
          <w:tcPr>
            <w:tcW w:type="dxa" w:w="907"/>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P0</w:t>
            </w:r>
          </w:p>
        </w:tc>
        <w:tc>
          <w:tcPr>
            <w:tcW w:type="dxa" w:w="226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制作一页式配置与风险说明</w:t>
            </w:r>
          </w:p>
        </w:tc>
        <w:tc>
          <w:tcPr>
            <w:tcW w:type="dxa" w:w="345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连接当前配置、未来变化、调整原因和风险边界</w:t>
            </w:r>
          </w:p>
        </w:tc>
        <w:tc>
          <w:tcPr>
            <w:tcW w:type="dxa" w:w="277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材料前后使用同口径知识题，并要求复述</w:t>
            </w:r>
          </w:p>
        </w:tc>
      </w:tr>
      <w:tr>
        <w:trPr>
          <w:cantSplit/>
        </w:trPr>
        <w:tc>
          <w:tcPr>
            <w:tcW w:type="dxa" w:w="907"/>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P1</w:t>
            </w:r>
          </w:p>
        </w:tc>
        <w:tc>
          <w:tcPr>
            <w:tcW w:type="dxa" w:w="226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建立波动场景解释模块</w:t>
            </w:r>
          </w:p>
        </w:tc>
        <w:tc>
          <w:tcPr>
            <w:tcW w:type="dxa" w:w="345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回应长期认同与短期焦虑并存</w:t>
            </w:r>
          </w:p>
        </w:tc>
        <w:tc>
          <w:tcPr>
            <w:tcW w:type="dxa" w:w="277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情境题检验用户能否找到信息并形成正确解释</w:t>
            </w:r>
          </w:p>
        </w:tc>
      </w:tr>
    </w:tbl>
    <w:p>
      <w:pPr>
        <w:spacing w:after="40"/>
      </w:pPr>
    </w:p>
    <w:p>
      <w:pPr>
        <w:pStyle w:val="Heading2"/>
        <w:keepNext/>
      </w:pPr>
      <w:r>
        <w:rPr>
          <w:rFonts w:ascii="Arial" w:hAnsi="Arial" w:eastAsia="Microsoft YaHei"/>
          <w:b/>
          <w:i w:val="0"/>
          <w:color w:val="1F6E8C"/>
          <w:sz w:val="25"/>
        </w:rPr>
        <w:t>7.2 产品、服务与研究的职责边界</w:t>
      </w:r>
    </w:p>
    <w:p>
      <w:pPr>
        <w:keepNext w:val="0"/>
        <w:spacing w:before="0" w:after="100" w:lineRule="auto" w:line="300"/>
        <w:ind w:left="0"/>
      </w:pPr>
      <w:r>
        <w:rPr>
          <w:rFonts w:ascii="Arial" w:hAnsi="Arial" w:eastAsia="Microsoft YaHei"/>
          <w:b w:val="0"/>
          <w:i w:val="0"/>
          <w:color w:val="20313F"/>
          <w:sz w:val="21"/>
        </w:rPr>
        <w:t>这些行动的目标是帮助投资者看懂和判断，而不是替投资者作出交易决定。产品信息、持有期服务、投资者教育和后续研究分别承担不同职责；如果边界混在一起，解释材料容易被误读为产品推荐，调研结果也容易被误用为适当性结论。</w:t>
      </w:r>
    </w:p>
    <w:tbl>
      <w:tblPr>
        <w:tblW w:type="dxa" w:w="9411"/>
        <w:tblLayout w:type="fixed"/>
        <w:tblLook w:firstColumn="1" w:firstRow="1" w:lastColumn="0" w:lastRow="0" w:noHBand="0" w:noVBand="1" w:val="04A0"/>
        <w:jc w:val="center"/>
        <w:tblInd w:type="dxa" w:w="0"/>
      </w:tblPr>
      <w:tblGrid>
        <w:gridCol w:w="1701"/>
        <w:gridCol w:w="4025"/>
        <w:gridCol w:w="3685"/>
      </w:tblGrid>
      <w:tr>
        <w:trPr>
          <w:tblHeader w:val="true"/>
        </w:trPr>
        <w:tc>
          <w:tcPr>
            <w:tcW w:type="dxa" w:w="1701"/>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环节</w:t>
            </w:r>
          </w:p>
        </w:tc>
        <w:tc>
          <w:tcPr>
            <w:tcW w:type="dxa" w:w="4025"/>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应承担的职责</w:t>
            </w:r>
          </w:p>
        </w:tc>
        <w:tc>
          <w:tcPr>
            <w:tcW w:type="dxa" w:w="3685"/>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不应替代什么</w:t>
            </w:r>
          </w:p>
        </w:tc>
      </w:tr>
      <w:tr>
        <w:trPr>
          <w:cantSplit/>
        </w:trPr>
        <w:tc>
          <w:tcPr>
            <w:tcW w:type="dxa" w:w="170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产品信息</w:t>
            </w:r>
          </w:p>
        </w:tc>
        <w:tc>
          <w:tcPr>
            <w:tcW w:type="dxa" w:w="402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说明类型、配置路径、风险边界与规则</w:t>
            </w:r>
          </w:p>
        </w:tc>
        <w:tc>
          <w:tcPr>
            <w:tcW w:type="dxa" w:w="368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不替代适当性判断或个性化投资建议</w:t>
            </w:r>
          </w:p>
        </w:tc>
      </w:tr>
      <w:tr>
        <w:trPr>
          <w:cantSplit/>
        </w:trPr>
        <w:tc>
          <w:tcPr>
            <w:tcW w:type="dxa" w:w="170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持有期服务</w:t>
            </w:r>
          </w:p>
        </w:tc>
        <w:tc>
          <w:tcPr>
            <w:tcW w:type="dxa" w:w="402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在配置变化和市场波动时提供可找到的解释</w:t>
            </w:r>
          </w:p>
        </w:tc>
        <w:tc>
          <w:tcPr>
            <w:tcW w:type="dxa" w:w="368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不推荐具体加仓、持有或赎回时点</w:t>
            </w:r>
          </w:p>
        </w:tc>
      </w:tr>
      <w:tr>
        <w:trPr>
          <w:cantSplit/>
        </w:trPr>
        <w:tc>
          <w:tcPr>
            <w:tcW w:type="dxa" w:w="170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投资者教育</w:t>
            </w:r>
          </w:p>
        </w:tc>
        <w:tc>
          <w:tcPr>
            <w:tcW w:type="dxa" w:w="402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把抽象机制翻译成场景、示例、表格和 FAQ</w:t>
            </w:r>
          </w:p>
        </w:tc>
        <w:tc>
          <w:tcPr>
            <w:tcW w:type="dxa" w:w="368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不把点击、停留或喜欢直接当作理解</w:t>
            </w:r>
          </w:p>
        </w:tc>
      </w:tr>
      <w:tr>
        <w:trPr>
          <w:cantSplit/>
        </w:trPr>
        <w:tc>
          <w:tcPr>
            <w:tcW w:type="dxa" w:w="170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后续研究</w:t>
            </w:r>
          </w:p>
        </w:tc>
        <w:tc>
          <w:tcPr>
            <w:tcW w:type="dxa" w:w="402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用材料任务、前后测或访谈验证理解与判断</w:t>
            </w:r>
          </w:p>
        </w:tc>
        <w:tc>
          <w:tcPr>
            <w:tcW w:type="dxa" w:w="368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不把本次描述性样本外推到市场总体</w:t>
            </w:r>
          </w:p>
        </w:tc>
      </w:tr>
    </w:tbl>
    <w:p>
      <w:pPr>
        <w:spacing w:after="40"/>
      </w:pP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E6F3EF"/>
            <w:tcBorders>
              <w:top w:val="single" w:sz="14" w:color="70AD47"/>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70AD47"/>
                <w:sz w:val="21"/>
              </w:rPr>
              <w:t>建议的最小下一步</w:t>
            </w:r>
            <w:r>
              <w:rPr>
                <w:rFonts w:ascii="Arial" w:hAnsi="Arial" w:eastAsia="Microsoft YaHei"/>
                <w:b w:val="0"/>
                <w:i w:val="0"/>
                <w:color w:val="20313F"/>
                <w:sz w:val="20"/>
              </w:rPr>
              <w:br/>
              <w:t>先完成一个最小原型：用一页说明回答“我该选哪类—现在持有什么—未来怎样变—波动如何理解”，再用本次四道知识题和一个情境判断题做材料前后测试。只有理解改善后，才继续扩展内容和渠道。</w:t>
            </w:r>
          </w:p>
        </w:tc>
      </w:tr>
    </w:tbl>
    <w:p>
      <w:pPr>
        <w:spacing w:after="20"/>
      </w:pPr>
    </w:p>
    <w:p>
      <w:pPr>
        <w:pStyle w:val="Heading1"/>
        <w:keepNext/>
      </w:pPr>
      <w:r>
        <w:rPr>
          <w:rFonts w:ascii="Arial" w:hAnsi="Arial" w:eastAsia="Microsoft YaHei"/>
          <w:b/>
          <w:i w:val="0"/>
          <w:color w:val="183B56"/>
          <w:sz w:val="32"/>
        </w:rPr>
        <w:t>附录 A｜研究范围、样本与数据质量</w:t>
      </w:r>
    </w:p>
    <w:p>
      <w:pPr>
        <w:pStyle w:val="Heading2"/>
        <w:keepNext/>
      </w:pPr>
      <w:r>
        <w:rPr>
          <w:rFonts w:ascii="Arial" w:hAnsi="Arial" w:eastAsia="Microsoft YaHei"/>
          <w:b/>
          <w:i w:val="0"/>
          <w:color w:val="1F6E8C"/>
          <w:sz w:val="25"/>
        </w:rPr>
        <w:t>A.1 研究范围</w:t>
      </w:r>
    </w:p>
    <w:p>
      <w:pPr>
        <w:keepNext w:val="0"/>
        <w:spacing w:before="0" w:after="100" w:lineRule="auto" w:line="300"/>
        <w:ind w:left="0"/>
      </w:pPr>
      <w:r>
        <w:rPr>
          <w:rFonts w:ascii="Arial" w:hAnsi="Arial" w:eastAsia="Microsoft YaHei"/>
          <w:b w:val="0"/>
          <w:i w:val="0"/>
          <w:color w:val="20313F"/>
          <w:sz w:val="21"/>
        </w:rPr>
        <w:t>本研究面向实际购买过养老目标基金的投资者，覆盖购买路径、产品类型认知、下滑曲线、持有与波动应对、信息需求和投资者教育偏好。报告分析业务方于 2026 年 7 月 24 日回传的 200 份匿名答卷。</w:t>
      </w:r>
    </w:p>
    <w:tbl>
      <w:tblPr>
        <w:tblW w:type="dxa" w:w="9411"/>
        <w:tblLayout w:type="fixed"/>
        <w:tblLook w:firstColumn="1" w:firstRow="1" w:lastColumn="0" w:lastRow="0" w:noHBand="0" w:noVBand="1" w:val="04A0"/>
        <w:jc w:val="center"/>
        <w:tblInd w:type="dxa" w:w="0"/>
      </w:tblPr>
      <w:tblGrid>
        <w:gridCol w:w="5102"/>
        <w:gridCol w:w="1701"/>
        <w:gridCol w:w="2608"/>
      </w:tblGrid>
      <w:tr>
        <w:trPr>
          <w:tblHeader w:val="true"/>
        </w:trPr>
        <w:tc>
          <w:tcPr>
            <w:tcW w:type="dxa" w:w="5102"/>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5"/>
              </w:rPr>
              <w:t>样本特征</w:t>
            </w:r>
          </w:p>
        </w:tc>
        <w:tc>
          <w:tcPr>
            <w:tcW w:type="dxa" w:w="1701"/>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5"/>
              </w:rPr>
              <w:t>人数</w:t>
            </w:r>
          </w:p>
        </w:tc>
        <w:tc>
          <w:tcPr>
            <w:tcW w:type="dxa" w:w="2608"/>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5"/>
              </w:rPr>
              <w:t>比例</w:t>
            </w:r>
          </w:p>
        </w:tc>
      </w:tr>
      <w:tr>
        <w:trPr>
          <w:cantSplit/>
        </w:trPr>
        <w:tc>
          <w:tcPr>
            <w:tcW w:type="dxa" w:w="510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目前仍在持有</w:t>
            </w:r>
          </w:p>
        </w:tc>
        <w:tc>
          <w:tcPr>
            <w:tcW w:type="dxa" w:w="170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144</w:t>
            </w:r>
          </w:p>
        </w:tc>
        <w:tc>
          <w:tcPr>
            <w:tcW w:type="dxa" w:w="260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72.0%</w:t>
            </w:r>
          </w:p>
        </w:tc>
      </w:tr>
      <w:tr>
        <w:trPr>
          <w:cantSplit/>
        </w:trPr>
        <w:tc>
          <w:tcPr>
            <w:tcW w:type="dxa" w:w="5102"/>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过去购买、目前全部赎回</w:t>
            </w:r>
          </w:p>
        </w:tc>
        <w:tc>
          <w:tcPr>
            <w:tcW w:type="dxa" w:w="170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50</w:t>
            </w:r>
          </w:p>
        </w:tc>
        <w:tc>
          <w:tcPr>
            <w:tcW w:type="dxa" w:w="260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25.0%</w:t>
            </w:r>
          </w:p>
        </w:tc>
      </w:tr>
      <w:tr>
        <w:trPr>
          <w:cantSplit/>
        </w:trPr>
        <w:tc>
          <w:tcPr>
            <w:tcW w:type="dxa" w:w="510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18—29 岁</w:t>
            </w:r>
          </w:p>
        </w:tc>
        <w:tc>
          <w:tcPr>
            <w:tcW w:type="dxa" w:w="170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33</w:t>
            </w:r>
          </w:p>
        </w:tc>
        <w:tc>
          <w:tcPr>
            <w:tcW w:type="dxa" w:w="260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16.5%</w:t>
            </w:r>
          </w:p>
        </w:tc>
      </w:tr>
      <w:tr>
        <w:trPr>
          <w:cantSplit/>
        </w:trPr>
        <w:tc>
          <w:tcPr>
            <w:tcW w:type="dxa" w:w="5102"/>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30—39 岁</w:t>
            </w:r>
          </w:p>
        </w:tc>
        <w:tc>
          <w:tcPr>
            <w:tcW w:type="dxa" w:w="170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63</w:t>
            </w:r>
          </w:p>
        </w:tc>
        <w:tc>
          <w:tcPr>
            <w:tcW w:type="dxa" w:w="260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31.5%</w:t>
            </w:r>
          </w:p>
        </w:tc>
      </w:tr>
      <w:tr>
        <w:trPr>
          <w:cantSplit/>
        </w:trPr>
        <w:tc>
          <w:tcPr>
            <w:tcW w:type="dxa" w:w="510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40—49 岁</w:t>
            </w:r>
          </w:p>
        </w:tc>
        <w:tc>
          <w:tcPr>
            <w:tcW w:type="dxa" w:w="170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70</w:t>
            </w:r>
          </w:p>
        </w:tc>
        <w:tc>
          <w:tcPr>
            <w:tcW w:type="dxa" w:w="260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35.0%</w:t>
            </w:r>
          </w:p>
        </w:tc>
      </w:tr>
      <w:tr>
        <w:trPr>
          <w:cantSplit/>
        </w:trPr>
        <w:tc>
          <w:tcPr>
            <w:tcW w:type="dxa" w:w="5102"/>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50—59 岁</w:t>
            </w:r>
          </w:p>
        </w:tc>
        <w:tc>
          <w:tcPr>
            <w:tcW w:type="dxa" w:w="170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34</w:t>
            </w:r>
          </w:p>
        </w:tc>
        <w:tc>
          <w:tcPr>
            <w:tcW w:type="dxa" w:w="260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17.0%</w:t>
            </w:r>
          </w:p>
        </w:tc>
      </w:tr>
      <w:tr>
        <w:trPr>
          <w:cantSplit/>
        </w:trPr>
        <w:tc>
          <w:tcPr>
            <w:tcW w:type="dxa" w:w="510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基金投资经验不足 1 年</w:t>
            </w:r>
          </w:p>
        </w:tc>
        <w:tc>
          <w:tcPr>
            <w:tcW w:type="dxa" w:w="170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27</w:t>
            </w:r>
          </w:p>
        </w:tc>
        <w:tc>
          <w:tcPr>
            <w:tcW w:type="dxa" w:w="260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13.5%</w:t>
            </w:r>
          </w:p>
        </w:tc>
      </w:tr>
      <w:tr>
        <w:trPr>
          <w:cantSplit/>
        </w:trPr>
        <w:tc>
          <w:tcPr>
            <w:tcW w:type="dxa" w:w="5102"/>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基金投资经验 1—3 年</w:t>
            </w:r>
          </w:p>
        </w:tc>
        <w:tc>
          <w:tcPr>
            <w:tcW w:type="dxa" w:w="170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81</w:t>
            </w:r>
          </w:p>
        </w:tc>
        <w:tc>
          <w:tcPr>
            <w:tcW w:type="dxa" w:w="260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40.5%</w:t>
            </w:r>
          </w:p>
        </w:tc>
      </w:tr>
      <w:tr>
        <w:trPr>
          <w:cantSplit/>
        </w:trPr>
        <w:tc>
          <w:tcPr>
            <w:tcW w:type="dxa" w:w="510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基金投资经验 4—6 年</w:t>
            </w:r>
          </w:p>
        </w:tc>
        <w:tc>
          <w:tcPr>
            <w:tcW w:type="dxa" w:w="170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40</w:t>
            </w:r>
          </w:p>
        </w:tc>
        <w:tc>
          <w:tcPr>
            <w:tcW w:type="dxa" w:w="260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20.0%</w:t>
            </w:r>
          </w:p>
        </w:tc>
      </w:tr>
      <w:tr>
        <w:trPr>
          <w:cantSplit/>
        </w:trPr>
        <w:tc>
          <w:tcPr>
            <w:tcW w:type="dxa" w:w="5102"/>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基金投资经验 6 年以上</w:t>
            </w:r>
          </w:p>
        </w:tc>
        <w:tc>
          <w:tcPr>
            <w:tcW w:type="dxa" w:w="170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52</w:t>
            </w:r>
          </w:p>
        </w:tc>
        <w:tc>
          <w:tcPr>
            <w:tcW w:type="dxa" w:w="260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26.0%</w:t>
            </w:r>
          </w:p>
        </w:tc>
      </w:tr>
    </w:tbl>
    <w:p>
      <w:pPr>
        <w:spacing w:after="40"/>
      </w:pPr>
    </w:p>
    <w:p>
      <w:pPr>
        <w:keepNext w:val="0"/>
        <w:spacing w:before="0" w:after="100" w:lineRule="auto" w:line="300"/>
        <w:ind w:left="0"/>
      </w:pPr>
      <w:r>
        <w:rPr>
          <w:rFonts w:ascii="Arial" w:hAnsi="Arial" w:eastAsia="Microsoft YaHei"/>
          <w:b w:val="0"/>
          <w:i w:val="0"/>
          <w:color w:val="20313F"/>
          <w:sz w:val="21"/>
        </w:rPr>
        <w:t>未提供抽样框、发行渠道结构或总体分布，因此不加权、不作市场总体推断，也不使用显著性检验。年龄分群只作方向性比较，不生成客户标签。</w:t>
      </w:r>
    </w:p>
    <w:p>
      <w:pPr>
        <w:pStyle w:val="Heading2"/>
        <w:keepNext/>
      </w:pPr>
      <w:r>
        <w:rPr>
          <w:rFonts w:ascii="Arial" w:hAnsi="Arial" w:eastAsia="Microsoft YaHei"/>
          <w:b/>
          <w:i w:val="0"/>
          <w:color w:val="1F6E8C"/>
          <w:sz w:val="25"/>
        </w:rPr>
        <w:t>A.2 数据有效性处理</w:t>
      </w:r>
    </w:p>
    <w:tbl>
      <w:tblPr>
        <w:tblW w:type="dxa" w:w="9411"/>
        <w:tblLayout w:type="fixed"/>
        <w:tblLook w:firstColumn="1" w:firstRow="1" w:lastColumn="0" w:lastRow="0" w:noHBand="0" w:noVBand="1" w:val="04A0"/>
        <w:jc w:val="center"/>
        <w:tblInd w:type="dxa" w:w="0"/>
      </w:tblPr>
      <w:tblGrid>
        <w:gridCol w:w="2268"/>
        <w:gridCol w:w="1814"/>
        <w:gridCol w:w="5329"/>
      </w:tblGrid>
      <w:tr>
        <w:trPr>
          <w:tblHeader w:val="true"/>
        </w:trPr>
        <w:tc>
          <w:tcPr>
            <w:tcW w:type="dxa" w:w="2268"/>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检查项</w:t>
            </w:r>
          </w:p>
        </w:tc>
        <w:tc>
          <w:tcPr>
            <w:tcW w:type="dxa" w:w="1814"/>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结果</w:t>
            </w:r>
          </w:p>
        </w:tc>
        <w:tc>
          <w:tcPr>
            <w:tcW w:type="dxa" w:w="5329"/>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处理</w:t>
            </w:r>
          </w:p>
        </w:tc>
      </w:tr>
      <w:tr>
        <w:trPr>
          <w:cantSplit/>
        </w:trPr>
        <w:tc>
          <w:tcPr>
            <w:tcW w:type="dxa" w:w="226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硬排除</w:t>
            </w:r>
          </w:p>
        </w:tc>
        <w:tc>
          <w:tcPr>
            <w:tcW w:type="dxa" w:w="181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 份</w:t>
            </w:r>
          </w:p>
        </w:tc>
        <w:tc>
          <w:tcPr>
            <w:tcW w:type="dxa" w:w="5329"/>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未发现未同意、明显不符合资格、无实质数据或确认重复等硬排除情形</w:t>
            </w:r>
          </w:p>
        </w:tc>
      </w:tr>
      <w:tr>
        <w:trPr>
          <w:cantSplit/>
        </w:trPr>
        <w:tc>
          <w:tcPr>
            <w:tcW w:type="dxa" w:w="226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速度复核</w:t>
            </w:r>
          </w:p>
        </w:tc>
        <w:tc>
          <w:tcPr>
            <w:tcW w:type="dxa" w:w="181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12 份</w:t>
            </w:r>
          </w:p>
        </w:tc>
        <w:tc>
          <w:tcPr>
            <w:tcW w:type="dxa" w:w="5329"/>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不因单一速度信号删除；另做敏感性分析</w:t>
            </w:r>
          </w:p>
        </w:tc>
      </w:tr>
      <w:tr>
        <w:trPr>
          <w:cantSplit/>
        </w:trPr>
        <w:tc>
          <w:tcPr>
            <w:tcW w:type="dxa" w:w="226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互斥逻辑冲突</w:t>
            </w:r>
          </w:p>
        </w:tc>
        <w:tc>
          <w:tcPr>
            <w:tcW w:type="dxa" w:w="181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94 份</w:t>
            </w:r>
          </w:p>
        </w:tc>
        <w:tc>
          <w:tcPr>
            <w:tcW w:type="dxa" w:w="5329"/>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只移除与实质选项并存的互斥项，保留实质选择</w:t>
            </w:r>
          </w:p>
        </w:tc>
      </w:tr>
      <w:tr>
        <w:trPr>
          <w:cantSplit/>
        </w:trPr>
        <w:tc>
          <w:tcPr>
            <w:tcW w:type="dxa" w:w="226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字段映射</w:t>
            </w:r>
          </w:p>
        </w:tc>
        <w:tc>
          <w:tcPr>
            <w:tcW w:type="dxa" w:w="181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 个问题</w:t>
            </w:r>
          </w:p>
        </w:tc>
        <w:tc>
          <w:tcPr>
            <w:tcW w:type="dxa" w:w="5329"/>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35 个题组均可映射到问卷规格</w:t>
            </w:r>
          </w:p>
        </w:tc>
      </w:tr>
      <w:tr>
        <w:trPr>
          <w:cantSplit/>
        </w:trPr>
        <w:tc>
          <w:tcPr>
            <w:tcW w:type="dxa" w:w="226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高缺失/完全重复</w:t>
            </w:r>
          </w:p>
        </w:tc>
        <w:tc>
          <w:tcPr>
            <w:tcW w:type="dxa" w:w="181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均为 0</w:t>
            </w:r>
          </w:p>
        </w:tc>
        <w:tc>
          <w:tcPr>
            <w:tcW w:type="dxa" w:w="5329"/>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未触发排除</w:t>
            </w:r>
          </w:p>
        </w:tc>
      </w:tr>
      <w:tr>
        <w:trPr>
          <w:cantSplit/>
        </w:trPr>
        <w:tc>
          <w:tcPr>
            <w:tcW w:type="dxa" w:w="226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分析状态</w:t>
            </w:r>
          </w:p>
        </w:tc>
        <w:tc>
          <w:tcPr>
            <w:tcW w:type="dxa" w:w="181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带限制可分析</w:t>
            </w:r>
          </w:p>
        </w:tc>
        <w:tc>
          <w:tcPr>
            <w:tcW w:type="dxa" w:w="5329"/>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可用于内部分析；对外发布仍需人工复核</w:t>
            </w:r>
          </w:p>
        </w:tc>
      </w:tr>
    </w:tbl>
    <w:p>
      <w:pPr>
        <w:spacing w:after="40"/>
      </w:pPr>
    </w:p>
    <w:p>
      <w:pPr>
        <w:keepNext w:val="0"/>
        <w:spacing w:before="0" w:after="100" w:lineRule="auto" w:line="300"/>
        <w:ind w:left="0"/>
      </w:pPr>
      <w:r>
        <w:rPr>
          <w:rFonts w:ascii="Arial" w:hAnsi="Arial" w:eastAsia="Microsoft YaHei"/>
          <w:b w:val="0"/>
          <w:i w:val="0"/>
          <w:color w:val="20313F"/>
          <w:sz w:val="21"/>
        </w:rPr>
        <w:t>剔除 12 份速度标记后的关键指标与全部 200 份相比，绝对差异为 0.2—2.2 个百分点，主要结论稳定。开放题存在完全相同表述，只用于轻量主题计数，不作为逐字引语或独立真实性证明。</w:t>
      </w:r>
    </w:p>
    <w:p>
      <w:pPr>
        <w:pStyle w:val="Heading1"/>
        <w:keepNext/>
      </w:pPr>
      <w:r>
        <w:rPr>
          <w:rFonts w:ascii="Arial" w:hAnsi="Arial" w:eastAsia="Microsoft YaHei"/>
          <w:b/>
          <w:i w:val="0"/>
          <w:color w:val="183B56"/>
          <w:sz w:val="32"/>
        </w:rPr>
        <w:t>附录 B｜研究问题与假设结论</w:t>
      </w:r>
    </w:p>
    <w:tbl>
      <w:tblPr>
        <w:tblW w:type="dxa" w:w="9468"/>
        <w:tblLayout w:type="fixed"/>
        <w:tblLook w:firstColumn="1" w:firstRow="1" w:lastColumn="0" w:lastRow="0" w:noHBand="0" w:noVBand="1" w:val="04A0"/>
        <w:jc w:val="center"/>
        <w:tblInd w:type="dxa" w:w="0"/>
      </w:tblPr>
      <w:tblGrid>
        <w:gridCol w:w="1134"/>
        <w:gridCol w:w="1814"/>
        <w:gridCol w:w="3685"/>
        <w:gridCol w:w="2835"/>
      </w:tblGrid>
      <w:tr>
        <w:trPr>
          <w:tblHeader w:val="true"/>
        </w:trPr>
        <w:tc>
          <w:tcPr>
            <w:tcW w:type="dxa" w:w="1134"/>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假设</w:t>
            </w:r>
          </w:p>
        </w:tc>
        <w:tc>
          <w:tcPr>
            <w:tcW w:type="dxa" w:w="1814"/>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状态</w:t>
            </w:r>
          </w:p>
        </w:tc>
        <w:tc>
          <w:tcPr>
            <w:tcW w:type="dxa" w:w="3685"/>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主要证据</w:t>
            </w:r>
          </w:p>
        </w:tc>
        <w:tc>
          <w:tcPr>
            <w:tcW w:type="dxa" w:w="2835"/>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解释边界</w:t>
            </w:r>
          </w:p>
        </w:tc>
      </w:tr>
      <w:tr>
        <w:trPr>
          <w:cantSplit/>
        </w:trPr>
        <w:tc>
          <w:tcPr>
            <w:tcW w:type="dxa" w:w="113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HYP-001</w:t>
            </w:r>
          </w:p>
        </w:tc>
        <w:tc>
          <w:tcPr>
            <w:tcW w:type="dxa" w:w="181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支持</w:t>
            </w:r>
          </w:p>
        </w:tc>
        <w:tc>
          <w:tcPr>
            <w:tcW w:type="dxa" w:w="368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Q17/Q18 同时答对 79/200（39.5%）；单题正确率分别为 60.0% 和 61.5%。</w:t>
            </w:r>
          </w:p>
        </w:tc>
        <w:tc>
          <w:tcPr>
            <w:tcW w:type="dxa" w:w="283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知识题正确率只描述本次样本，不等于全部购买者认知水平。</w:t>
            </w:r>
          </w:p>
        </w:tc>
      </w:tr>
      <w:tr>
        <w:trPr>
          <w:cantSplit/>
        </w:trPr>
        <w:tc>
          <w:tcPr>
            <w:tcW w:type="dxa" w:w="113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HYP-002</w:t>
            </w:r>
          </w:p>
        </w:tc>
        <w:tc>
          <w:tcPr>
            <w:tcW w:type="dxa" w:w="181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部分支持，不同口径结果有落差</w:t>
            </w:r>
          </w:p>
        </w:tc>
        <w:tc>
          <w:tcPr>
            <w:tcW w:type="dxa" w:w="368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购买前主动把下滑曲线纳入比较仅 7/200（3.5%），但直接询问时有 102/200（51.0%）称其影响过决策。</w:t>
            </w:r>
          </w:p>
        </w:tc>
        <w:tc>
          <w:tcPr>
            <w:tcW w:type="dxa" w:w="283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不同题目提示强度和回忆方式不同，不能合并为单一使用率。</w:t>
            </w:r>
          </w:p>
        </w:tc>
      </w:tr>
      <w:tr>
        <w:trPr>
          <w:cantSplit/>
        </w:trPr>
        <w:tc>
          <w:tcPr>
            <w:tcW w:type="dxa" w:w="113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HYP-003</w:t>
            </w:r>
          </w:p>
        </w:tc>
        <w:tc>
          <w:tcPr>
            <w:tcW w:type="dxa" w:w="181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主动比较口径下不支持</w:t>
            </w:r>
          </w:p>
        </w:tc>
        <w:tc>
          <w:tcPr>
            <w:tcW w:type="dxa" w:w="368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主动比较中，退休年份 43.5%、风险类型 40.0%，均高于历史业绩 37.5%；最终最重要因素也是风险类型居首（20.5%）。</w:t>
            </w:r>
          </w:p>
        </w:tc>
        <w:tc>
          <w:tcPr>
            <w:tcW w:type="dxa" w:w="283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购买触发仍更多出现品牌/团队（31.5%）、费率/Y 份额（26.0%）和历史表现（25.5%），说明触发与最终判断并非同一层。</w:t>
            </w:r>
          </w:p>
        </w:tc>
      </w:tr>
      <w:tr>
        <w:trPr>
          <w:cantSplit/>
        </w:trPr>
        <w:tc>
          <w:tcPr>
            <w:tcW w:type="dxa" w:w="113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HYP-004</w:t>
            </w:r>
          </w:p>
        </w:tc>
        <w:tc>
          <w:tcPr>
            <w:tcW w:type="dxa" w:w="181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支持</w:t>
            </w:r>
          </w:p>
        </w:tc>
        <w:tc>
          <w:tcPr>
            <w:tcW w:type="dxa" w:w="368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持有期不确定性前三为未来配置变化 27.5%、当前风险 26.0%、配置调整原因 22.5%；最希望补充的内容首位是下滑曲线（31.0%）。</w:t>
            </w:r>
          </w:p>
        </w:tc>
        <w:tc>
          <w:tcPr>
            <w:tcW w:type="dxa" w:w="283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多选比例描述需求频次，不代表内容有效性或业务优先级已经获批。</w:t>
            </w:r>
          </w:p>
        </w:tc>
      </w:tr>
    </w:tbl>
    <w:p>
      <w:pPr>
        <w:spacing w:after="40"/>
      </w:pPr>
    </w:p>
    <w:tbl>
      <w:tblPr>
        <w:tblW w:type="dxa" w:w="9638"/>
        <w:jc w:val="center"/>
        <w:tblLayout w:type="fixed"/>
        <w:tblLook w:firstColumn="1" w:firstRow="1" w:lastColumn="0" w:lastRow="0" w:noHBand="0" w:noVBand="1" w:val="04A0"/>
        <w:tblInd w:type="dxa" w:w="0"/>
      </w:tblPr>
      <w:tblGrid>
        <w:gridCol w:w="9638"/>
      </w:tblGrid>
      <w:tr>
        <w:trPr>
          <w:cantSplit/>
        </w:trPr>
        <w:tc>
          <w:tcPr>
            <w:tcW w:type="dxa" w:w="9638"/>
            <w:shd w:fill="FFF3D6"/>
            <w:tcBorders>
              <w:top w:val="single" w:sz="14" w:color="B7791F"/>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B7791F"/>
                <w:sz w:val="21"/>
              </w:rPr>
              <w:t>补充分析边界</w:t>
            </w:r>
            <w:r>
              <w:rPr>
                <w:rFonts w:ascii="Arial" w:hAnsi="Arial" w:eastAsia="Microsoft YaHei"/>
                <w:b w:val="0"/>
                <w:i w:val="0"/>
                <w:color w:val="20313F"/>
                <w:sz w:val="20"/>
              </w:rPr>
              <w:br/>
              <w:t>“长期/理解信号”与“焦虑/不明信号”是根据 Q23 多选答案构造的描述性回答信号，不是经过信效度检验的心理量表，也不用于因果推断。其价值是证明两类回答可以在同一受访者身上共现。</w:t>
            </w:r>
          </w:p>
        </w:tc>
      </w:tr>
    </w:tbl>
    <w:p>
      <w:pPr>
        <w:spacing w:after="20"/>
      </w:pPr>
    </w:p>
    <w:p>
      <w:pPr>
        <w:pStyle w:val="Heading1"/>
        <w:keepNext/>
      </w:pPr>
      <w:r>
        <w:rPr>
          <w:rFonts w:ascii="Arial" w:hAnsi="Arial" w:eastAsia="Microsoft YaHei"/>
          <w:b/>
          <w:i w:val="0"/>
          <w:color w:val="183B56"/>
          <w:sz w:val="32"/>
        </w:rPr>
        <w:t>附录 C｜年龄差异只作方向性线索</w:t>
      </w:r>
    </w:p>
    <w:p>
      <w:pPr>
        <w:keepNext w:val="0"/>
        <w:spacing w:before="0" w:after="40" w:lineRule="auto" w:line="240"/>
        <w:jc w:val="center"/>
      </w:pPr>
      <w:r>
        <w:drawing>
          <wp:inline xmlns:a="http://schemas.openxmlformats.org/drawingml/2006/main" xmlns:pic="http://schemas.openxmlformats.org/drawingml/2006/picture">
            <wp:extent cx="5897880" cy="3457378"/>
            <wp:docPr id="7" name="Picture 7" descr="热力图。四个年龄组在产品类型知识、下滑曲线知识、短视频偏好、年龄或退休年份示例偏好和资产配置表偏好上存在描述性差异，未进行显著性检验。" title="图 7　年龄组的认知与形式偏好仅作描述性比较，不用于客户打标"/>
            <wp:cNvGraphicFramePr>
              <a:graphicFrameLocks noChangeAspect="1"/>
            </wp:cNvGraphicFramePr>
            <a:graphic>
              <a:graphicData uri="http://schemas.openxmlformats.org/drawingml/2006/picture">
                <pic:pic>
                  <pic:nvPicPr>
                    <pic:cNvPr id="0" name="fig5_age_heatmap_v1.0.png"/>
                    <pic:cNvPicPr/>
                  </pic:nvPicPr>
                  <pic:blipFill>
                    <a:blip r:embed="rId20"/>
                    <a:stretch>
                      <a:fillRect/>
                    </a:stretch>
                  </pic:blipFill>
                  <pic:spPr>
                    <a:xfrm>
                      <a:off x="0" y="0"/>
                      <a:ext cx="5897880" cy="3457378"/>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7　年龄组的认知与形式偏好仅作描述性比较，不用于客户打标</w:t>
      </w:r>
      <w:r>
        <w:rPr>
          <w:rFonts w:ascii="Arial" w:hAnsi="Arial" w:eastAsia="Microsoft YaHei"/>
          <w:b w:val="0"/>
          <w:i w:val="0"/>
          <w:color w:val="60717D"/>
          <w:sz w:val="14"/>
        </w:rPr>
        <w:br/>
        <w:t>数据来源：FOF问卷回答_200人.csv；使用经校正的分析结果，未加权。</w:t>
      </w:r>
    </w:p>
    <w:tbl>
      <w:tblPr>
        <w:tblW w:type="dxa" w:w="9412"/>
        <w:tblLayout w:type="fixed"/>
        <w:tblLook w:firstColumn="1" w:firstRow="1" w:lastColumn="0" w:lastRow="0" w:noHBand="0" w:noVBand="1" w:val="04A0"/>
        <w:jc w:val="center"/>
        <w:tblInd w:type="dxa" w:w="0"/>
      </w:tblPr>
      <w:tblGrid>
        <w:gridCol w:w="1701"/>
        <w:gridCol w:w="737"/>
        <w:gridCol w:w="2041"/>
        <w:gridCol w:w="2098"/>
        <w:gridCol w:w="2835"/>
      </w:tblGrid>
      <w:tr>
        <w:trPr>
          <w:tblHeader w:val="true"/>
        </w:trPr>
        <w:tc>
          <w:tcPr>
            <w:tcW w:type="dxa" w:w="1701"/>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年龄组</w:t>
            </w:r>
          </w:p>
        </w:tc>
        <w:tc>
          <w:tcPr>
            <w:tcW w:type="dxa" w:w="737"/>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n</w:t>
            </w:r>
          </w:p>
        </w:tc>
        <w:tc>
          <w:tcPr>
            <w:tcW w:type="dxa" w:w="2041"/>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产品类型两题均答对</w:t>
            </w:r>
          </w:p>
        </w:tc>
        <w:tc>
          <w:tcPr>
            <w:tcW w:type="dxa" w:w="2098"/>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下滑曲线两题均答对</w:t>
            </w:r>
          </w:p>
        </w:tc>
        <w:tc>
          <w:tcPr>
            <w:tcW w:type="dxa" w:w="2835"/>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方向性线索</w:t>
            </w:r>
          </w:p>
        </w:tc>
      </w:tr>
      <w:tr>
        <w:trPr>
          <w:cantSplit/>
        </w:trPr>
        <w:tc>
          <w:tcPr>
            <w:tcW w:type="dxa" w:w="170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18—29 岁</w:t>
            </w:r>
          </w:p>
        </w:tc>
        <w:tc>
          <w:tcPr>
            <w:tcW w:type="dxa" w:w="737"/>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33</w:t>
            </w:r>
          </w:p>
        </w:tc>
        <w:tc>
          <w:tcPr>
            <w:tcW w:type="dxa" w:w="204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27.3%</w:t>
            </w:r>
          </w:p>
        </w:tc>
        <w:tc>
          <w:tcPr>
            <w:tcW w:type="dxa" w:w="209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27.3%</w:t>
            </w:r>
          </w:p>
        </w:tc>
        <w:tc>
          <w:tcPr>
            <w:tcW w:type="dxa" w:w="283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短视频偏好 42.4%；选择逻辑需求 33.3%</w:t>
            </w:r>
          </w:p>
        </w:tc>
      </w:tr>
      <w:tr>
        <w:trPr>
          <w:cantSplit/>
        </w:trPr>
        <w:tc>
          <w:tcPr>
            <w:tcW w:type="dxa" w:w="170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30—39 岁</w:t>
            </w:r>
          </w:p>
        </w:tc>
        <w:tc>
          <w:tcPr>
            <w:tcW w:type="dxa" w:w="737"/>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63</w:t>
            </w:r>
          </w:p>
        </w:tc>
        <w:tc>
          <w:tcPr>
            <w:tcW w:type="dxa" w:w="204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41.3%</w:t>
            </w:r>
          </w:p>
        </w:tc>
        <w:tc>
          <w:tcPr>
            <w:tcW w:type="dxa" w:w="209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54.0%</w:t>
            </w:r>
          </w:p>
        </w:tc>
        <w:tc>
          <w:tcPr>
            <w:tcW w:type="dxa" w:w="283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下滑曲线需求 33.3%；当前配置/风险 30.2%</w:t>
            </w:r>
          </w:p>
        </w:tc>
      </w:tr>
      <w:tr>
        <w:trPr>
          <w:cantSplit/>
        </w:trPr>
        <w:tc>
          <w:tcPr>
            <w:tcW w:type="dxa" w:w="170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40—49 岁</w:t>
            </w:r>
          </w:p>
        </w:tc>
        <w:tc>
          <w:tcPr>
            <w:tcW w:type="dxa" w:w="737"/>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70</w:t>
            </w:r>
          </w:p>
        </w:tc>
        <w:tc>
          <w:tcPr>
            <w:tcW w:type="dxa" w:w="204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48.6%</w:t>
            </w:r>
          </w:p>
        </w:tc>
        <w:tc>
          <w:tcPr>
            <w:tcW w:type="dxa" w:w="209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40.0%</w:t>
            </w:r>
          </w:p>
        </w:tc>
        <w:tc>
          <w:tcPr>
            <w:tcW w:type="dxa" w:w="283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下滑曲线需求 37.1%；Y 份额规则 20.0%</w:t>
            </w:r>
          </w:p>
        </w:tc>
      </w:tr>
      <w:tr>
        <w:trPr>
          <w:cantSplit/>
        </w:trPr>
        <w:tc>
          <w:tcPr>
            <w:tcW w:type="dxa" w:w="170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50—59 岁</w:t>
            </w:r>
          </w:p>
        </w:tc>
        <w:tc>
          <w:tcPr>
            <w:tcW w:type="dxa" w:w="737"/>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34</w:t>
            </w:r>
          </w:p>
        </w:tc>
        <w:tc>
          <w:tcPr>
            <w:tcW w:type="dxa" w:w="204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29.4%</w:t>
            </w:r>
          </w:p>
        </w:tc>
        <w:tc>
          <w:tcPr>
            <w:tcW w:type="dxa" w:w="209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44.1%</w:t>
            </w:r>
          </w:p>
        </w:tc>
        <w:tc>
          <w:tcPr>
            <w:tcW w:type="dxa" w:w="283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年龄示例 41.2%；资产配置表 32.4%</w:t>
            </w:r>
          </w:p>
        </w:tc>
      </w:tr>
    </w:tbl>
    <w:p>
      <w:pPr>
        <w:spacing w:after="40"/>
      </w:pPr>
    </w:p>
    <w:p>
      <w:pPr>
        <w:keepNext w:val="0"/>
        <w:spacing w:before="0" w:after="100" w:lineRule="auto" w:line="300"/>
        <w:ind w:left="0"/>
      </w:pPr>
      <w:r>
        <w:rPr>
          <w:rFonts w:ascii="Arial" w:hAnsi="Arial" w:eastAsia="Microsoft YaHei"/>
          <w:b w:val="0"/>
          <w:i w:val="0"/>
          <w:color w:val="20313F"/>
          <w:sz w:val="21"/>
        </w:rPr>
        <w:t>上述差异没有经过显著性检验，且样本来源未知。它们可以用于下一轮材料原型的优先级选择，但不能写成稳定人群特征，也不能用于客户画像打标。</w:t>
      </w:r>
    </w:p>
    <w:p>
      <w:r>
        <w:br w:type="page"/>
      </w:r>
    </w:p>
    <w:p>
      <w:pPr>
        <w:pStyle w:val="Heading1"/>
        <w:keepNext/>
      </w:pPr>
      <w:r>
        <w:rPr>
          <w:rFonts w:ascii="Arial" w:hAnsi="Arial" w:eastAsia="Microsoft YaHei"/>
          <w:b/>
          <w:i w:val="0"/>
          <w:color w:val="183B56"/>
          <w:sz w:val="32"/>
        </w:rPr>
        <w:t>附录 D｜核心口径与敏感性分析</w:t>
      </w:r>
    </w:p>
    <w:tbl>
      <w:tblPr>
        <w:tblW w:type="dxa" w:w="9411"/>
        <w:tblLayout w:type="fixed"/>
        <w:tblLook w:firstColumn="1" w:firstRow="1" w:lastColumn="0" w:lastRow="0" w:noHBand="0" w:noVBand="1" w:val="04A0"/>
        <w:jc w:val="center"/>
        <w:tblInd w:type="dxa" w:w="0"/>
      </w:tblPr>
      <w:tblGrid>
        <w:gridCol w:w="1814"/>
        <w:gridCol w:w="4025"/>
        <w:gridCol w:w="3572"/>
      </w:tblGrid>
      <w:tr>
        <w:trPr>
          <w:tblHeader w:val="true"/>
        </w:trPr>
        <w:tc>
          <w:tcPr>
            <w:tcW w:type="dxa" w:w="1814"/>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口径</w:t>
            </w:r>
          </w:p>
        </w:tc>
        <w:tc>
          <w:tcPr>
            <w:tcW w:type="dxa" w:w="4025"/>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定义</w:t>
            </w:r>
          </w:p>
        </w:tc>
        <w:tc>
          <w:tcPr>
            <w:tcW w:type="dxa" w:w="3572"/>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不能替代什么</w:t>
            </w:r>
          </w:p>
        </w:tc>
      </w:tr>
      <w:tr>
        <w:trPr>
          <w:cantSplit/>
        </w:trPr>
        <w:tc>
          <w:tcPr>
            <w:tcW w:type="dxa" w:w="181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听说过</w:t>
            </w:r>
          </w:p>
        </w:tc>
        <w:tc>
          <w:tcPr>
            <w:tcW w:type="dxa" w:w="402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自报至少知道该术语</w:t>
            </w:r>
          </w:p>
        </w:tc>
        <w:tc>
          <w:tcPr>
            <w:tcW w:type="dxa" w:w="357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不能替代实际查看或理解</w:t>
            </w:r>
          </w:p>
        </w:tc>
      </w:tr>
      <w:tr>
        <w:trPr>
          <w:cantSplit/>
        </w:trPr>
        <w:tc>
          <w:tcPr>
            <w:tcW w:type="dxa" w:w="181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看过</w:t>
            </w:r>
          </w:p>
        </w:tc>
        <w:tc>
          <w:tcPr>
            <w:tcW w:type="dxa" w:w="402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自报接触过相关信息</w:t>
            </w:r>
          </w:p>
        </w:tc>
        <w:tc>
          <w:tcPr>
            <w:tcW w:type="dxa" w:w="3572"/>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不能替代主动比较或正确理解</w:t>
            </w:r>
          </w:p>
        </w:tc>
      </w:tr>
      <w:tr>
        <w:trPr>
          <w:cantSplit/>
        </w:trPr>
        <w:tc>
          <w:tcPr>
            <w:tcW w:type="dxa" w:w="181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主动比较</w:t>
            </w:r>
          </w:p>
        </w:tc>
        <w:tc>
          <w:tcPr>
            <w:tcW w:type="dxa" w:w="402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购买前将该信息选为认真比较因素</w:t>
            </w:r>
          </w:p>
        </w:tc>
        <w:tc>
          <w:tcPr>
            <w:tcW w:type="dxa" w:w="357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不能替代最终最重要因素</w:t>
            </w:r>
          </w:p>
        </w:tc>
      </w:tr>
      <w:tr>
        <w:trPr>
          <w:cantSplit/>
        </w:trPr>
        <w:tc>
          <w:tcPr>
            <w:tcW w:type="dxa" w:w="181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提示后自报影响</w:t>
            </w:r>
          </w:p>
        </w:tc>
        <w:tc>
          <w:tcPr>
            <w:tcW w:type="dxa" w:w="402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在直接提示后回忆其影响购买、类型或持有</w:t>
            </w:r>
          </w:p>
        </w:tc>
        <w:tc>
          <w:tcPr>
            <w:tcW w:type="dxa" w:w="3572"/>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不能与无提示主动比较率合并</w:t>
            </w:r>
          </w:p>
        </w:tc>
      </w:tr>
      <w:tr>
        <w:trPr>
          <w:cantSplit/>
        </w:trPr>
        <w:tc>
          <w:tcPr>
            <w:tcW w:type="dxa" w:w="181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知识理解</w:t>
            </w:r>
          </w:p>
        </w:tc>
        <w:tc>
          <w:tcPr>
            <w:tcW w:type="dxa" w:w="402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按预定义答案判断知识题是否答对</w:t>
            </w:r>
          </w:p>
        </w:tc>
        <w:tc>
          <w:tcPr>
            <w:tcW w:type="dxa" w:w="357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不能推断真实投资能力或适当性</w:t>
            </w:r>
          </w:p>
        </w:tc>
      </w:tr>
      <w:tr>
        <w:trPr>
          <w:cantSplit/>
        </w:trPr>
        <w:tc>
          <w:tcPr>
            <w:tcW w:type="dxa" w:w="1814"/>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回答信号共现</w:t>
            </w:r>
          </w:p>
        </w:tc>
        <w:tc>
          <w:tcPr>
            <w:tcW w:type="dxa" w:w="402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同一受访者同时选择两类预定义答案</w:t>
            </w:r>
          </w:p>
        </w:tc>
        <w:tc>
          <w:tcPr>
            <w:tcW w:type="dxa" w:w="3572"/>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不能当作心理量表或因果关系</w:t>
            </w:r>
          </w:p>
        </w:tc>
      </w:tr>
      <w:tr>
        <w:trPr>
          <w:cantSplit/>
        </w:trPr>
        <w:tc>
          <w:tcPr>
            <w:tcW w:type="dxa" w:w="1814"/>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信息偏好</w:t>
            </w:r>
          </w:p>
        </w:tc>
        <w:tc>
          <w:tcPr>
            <w:tcW w:type="dxa" w:w="402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多选题中表达希望的内容、形式或时点</w:t>
            </w:r>
          </w:p>
        </w:tc>
        <w:tc>
          <w:tcPr>
            <w:tcW w:type="dxa" w:w="3572"/>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不能证明材料有效</w:t>
            </w:r>
          </w:p>
        </w:tc>
      </w:tr>
    </w:tbl>
    <w:p>
      <w:pPr>
        <w:spacing w:after="40"/>
      </w:pPr>
    </w:p>
    <w:p>
      <w:pPr>
        <w:pStyle w:val="Heading2"/>
        <w:keepNext/>
      </w:pPr>
      <w:r>
        <w:rPr>
          <w:rFonts w:ascii="Arial" w:hAnsi="Arial" w:eastAsia="Microsoft YaHei"/>
          <w:b/>
          <w:i w:val="0"/>
          <w:color w:val="1F6E8C"/>
          <w:sz w:val="25"/>
        </w:rPr>
        <w:t>敏感性分析</w:t>
      </w:r>
    </w:p>
    <w:tbl>
      <w:tblPr>
        <w:tblW w:type="dxa" w:w="9412"/>
        <w:tblLayout w:type="fixed"/>
        <w:tblLook w:firstColumn="1" w:firstRow="1" w:lastColumn="0" w:lastRow="0" w:noHBand="0" w:noVBand="1" w:val="04A0"/>
        <w:jc w:val="center"/>
        <w:tblInd w:type="dxa" w:w="0"/>
      </w:tblPr>
      <w:tblGrid>
        <w:gridCol w:w="3515"/>
        <w:gridCol w:w="1928"/>
        <w:gridCol w:w="2268"/>
        <w:gridCol w:w="1701"/>
      </w:tblGrid>
      <w:tr>
        <w:trPr>
          <w:tblHeader w:val="true"/>
        </w:trPr>
        <w:tc>
          <w:tcPr>
            <w:tcW w:type="dxa" w:w="3515"/>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指标</w:t>
            </w:r>
          </w:p>
        </w:tc>
        <w:tc>
          <w:tcPr>
            <w:tcW w:type="dxa" w:w="1928"/>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全部 200 份</w:t>
            </w:r>
          </w:p>
        </w:tc>
        <w:tc>
          <w:tcPr>
            <w:tcW w:type="dxa" w:w="2268"/>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剔除 12 份速度标记</w:t>
            </w:r>
          </w:p>
        </w:tc>
        <w:tc>
          <w:tcPr>
            <w:tcW w:type="dxa" w:w="1701"/>
            <w:vAlign w:val="center"/>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差异（百分点）</w:t>
            </w:r>
          </w:p>
        </w:tc>
      </w:tr>
      <w:tr>
        <w:trPr>
          <w:cantSplit/>
        </w:trPr>
        <w:tc>
          <w:tcPr>
            <w:tcW w:type="dxa" w:w="351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Q17 正确</w:t>
            </w:r>
          </w:p>
        </w:tc>
        <w:tc>
          <w:tcPr>
            <w:tcW w:type="dxa" w:w="192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60.0%</w:t>
            </w:r>
          </w:p>
        </w:tc>
        <w:tc>
          <w:tcPr>
            <w:tcW w:type="dxa" w:w="226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62.2%</w:t>
            </w:r>
          </w:p>
        </w:tc>
        <w:tc>
          <w:tcPr>
            <w:tcW w:type="dxa" w:w="170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2.2</w:t>
            </w:r>
          </w:p>
        </w:tc>
      </w:tr>
      <w:tr>
        <w:trPr>
          <w:cantSplit/>
        </w:trPr>
        <w:tc>
          <w:tcPr>
            <w:tcW w:type="dxa" w:w="351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Q18 正确</w:t>
            </w:r>
          </w:p>
        </w:tc>
        <w:tc>
          <w:tcPr>
            <w:tcW w:type="dxa" w:w="192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61.5%</w:t>
            </w:r>
          </w:p>
        </w:tc>
        <w:tc>
          <w:tcPr>
            <w:tcW w:type="dxa" w:w="226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60.6%</w:t>
            </w:r>
          </w:p>
        </w:tc>
        <w:tc>
          <w:tcPr>
            <w:tcW w:type="dxa" w:w="170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0.9</w:t>
            </w:r>
          </w:p>
        </w:tc>
      </w:tr>
      <w:tr>
        <w:trPr>
          <w:cantSplit/>
        </w:trPr>
        <w:tc>
          <w:tcPr>
            <w:tcW w:type="dxa" w:w="351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Q19 正确</w:t>
            </w:r>
          </w:p>
        </w:tc>
        <w:tc>
          <w:tcPr>
            <w:tcW w:type="dxa" w:w="192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63.5%</w:t>
            </w:r>
          </w:p>
        </w:tc>
        <w:tc>
          <w:tcPr>
            <w:tcW w:type="dxa" w:w="226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63.3%</w:t>
            </w:r>
          </w:p>
        </w:tc>
        <w:tc>
          <w:tcPr>
            <w:tcW w:type="dxa" w:w="170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0.2</w:t>
            </w:r>
          </w:p>
        </w:tc>
      </w:tr>
      <w:tr>
        <w:trPr>
          <w:cantSplit/>
        </w:trPr>
        <w:tc>
          <w:tcPr>
            <w:tcW w:type="dxa" w:w="351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Q20 正确</w:t>
            </w:r>
          </w:p>
        </w:tc>
        <w:tc>
          <w:tcPr>
            <w:tcW w:type="dxa" w:w="192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62.0%</w:t>
            </w:r>
          </w:p>
        </w:tc>
        <w:tc>
          <w:tcPr>
            <w:tcW w:type="dxa" w:w="226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61.7%</w:t>
            </w:r>
          </w:p>
        </w:tc>
        <w:tc>
          <w:tcPr>
            <w:tcW w:type="dxa" w:w="170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0.3</w:t>
            </w:r>
          </w:p>
        </w:tc>
      </w:tr>
      <w:tr>
        <w:trPr>
          <w:cantSplit/>
        </w:trPr>
        <w:tc>
          <w:tcPr>
            <w:tcW w:type="dxa" w:w="351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比较退休年份</w:t>
            </w:r>
          </w:p>
        </w:tc>
        <w:tc>
          <w:tcPr>
            <w:tcW w:type="dxa" w:w="192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43.5%</w:t>
            </w:r>
          </w:p>
        </w:tc>
        <w:tc>
          <w:tcPr>
            <w:tcW w:type="dxa" w:w="226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43.1%</w:t>
            </w:r>
          </w:p>
        </w:tc>
        <w:tc>
          <w:tcPr>
            <w:tcW w:type="dxa" w:w="170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0.4</w:t>
            </w:r>
          </w:p>
        </w:tc>
      </w:tr>
      <w:tr>
        <w:trPr>
          <w:cantSplit/>
        </w:trPr>
        <w:tc>
          <w:tcPr>
            <w:tcW w:type="dxa" w:w="3515"/>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比较风险类型</w:t>
            </w:r>
          </w:p>
        </w:tc>
        <w:tc>
          <w:tcPr>
            <w:tcW w:type="dxa" w:w="192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40.0%</w:t>
            </w:r>
          </w:p>
        </w:tc>
        <w:tc>
          <w:tcPr>
            <w:tcW w:type="dxa" w:w="2268"/>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41.0%</w:t>
            </w:r>
          </w:p>
        </w:tc>
        <w:tc>
          <w:tcPr>
            <w:tcW w:type="dxa" w:w="1701"/>
            <w:vAlign w:val="center"/>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1.0</w:t>
            </w:r>
          </w:p>
        </w:tc>
      </w:tr>
      <w:tr>
        <w:trPr>
          <w:cantSplit/>
        </w:trPr>
        <w:tc>
          <w:tcPr>
            <w:tcW w:type="dxa" w:w="3515"/>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希望了解下滑曲线</w:t>
            </w:r>
          </w:p>
        </w:tc>
        <w:tc>
          <w:tcPr>
            <w:tcW w:type="dxa" w:w="192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31.0%</w:t>
            </w:r>
          </w:p>
        </w:tc>
        <w:tc>
          <w:tcPr>
            <w:tcW w:type="dxa" w:w="2268"/>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31.4%</w:t>
            </w:r>
          </w:p>
        </w:tc>
        <w:tc>
          <w:tcPr>
            <w:tcW w:type="dxa" w:w="1701"/>
            <w:vAlign w:val="center"/>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0.4</w:t>
            </w:r>
          </w:p>
        </w:tc>
      </w:tr>
    </w:tbl>
    <w:p>
      <w:pPr>
        <w:spacing w:after="40"/>
      </w:pPr>
    </w:p>
    <w:p>
      <w:pPr>
        <w:pStyle w:val="Heading1"/>
        <w:keepNext/>
      </w:pPr>
      <w:r>
        <w:rPr>
          <w:rFonts w:ascii="Arial" w:hAnsi="Arial" w:eastAsia="Microsoft YaHei"/>
          <w:b/>
          <w:i w:val="0"/>
          <w:color w:val="183B56"/>
          <w:sz w:val="32"/>
        </w:rPr>
        <w:t>附录 E｜文件与可追溯信息</w:t>
      </w:r>
    </w:p>
    <w:tbl>
      <w:tblPr>
        <w:tblW w:type="dxa" w:w="9411"/>
        <w:tblLayout w:type="fixed"/>
        <w:tblLook w:firstColumn="1" w:firstRow="1" w:lastColumn="0" w:lastRow="0" w:noHBand="0" w:noVBand="1" w:val="04A0"/>
        <w:jc w:val="center"/>
        <w:tblInd w:type="dxa" w:w="0"/>
      </w:tblPr>
      <w:tblGrid>
        <w:gridCol w:w="2381"/>
        <w:gridCol w:w="7030"/>
      </w:tblGrid>
      <w:tr>
        <w:trPr>
          <w:tblHeader w:val="true"/>
        </w:trPr>
        <w:tc>
          <w:tcPr>
            <w:tcW w:type="dxa" w:w="2381"/>
            <w:vAlign w:val="center"/>
            <w:shd w:fill="183B56"/>
            <w:tcMar>
              <w:top w:w="45" w:type="dxa"/>
              <w:start w:w="100" w:type="dxa"/>
              <w:bottom w:w="45" w:type="dxa"/>
              <w:end w:w="100" w:type="dxa"/>
            </w:tcMar>
          </w:tcPr>
          <w:p>
            <w:pPr>
              <w:keepNext w:val="0"/>
              <w:spacing w:before="0" w:after="0" w:lineRule="auto" w:line="240"/>
              <w:jc w:val="center"/>
            </w:pPr>
            <w:r>
              <w:rPr>
                <w:rFonts w:ascii="Arial" w:hAnsi="Arial" w:eastAsia="Microsoft YaHei"/>
                <w:b/>
                <w:i w:val="0"/>
                <w:color w:val="FFFFFF"/>
                <w:sz w:val="16"/>
              </w:rPr>
              <w:t>项目</w:t>
            </w:r>
          </w:p>
        </w:tc>
        <w:tc>
          <w:tcPr>
            <w:tcW w:type="dxa" w:w="7030"/>
            <w:vAlign w:val="center"/>
            <w:shd w:fill="183B56"/>
            <w:tcMar>
              <w:top w:w="45" w:type="dxa"/>
              <w:start w:w="100" w:type="dxa"/>
              <w:bottom w:w="45" w:type="dxa"/>
              <w:end w:w="100" w:type="dxa"/>
            </w:tcMar>
          </w:tcPr>
          <w:p>
            <w:pPr>
              <w:keepNext w:val="0"/>
              <w:spacing w:before="0" w:after="0" w:lineRule="auto" w:line="240"/>
              <w:jc w:val="center"/>
            </w:pPr>
            <w:r>
              <w:rPr>
                <w:rFonts w:ascii="Arial" w:hAnsi="Arial" w:eastAsia="Microsoft YaHei"/>
                <w:b/>
                <w:i w:val="0"/>
                <w:color w:val="FFFFFF"/>
                <w:sz w:val="16"/>
              </w:rPr>
              <w:t>值</w:t>
            </w:r>
          </w:p>
        </w:tc>
      </w:tr>
      <w:tr>
        <w:trPr>
          <w:cantSplit/>
        </w:trPr>
        <w:tc>
          <w:tcPr>
            <w:tcW w:type="dxa" w:w="2381"/>
            <w:vAlign w:val="center"/>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来源文件</w:t>
            </w:r>
          </w:p>
        </w:tc>
        <w:tc>
          <w:tcPr>
            <w:tcW w:type="dxa" w:w="7030"/>
            <w:vAlign w:val="center"/>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FOF问卷回答_200人.csv</w:t>
            </w:r>
          </w:p>
        </w:tc>
      </w:tr>
      <w:tr>
        <w:trPr>
          <w:cantSplit/>
        </w:trPr>
        <w:tc>
          <w:tcPr>
            <w:tcW w:type="dxa" w:w="2381"/>
            <w:vAlign w:val="center"/>
            <w:tcMar>
              <w:top w:w="45" w:type="dxa"/>
              <w:start w:w="100" w:type="dxa"/>
              <w:bottom w:w="45"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来源文件 SHA-256</w:t>
            </w:r>
          </w:p>
        </w:tc>
        <w:tc>
          <w:tcPr>
            <w:tcW w:type="dxa" w:w="7030"/>
            <w:vAlign w:val="center"/>
            <w:tcMar>
              <w:top w:w="45" w:type="dxa"/>
              <w:start w:w="100" w:type="dxa"/>
              <w:bottom w:w="45"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a5d531ac3fac82e284014c13558dce55868df817d67121b0fe61ce1804d36b4f</w:t>
            </w:r>
          </w:p>
        </w:tc>
      </w:tr>
      <w:tr>
        <w:trPr>
          <w:cantSplit/>
        </w:trPr>
        <w:tc>
          <w:tcPr>
            <w:tcW w:type="dxa" w:w="2381"/>
            <w:vAlign w:val="center"/>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基础分析产物</w:t>
            </w:r>
          </w:p>
        </w:tc>
        <w:tc>
          <w:tcPr>
            <w:tcW w:type="dxa" w:w="7030"/>
            <w:vAlign w:val="center"/>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analysis-results.v0.1.0.json</w:t>
            </w:r>
          </w:p>
        </w:tc>
      </w:tr>
      <w:tr>
        <w:trPr>
          <w:cantSplit/>
        </w:trPr>
        <w:tc>
          <w:tcPr>
            <w:tcW w:type="dxa" w:w="2381"/>
            <w:vAlign w:val="center"/>
            <w:tcMar>
              <w:top w:w="45" w:type="dxa"/>
              <w:start w:w="100" w:type="dxa"/>
              <w:bottom w:w="45"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态度补充分析</w:t>
            </w:r>
          </w:p>
        </w:tc>
        <w:tc>
          <w:tcPr>
            <w:tcW w:type="dxa" w:w="7030"/>
            <w:vAlign w:val="center"/>
            <w:tcMar>
              <w:top w:w="45" w:type="dxa"/>
              <w:start w:w="100" w:type="dxa"/>
              <w:bottom w:w="45"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attitude-analysis.v1.1.json</w:t>
            </w:r>
          </w:p>
        </w:tc>
      </w:tr>
      <w:tr>
        <w:trPr>
          <w:cantSplit/>
        </w:trPr>
        <w:tc>
          <w:tcPr>
            <w:tcW w:type="dxa" w:w="2381"/>
            <w:vAlign w:val="center"/>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问卷规格</w:t>
            </w:r>
          </w:p>
        </w:tc>
        <w:tc>
          <w:tcPr>
            <w:tcW w:type="dxa" w:w="7030"/>
            <w:vAlign w:val="center"/>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INS-OTF-SURVEY-001 v0.2.0</w:t>
            </w:r>
          </w:p>
        </w:tc>
      </w:tr>
      <w:tr>
        <w:trPr>
          <w:cantSplit/>
        </w:trPr>
        <w:tc>
          <w:tcPr>
            <w:tcW w:type="dxa" w:w="2381"/>
            <w:vAlign w:val="center"/>
            <w:tcMar>
              <w:top w:w="45" w:type="dxa"/>
              <w:start w:w="100" w:type="dxa"/>
              <w:bottom w:w="45"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个人数据处理</w:t>
            </w:r>
          </w:p>
        </w:tc>
        <w:tc>
          <w:tcPr>
            <w:tcW w:type="dxa" w:w="7030"/>
            <w:vAlign w:val="center"/>
            <w:tcMar>
              <w:top w:w="45" w:type="dxa"/>
              <w:start w:w="100" w:type="dxa"/>
              <w:bottom w:w="45"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报告未使用平台 IP、地区、设备与 UA 字段</w:t>
            </w:r>
          </w:p>
        </w:tc>
      </w:tr>
      <w:tr>
        <w:trPr>
          <w:cantSplit/>
        </w:trPr>
        <w:tc>
          <w:tcPr>
            <w:tcW w:type="dxa" w:w="2381"/>
            <w:vAlign w:val="center"/>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发布状态</w:t>
            </w:r>
          </w:p>
        </w:tc>
        <w:tc>
          <w:tcPr>
            <w:tcW w:type="dxa" w:w="7030"/>
            <w:vAlign w:val="center"/>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内部分析增强版；对外发布前仍需业务、研究与合规人工复核</w:t>
            </w:r>
          </w:p>
        </w:tc>
      </w:tr>
    </w:tbl>
    <w:p>
      <w:pPr>
        <w:spacing w:after="40"/>
      </w:pPr>
    </w:p>
    <w:sectPr w:rsidR="00FC693F" w:rsidRPr="0006063C" w:rsidSect="00034616">
      <w:headerReference w:type="default" r:id="rId9"/>
      <w:footerReference w:type="default" r:id="rId10"/>
      <w:headerReference w:type="first" r:id="rId11"/>
      <w:footerReference w:type="first" r:id="rId12"/>
      <w:pgSz w:w="11906" w:h="16838"/>
      <w:pgMar w:top="1077" w:right="1134" w:bottom="1020"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b w:val="0"/>
        <w:i w:val="0"/>
        <w:color w:val="60717D"/>
        <w:sz w:val="17"/>
      </w:rPr>
      <w:t xml:space="preserve">第 </w:t>
    </w:r>
    <w:fldSimple w:instr="PAGE">
      <w:r>
        <w:rPr>
          <w:rFonts w:eastAsia="Microsoft YaHei"/>
          <w:sz w:val="17"/>
          <w:color w:val="60717D"/>
        </w:rPr>
      </w:r>
    </w:fldSimple>
    <w:r>
      <w:rPr>
        <w:rFonts w:ascii="Arial" w:hAnsi="Arial" w:eastAsia="Microsoft YaHei"/>
        <w:b w:val="0"/>
        <w:i w:val="0"/>
        <w:color w:val="60717D"/>
        <w:sz w:val="17"/>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Microsoft YaHei"/>
        <w:b/>
        <w:i w:val="0"/>
        <w:color w:val="60717D"/>
        <w:sz w:val="16"/>
      </w:rPr>
      <w:t>养老目标基金购买者研究｜投资者态度分析</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Arial" w:hAnsi="Arial" w:eastAsia="Microsoft YaHei"/>
      <w:color w:val="2031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Microsoft YaHe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Microsoft YaHei"/>
      <w:b/>
      <w:bCs/>
      <w:color w:val="1F6E8C"/>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eastAsia="Microsoft YaHei"/>
      <w:sz w:val="20"/>
    </w:rPr>
  </w:style>
  <w:style w:type="paragraph" w:styleId="ListBullet2">
    <w:name w:val="List Bullet 2"/>
    <w:basedOn w:val="Normal"/>
    <w:uiPriority w:val="99"/>
    <w:unhideWhenUsed/>
    <w:rsid w:val="00326F90"/>
    <w:pPr>
      <w:numPr>
        <w:numId w:val="2"/>
      </w:numPr>
      <w:spacing w:after="60"/>
      <w:ind w:left="680" w:hanging="198"/>
      <w:contextualSpacing/>
    </w:pPr>
    <w:rPr>
      <w:rFonts w:ascii="Arial" w:hAnsi="Arial" w:eastAsia="Microsoft YaHe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8" w:hanging="238"/>
      <w:contextualSpacing/>
    </w:pPr>
    <w:rPr>
      <w:rFonts w:ascii="Arial" w:hAnsi="Arial"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mall">
    <w:name w:val="Report Small"/>
    <w:rPr>
      <w:rFonts w:ascii="Microsoft YaHei" w:hAnsi="Microsoft YaHei" w:eastAsia="Microsoft YaHei"/>
      <w:color w:val="60717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yperlink" Target="https://ima.qq.com/wiki/?shareId=3f82c28e1844208f0d4489f0ef3057c012f070cdce772a8ee050212c899234fc" TargetMode="External"/><Relationship Id="rId2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养老目标基金购买者调研分析报告</dc:title>
  <dc:subject>投资者态度、研究发现、产品沟通与投资者教育建议</dc:subject>
  <dc:creator>AI 辅助用户研究工作流</dc:creator>
  <cp:keywords>养老目标基金, FOF, 用户研究, 投资者态度, 投资者教育</cp:keywords>
  <dc:description>领导展示最终版；外发前需业务、研究与合规人工复核</dc:description>
  <cp:lastModifiedBy/>
  <cp:revision>1</cp:revision>
  <dcterms:created xsi:type="dcterms:W3CDTF">2013-12-23T23:15:00Z</dcterms:created>
  <dcterms:modified xsi:type="dcterms:W3CDTF">2013-12-23T23:15:00Z</dcterms:modified>
  <cp:category/>
</cp:coreProperties>
</file>