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760" w:after="360" w:lineRule="auto" w:line="240"/>
        <w:jc w:val="center"/>
      </w:pPr>
      <w:r>
        <w:rPr>
          <w:rFonts w:ascii="Arial" w:hAnsi="Arial" w:eastAsia="Microsoft YaHei"/>
          <w:b/>
          <w:i w:val="0"/>
          <w:color w:val="B7791F"/>
          <w:sz w:val="18"/>
        </w:rPr>
        <w:t>养老目标基金购买者专项研究  |  2026年7月</w:t>
      </w:r>
    </w:p>
    <w:p>
      <w:pPr>
        <w:keepNext w:val="0"/>
        <w:spacing w:before="0" w:after="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58"/>
        </w:rPr>
        <w:t>养老目标基金购买者</w:t>
      </w:r>
    </w:p>
    <w:p>
      <w:pPr>
        <w:keepNext w:val="0"/>
        <w:spacing w:before="0" w:after="260" w:lineRule="auto" w:line="240"/>
        <w:jc w:val="center"/>
      </w:pPr>
      <w:r>
        <w:rPr>
          <w:rFonts w:ascii="Arial" w:hAnsi="Arial" w:eastAsia="Microsoft YaHei"/>
          <w:b/>
          <w:i w:val="0"/>
          <w:color w:val="183B56"/>
          <w:sz w:val="58"/>
        </w:rPr>
        <w:t>调研分析报告</w:t>
      </w:r>
    </w:p>
    <w:p>
      <w:pPr>
        <w:keepNext w:val="0"/>
        <w:spacing w:before="0" w:after="6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22"/>
        </w:rPr>
        <w:t>研究背景 · 数据分析 · 主要发现 · 投资者教育建议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样本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200 份有效分析答卷</w:t>
            </w:r>
          </w:p>
        </w:tc>
        <w:tc>
          <w:tcPr>
            <w:tcW w:type="dxa" w:w="4819"/>
            <w:vAlign w:val="center"/>
            <w:shd w:fill="EEF4F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5" w:color="DCE5E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64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16"/>
              </w:rPr>
              <w:t>研究对象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br/>
              <w:t>实际购买过养老目标基金</w:t>
            </w:r>
          </w:p>
        </w:tc>
      </w:tr>
    </w:tbl>
    <w:p>
      <w:pPr>
        <w:keepNext w:val="0"/>
        <w:spacing w:before="900" w:after="200" w:lineRule="auto" w:line="276"/>
        <w:jc w:val="center"/>
      </w:pPr>
      <w:r>
        <w:rPr>
          <w:rFonts w:ascii="Arial" w:hAnsi="Arial" w:eastAsia="Microsoft YaHei"/>
          <w:b/>
          <w:i w:val="0"/>
          <w:color w:val="20313F"/>
          <w:sz w:val="24"/>
        </w:rPr>
        <w:t>研究主题：购买过养老目标基金的投资者，如何认识产品、作出选择并应对持有期波动。</w:t>
      </w:r>
    </w:p>
    <w:p>
      <w:pPr>
        <w:keepNext w:val="0"/>
        <w:spacing w:before="0" w:after="0" w:lineRule="auto" w:line="300"/>
        <w:jc w:val="center"/>
      </w:pPr>
      <w:r>
        <w:rPr>
          <w:rFonts w:ascii="Arial" w:hAnsi="Arial" w:eastAsia="Microsoft YaHei"/>
          <w:b w:val="0"/>
          <w:i w:val="0"/>
          <w:color w:val="60717D"/>
          <w:sz w:val="16"/>
        </w:rPr>
        <w:t>说明：本报告描述本次回传样本，不代表市场总体；不构成产品推荐、适当性判断或投资建议。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研究背景与目的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研究背景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养老目标基金是以养老资金长期配置为目标的基金中基金（FOF），主要包括目标日期型和目标风险型。目标日期型基金通常根据目标退休年份安排配置路径，并可能随着目标日期接近调整资产配置。投资者需要据此判断产品类型与个人养老安排的匹配程度，理解当前及未来的配置变化，并正确认识持有期净值波动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研究不涉及养老目标基金市场规模估算，也不评价具体基金产品的投资价值。研究对象为目前或过去实际购买过养老目标基金的投资者，重点考察其购买依据、产品机制认知、关键信息使用情况以及持有期的信息需求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研究目的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从购买者的实际决策与持有经历出发，识别“产品已经被接受”与“产品是否被正确理解、能否被持续判断”之间的差距，为产品信息设计、持有期服务和投资者教育提供依据。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主要研究内容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587"/>
        <w:gridCol w:w="4535"/>
        <w:gridCol w:w="3288"/>
      </w:tblGrid>
      <w:tr>
        <w:trPr>
          <w:tblHeader w:val="true"/>
        </w:trPr>
        <w:tc>
          <w:tcPr>
            <w:tcW w:type="dxa" w:w="158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研究方向</w:t>
            </w:r>
          </w:p>
        </w:tc>
        <w:tc>
          <w:tcPr>
            <w:tcW w:type="dxa" w:w="453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主要分析内容</w:t>
            </w:r>
          </w:p>
        </w:tc>
        <w:tc>
          <w:tcPr>
            <w:tcW w:type="dxa" w:w="328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业务应用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购买决策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产品接触渠道，以及关注、主动比较和最终判断阶段的主要影响因素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优化产品页面与沟通信息层级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产品认知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目标日期型、目标风险型及其一般设计逻辑的理解情况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明确基础产品说明的内容范围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下滑曲线的知晓、接触、理解及主动使用情况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改进配置路径与风险边界说明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持有与波动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净值下跌时的应对行为，以及长期认同与短期担忧的关系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设计持有期解释与波动沟通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投教需求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投资者偏好的内容、表达形式及触达时点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确定投资者教育的重点与实施场景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研究对象与解释边界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报告分析 200 份回传问卷。受访者均自报目前或过去购买过养老目标基金，因此报告描述的是购买者样本，不代表所有投资者或潜在客户。由于没有完整抽样框和总体分布，本报告不将样本比例外推为市场总体比例；年龄差异仅用于材料设计线索，不用于客户标签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指标定义与口径说明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知识测量设计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问卷未使用单一主观熟悉度题目判断产品认知，而是设置四道单选知识题，分别检验产品类型、配置变化和风险边界。该设计用于降低自我评价偏差。“四题全部答对”是指同一受访者同时正确判断以下四项知识内容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850"/>
        <w:gridCol w:w="2381"/>
        <w:gridCol w:w="3969"/>
        <w:gridCol w:w="2211"/>
      </w:tblGrid>
      <w:tr>
        <w:trPr>
          <w:tblHeader w:val="true"/>
        </w:trPr>
        <w:tc>
          <w:tcPr>
            <w:tcW w:type="dxa" w:w="850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题号</w:t>
            </w:r>
          </w:p>
        </w:tc>
        <w:tc>
          <w:tcPr>
            <w:tcW w:type="dxa" w:w="238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检验的知识点</w:t>
            </w:r>
          </w:p>
        </w:tc>
        <w:tc>
          <w:tcPr>
            <w:tcW w:type="dxa" w:w="3969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本报告采用的正确理解</w:t>
            </w:r>
          </w:p>
        </w:tc>
        <w:tc>
          <w:tcPr>
            <w:tcW w:type="dxa" w:w="221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测量用途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Q17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目标日期型的一般设计逻辑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主要依据预计退休年份选择，并可能随目标日期接近调整资产配置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帮助投资者理解目标年份不是收益承诺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Q18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目标风险型的一般设计逻辑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主要依据预设风险水平选择，并在策略范围内维持相应风险特征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帮助投资者把风险类型与自身情况联系起来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Q19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下滑曲线表达什么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表达随着目标日期接近，基金资产配置可能如何逐步调整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区分配置路径与历史收益曲线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Q20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降低高波动资产后的风险边界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基金仍可能发生净值波动或亏损，不代表本金和收益有保证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防止把配置调整误解为保本或收益保证</w:t>
            </w:r>
          </w:p>
        </w:tc>
      </w:tr>
    </w:tbl>
    <w:p>
      <w:pPr>
        <w:spacing w:after="4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四题全部答对指标说明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该指标用于衡量四项基础知识是否形成完整认知链条，不属于考试及格率，也不能据此判定其余 80.0% 的受访者完全不了解养老目标基金。四道单题的正确率均在六成左右，表明部分知识已有基础，但跨概念和风险边界的综合理解仍不稳定。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相关指标口径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814"/>
        <w:gridCol w:w="3969"/>
        <w:gridCol w:w="3628"/>
      </w:tblGrid>
      <w:tr>
        <w:trPr>
          <w:tblHeader w:val="true"/>
        </w:trPr>
        <w:tc>
          <w:tcPr>
            <w:tcW w:type="dxa" w:w="181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3969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在问卷中代表什么</w:t>
            </w:r>
          </w:p>
        </w:tc>
        <w:tc>
          <w:tcPr>
            <w:tcW w:type="dxa" w:w="362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阅读报告时不能把它当成什么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购买前，受访者在无提示的比较因素题中主动选择了某项信息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不能等同于听说过、看过或被提示后觉得重要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题目直接点名某项信息后，受访者回忆它是否影响过购买、类型或持有决定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不能与无提示主动比较率合并成一个“使用率”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回答信号共现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同一受访者在多选题中同时选择两类预定义答案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不是心理量表，也不证明因果关系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有了这些定义，后面的百分比才有可比的语境：报告会分别讨论“知道”“看过”“主动比较”“提示后回忆”“知识题答对”和“信息偏好”，不会用其中任何一个指标替代另一个。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主要研究发现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主要结论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次样本呈现三项特征：购买和持有行为表明投资者对养老投资及相关产品具有一定接受度；多数受访者能够正确判断部分知识点，但对产品类型、配置变化和风险边界的综合理解仍不稳定；在购买比较和波动应对阶段，投资者仍需要信息支持。报告据此重点分析现有认知能否支持具体、稳定的投资判断。</w:t>
            </w:r>
          </w:p>
        </w:tc>
      </w:tr>
    </w:tbl>
    <w:p>
      <w:pPr>
        <w:spacing w:after="20"/>
      </w:pPr>
    </w:p>
    <w:tbl>
      <w:tblPr>
        <w:tblW w:type="dxa" w:w="9636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EEF4F6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1F6E8C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34"/>
              </w:rPr>
              <w:t>72.0%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目前仍在持有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产品接受度</w:t>
            </w:r>
          </w:p>
        </w:tc>
        <w:tc>
          <w:tcPr>
            <w:tcW w:type="dxa" w:w="2409"/>
            <w:vAlign w:val="center"/>
            <w:shd w:fill="E8F5F1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2A9D8F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2A9D8F"/>
                <w:sz w:val="34"/>
              </w:rPr>
              <w:t>20.0%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四个知识点均答对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组合认知水平</w:t>
            </w:r>
          </w:p>
        </w:tc>
        <w:tc>
          <w:tcPr>
            <w:tcW w:type="dxa" w:w="2409"/>
            <w:vAlign w:val="center"/>
            <w:shd w:fill="FFF3E8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C85C1A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C85C1A"/>
                <w:sz w:val="34"/>
              </w:rPr>
              <w:t>3.5%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主动比较下滑曲线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主动使用比例</w:t>
            </w:r>
          </w:p>
        </w:tc>
        <w:tc>
          <w:tcPr>
            <w:tcW w:type="dxa" w:w="2409"/>
            <w:vAlign w:val="center"/>
            <w:shd w:fill="F1EAF7"/>
            <w:tcMar>
              <w:top w:w="140" w:type="dxa"/>
              <w:start w:w="120" w:type="dxa"/>
              <w:bottom w:w="130" w:type="dxa"/>
              <w:end w:w="120" w:type="dxa"/>
            </w:tcMar>
            <w:tcBorders>
              <w:top w:val="single" w:sz="18" w:color="7C5C99"/>
              <w:left w:val="single" w:sz="5" w:color="DCE5EA"/>
              <w:bottom w:val="single" w:sz="5" w:color="DCE5EA"/>
              <w:right w:val="single" w:sz="5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/>
                <w:i w:val="0"/>
                <w:color w:val="7C5C99"/>
                <w:sz w:val="34"/>
              </w:rPr>
              <w:t>22.3%</w:t>
            </w: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br/>
              <w:t>长期与焦虑共现</w:t>
            </w:r>
            <w:r>
              <w:rPr>
                <w:rFonts w:ascii="Arial" w:hAnsi="Arial" w:eastAsia="Microsoft YaHei"/>
                <w:b w:val="0"/>
                <w:i w:val="0"/>
                <w:color w:val="60717D"/>
                <w:sz w:val="14"/>
              </w:rPr>
              <w:br/>
              <w:t>持有期态度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五项研究判断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474"/>
        <w:gridCol w:w="1984"/>
        <w:gridCol w:w="3061"/>
        <w:gridCol w:w="2891"/>
      </w:tblGrid>
      <w:tr>
        <w:trPr>
          <w:tblHeader w:val="true"/>
        </w:trPr>
        <w:tc>
          <w:tcPr>
            <w:tcW w:type="dxa" w:w="147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198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态度判断</w:t>
            </w:r>
          </w:p>
        </w:tc>
        <w:tc>
          <w:tcPr>
            <w:tcW w:type="dxa" w:w="306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关键证据</w:t>
            </w:r>
          </w:p>
        </w:tc>
        <w:tc>
          <w:tcPr>
            <w:tcW w:type="dxa" w:w="289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分析含义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产品认知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产品接受度高于完整认知水平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目前仍持有 72.0%；四个知识点均答对 20.0%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购买行为与产品类型、配置及风险边界的综合认知并不同步。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购买决策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影响因素随决策阶段变化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品牌、费率和业绩主要触发关注；退休年份和风险类型更多进入主动比较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产品信息应兼顾关注吸引和适配判断。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术语知晓度高于主动使用率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听说过下滑曲线 62.5%；主动比较 3.5%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术语知晓不能替代购买场景中的主动使用。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持有行为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长期认同与短期焦虑并存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波动经历者中，两类信号同人共现 22.3%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持有期沟通需同时说明长期目标、当前风险及下跌原因。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投教需求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需求集中于决策支持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未来配置、当前风险与产品选择逻辑的需求居前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投教内容应按照决策任务和使用场景组织。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报告结构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正文按照投资者购买和持有过程展开，依次分析总体特征、购买行为与产品认知、购买决策阶段、下滑曲线使用、持有期波动反应、投资者教育需求及行动建议。各章节分别列示数据证据、研究判断、解释边界和业务应用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一、研究发现总览：产品接受度与稳定判断能力存在差距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本节综合持有状态、知识理解、主动比较和波动应对四类指标，描述购买者样本的总体特征，并形成后续章节的分析框架。</w:t>
            </w:r>
          </w:p>
        </w:tc>
      </w:tr>
    </w:tbl>
    <w:p>
      <w:pPr>
        <w:spacing w:after="2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5963"/>
            <wp:docPr id="1" name="Picture 1" descr="四卡片图。72.0%目前仍持有，说明产品接受已发生；20.0%四道知识题全部答对，说明机制理解不稳定；3.5%购买前主动比较下滑曲线，说明主动使用未形成；30.5%在波动时先查信息或咨询，说明投资者需要决策支持。" title="图 1　投资者态度的四个并列观察；各指标口径不同，不构成漏斗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attitude_overview_v1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1　投资者态度的四个并列观察；各指标口径不同，不构成漏斗（n=200）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1.1 投资者态度的分析框架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购买率、持有率和主观熟悉度主要反映产品接受情况，知识题则用于衡量产品机制认知。综合两类指标可见，</w:t>
      </w:r>
      <w:r>
        <w:rPr>
          <w:rFonts w:ascii="Arial" w:hAnsi="Arial" w:eastAsia="Microsoft YaHei"/>
          <w:b/>
          <w:i w:val="0"/>
          <w:color w:val="183B56"/>
          <w:sz w:val="21"/>
        </w:rPr>
        <w:t>投资者已经通过购买和持有行为表达了产品接受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，但对产品类型、配置路径和风险边界尚未形成稳定的认知框架。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报告中的投资者态度由四类观察指标构成：当前持有状态、产品机制认知、购买时的关键信息使用情况，以及市场波动时的理解和行动。四类指标不合并计算总分，分别用于描述投资者从购买到持有的不同状态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认知框架的不足主要出现在三个环节：初始关注阶段较多依赖品牌、业绩或推荐；主动比较阶段更重视退休年份和风险类型匹配；市场波动阶段则需要了解下跌原因、当前风险和未来配置变化。三个环节共同构成产品信息与持有期沟通的主要应用场景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因此，当前仍在持有不能直接证明产品说明已经充分，知识题未全部答对也不能说明投资者拒绝产品。样本已经表现出一定产品接受度，但</w:t>
      </w:r>
      <w:r>
        <w:rPr>
          <w:rFonts w:ascii="Arial" w:hAnsi="Arial" w:eastAsia="Microsoft YaHei"/>
          <w:b/>
          <w:i w:val="0"/>
          <w:color w:val="183B56"/>
          <w:sz w:val="21"/>
        </w:rPr>
        <w:t>仍需要清晰、可使用的判断框架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，将分散信息用于产品选择、持有管理和波动应对。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分析结论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投资者面临的主要问题是分散信息尚未形成连续的判断路径。产品说明和投教材料可按照“产品类型选择、当前配置、未来变化、波动解释”四项内容组织。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二、研究发现一：购买行为与产品机制认知并不同步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本节结合当前持有状态与四道产品知识题，评估实际购买者对养老目标基金核心机制的认知水平。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2.1 数据证据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全部受访者均自报目前或过去购买过养老目标基金，其中 </w:t>
      </w:r>
      <w:r>
        <w:rPr>
          <w:rFonts w:ascii="Arial" w:hAnsi="Arial" w:eastAsia="Microsoft YaHei"/>
          <w:b/>
          <w:i w:val="0"/>
          <w:color w:val="183B56"/>
          <w:sz w:val="21"/>
        </w:rPr>
        <w:t>72.0%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目前仍在持有。四道产品机制知识题全部答对者为 </w:t>
      </w:r>
      <w:r>
        <w:rPr>
          <w:rFonts w:ascii="Arial" w:hAnsi="Arial" w:eastAsia="Microsoft YaHei"/>
          <w:b/>
          <w:i w:val="0"/>
          <w:color w:val="183B56"/>
          <w:sz w:val="21"/>
        </w:rPr>
        <w:t>40/200（20.0%）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；答对 3 题者占 </w:t>
      </w:r>
      <w:r>
        <w:rPr>
          <w:rFonts w:ascii="Arial" w:hAnsi="Arial" w:eastAsia="Microsoft YaHei"/>
          <w:b/>
          <w:i w:val="0"/>
          <w:color w:val="183B56"/>
          <w:sz w:val="21"/>
        </w:rPr>
        <w:t>33.0%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，答对 2 题者占 </w:t>
      </w:r>
      <w:r>
        <w:rPr>
          <w:rFonts w:ascii="Arial" w:hAnsi="Arial" w:eastAsia="Microsoft YaHei"/>
          <w:b/>
          <w:i w:val="0"/>
          <w:color w:val="183B56"/>
          <w:sz w:val="21"/>
        </w:rPr>
        <w:t>25.5%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。结果表明，多数受访者掌握了部分概念，但</w:t>
      </w:r>
      <w:r>
        <w:rPr>
          <w:rFonts w:ascii="Arial" w:hAnsi="Arial" w:eastAsia="Microsoft YaHei"/>
          <w:b/>
          <w:i w:val="0"/>
          <w:color w:val="183B56"/>
          <w:sz w:val="21"/>
        </w:rPr>
        <w:t>对全部关键知识和风险边界的理解仍不稳定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从单题看，四道题的正确率并不低：目标日期型一般逻辑为 </w:t>
      </w:r>
      <w:r>
        <w:rPr>
          <w:rFonts w:ascii="Arial" w:hAnsi="Arial" w:eastAsia="Microsoft YaHei"/>
          <w:b/>
          <w:i w:val="0"/>
          <w:color w:val="183B56"/>
          <w:sz w:val="21"/>
        </w:rPr>
        <w:t>60.0%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，目标风险型一般逻辑为 </w:t>
      </w:r>
      <w:r>
        <w:rPr>
          <w:rFonts w:ascii="Arial" w:hAnsi="Arial" w:eastAsia="Microsoft YaHei"/>
          <w:b/>
          <w:i w:val="0"/>
          <w:color w:val="183B56"/>
          <w:sz w:val="21"/>
        </w:rPr>
        <w:t>61.5%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，下滑曲线含义为 </w:t>
      </w:r>
      <w:r>
        <w:rPr>
          <w:rFonts w:ascii="Arial" w:hAnsi="Arial" w:eastAsia="Microsoft YaHei"/>
          <w:b/>
          <w:i w:val="0"/>
          <w:color w:val="183B56"/>
          <w:sz w:val="21"/>
        </w:rPr>
        <w:t>63.5%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，降低高波动资产后的风险边界为 </w:t>
      </w:r>
      <w:r>
        <w:rPr>
          <w:rFonts w:ascii="Arial" w:hAnsi="Arial" w:eastAsia="Microsoft YaHei"/>
          <w:b/>
          <w:i w:val="0"/>
          <w:color w:val="183B56"/>
          <w:sz w:val="21"/>
        </w:rPr>
        <w:t>62.0%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。问题主要出现在知识组合上：目标日期型与目标风险型两题同时答对的比例降至 </w:t>
      </w:r>
      <w:r>
        <w:rPr>
          <w:rFonts w:ascii="Arial" w:hAnsi="Arial" w:eastAsia="Microsoft YaHei"/>
          <w:b/>
          <w:i w:val="0"/>
          <w:color w:val="183B56"/>
          <w:sz w:val="21"/>
        </w:rPr>
        <w:t>39.5%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，下滑曲线含义与风险边界两题同时答对为 </w:t>
      </w:r>
      <w:r>
        <w:rPr>
          <w:rFonts w:ascii="Arial" w:hAnsi="Arial" w:eastAsia="Microsoft YaHei"/>
          <w:b/>
          <w:i w:val="0"/>
          <w:color w:val="183B56"/>
          <w:sz w:val="21"/>
        </w:rPr>
        <w:t>43.0%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，四个知识点全部答对进一步降至 </w:t>
      </w:r>
      <w:r>
        <w:rPr>
          <w:rFonts w:ascii="Arial" w:hAnsi="Arial" w:eastAsia="Microsoft YaHei"/>
          <w:b/>
          <w:i w:val="0"/>
          <w:color w:val="183B56"/>
          <w:sz w:val="21"/>
        </w:rPr>
        <w:t>20.0%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08515"/>
            <wp:docPr id="2" name="Picture 2" descr="左图为四道知识题答对题数分布：0题4.5%，1题17.0%，2题25.5%，3题33.0%，4题20.0%。右图显示购买前无提示主动比较下滑曲线3.5%，直接提示后自报影响决定51.0%；两个比例不能直接合并。" title="图 2　知识掌握与下滑曲线使用口径；右图两个比例来自不同提问方式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nowledge_behavior_gap_v1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8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2　知识掌握与下滑曲线使用口径；右图两个比例来自不同提问方式（n=200）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2.2 知识掌握呈现碎片化特征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购买行为可以在部分理解产品机制的情况下发生。投资者可能先依据品牌、历史表现、费率、推荐或操作便利作出选择，再在持有过程中逐步接触产品信息。因此，购买经历只能反映产品接受情况，不能替代对目标日期、目标风险、下滑曲线及非保本边界的认知测量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四题全部答对采用严格组合口径，要求同一受访者能够区分两类产品的一般选择逻辑，理解目标日期型产品的配置路径，并正确判断“调整配置不等于保本”的风险边界。任一环节判断错误均不计入四题全对。因此，</w:t>
      </w:r>
      <w:r>
        <w:rPr>
          <w:rFonts w:ascii="Arial" w:hAnsi="Arial" w:eastAsia="Microsoft YaHei"/>
          <w:b/>
          <w:i w:val="0"/>
          <w:color w:val="183B56"/>
          <w:sz w:val="21"/>
        </w:rPr>
        <w:t>20.0%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反映的是</w:t>
      </w:r>
      <w:r>
        <w:rPr>
          <w:rFonts w:ascii="Arial" w:hAnsi="Arial" w:eastAsia="Microsoft YaHei"/>
          <w:b/>
          <w:i w:val="0"/>
          <w:color w:val="183B56"/>
          <w:sz w:val="21"/>
        </w:rPr>
        <w:t>关键知识能否形成完整认知链条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，而非考试意义上的及格率。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单独解释某一术语可能提高识别度，但未必能够支持实际选择。例如，投资者可能知道目标年份与退休年份有关，但仍将下滑曲线理解为收益走势；也可能知道股票占比会下降，却将其误解为越接近退休越不会亏损。产品说明应在同一决策情境中说明产品类型、配置路径及风险边界，避免知识内容彼此割裂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2.3 解释边界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知识题只检验问卷预先定义的四个基础判断，不能代表受访者的总体金融素养，也不能替代风险测评、适当性判断或真实交易能力。报告也不据此把投资者划分为“懂”与“不懂”两类人。它的用途是定位信息说明中最容易断开的环节，并为后续材料测试提供一组可复用的前后测指标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产品设计启示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产品信息除说明产品的关注价值外，还应支持投资者判断产品类型匹配情况、当前与未来配置及风险边界。理解题应围绕上述判断设计，不以术语记忆为主要测量目标。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三、研究发现二：购买决策因素随决策阶段变化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本节分别分析产品关注、购买前主动比较和最终判断三个阶段的影响因素，以区分初始关注因素与最终决策依据。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Q6 为多选题，用于识别促使受访者关注或购买产品的因素；Q8 为最多选择三项的多选题，用于识别购买前主动比较的信息；Q9 为单选题，用于识别最终最重要的判断因素。三道题对应不同决策阶段，其比例不作跨题加总。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3.1 数据证据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3" name="Picture 3" descr="三栏排序图。购买触发前三为品牌或团队31.5%、费率或Y份额26.0%、历史表现25.5%；主动比较前三为退休年份43.5%、风险类型40.0%、历史表现37.5%；最终最重要前三为风险类型20.5%、历史表现13.0%、退休年份11.0%。" title="图 3　购买触发、主动比较与最终判断的前三项；Q6/Q8 为多选，Q9 为单选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cision_path_v1.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3　购买触发、主动比较与最终判断的前三项；Q6/Q8 为多选，Q9 为单选（n=200）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4592"/>
        <w:gridCol w:w="3061"/>
      </w:tblGrid>
      <w:tr>
        <w:trPr>
          <w:tblHeader w:val="true"/>
        </w:trPr>
        <w:tc>
          <w:tcPr>
            <w:tcW w:type="dxa" w:w="175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决策阶段</w:t>
            </w:r>
          </w:p>
        </w:tc>
        <w:tc>
          <w:tcPr>
            <w:tcW w:type="dxa" w:w="4592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主要因素</w:t>
            </w:r>
          </w:p>
        </w:tc>
        <w:tc>
          <w:tcPr>
            <w:tcW w:type="dxa" w:w="306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态度含义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进入关注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品牌/团队 31.5%；费率或 Y 份额 26.0%；历史表现 25.5%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主要承担初始关注作用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主动比较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退休年份 43.5%；风险类型 40.0%；历史表现 37.5%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更多涉及产品与个人情况的匹配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最终最重要</w:t>
            </w:r>
          </w:p>
        </w:tc>
        <w:tc>
          <w:tcPr>
            <w:tcW w:type="dxa" w:w="4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风险类型 20.5%；历史表现 13.0%；退休年份 11.0%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在单项判断中，风险类型居首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3.2 分析判断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/>
          <w:i w:val="0"/>
          <w:color w:val="183B56"/>
          <w:sz w:val="21"/>
        </w:rPr>
        <w:t>不同阶段的判断标准存在明显差异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。品牌、费率和历史表现主要影响初始关注；进入主动比较后，退休年份和风险类型更多用于判断产品与个人情况的匹配程度。若产品页面仅强化初始关注因素，投资者仍可能缺少形成选择所需的适配信息。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品牌或管理团队主要提供信任依据，费率或 Y 份额体现成本差异，历史表现是较易观察的既有结果。进入主动比较后，退休年份和风险类型将产品与个人养老阶段、风险承受特征联系起来。最终单选结果中风险类型居首，表明风险匹配是受访者作出取舍时的重要判断依据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历史表现同时进入关注、比较和最终判断三个阶段的前三项，说明其在养老目标基金决策中仍具有持续影响。产品沟通除强调长期属性外，还需说明历史表现的参考边界，以及配置路径和风险类型在养老场景中的判断价值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3.3 解释边界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Q6、Q8 是多选题，Q9 是单选题，因此 Q9 单项比例看起来会更低，这不代表最终判断非常分散或某个因素不重要；它只表示在必须选一项时的相对排序。报告据此讨论信息层级，而不把不同题型的百分比拼接成购买转化漏斗，也不据此推断各因素对真实购买的因果贡献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信息架构启示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建议将购买页分为两层：第一层说明产品的主要特征和关注价值；第二层说明产品类型的适用逻辑及判断依据。初始关注信息不应挤占适配判断和风险边界说明。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四、研究发现三：下滑曲线知晓度高于主动使用率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本节区分下滑曲线的术语知晓、材料接触、主动比较、提示后自报影响和知识题答对情况，分别评估其认知和使用水平。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下滑曲线是目标日期型养老目标基金可能采用的资产配置路径，不同于基金净值走势图。随着目标日期接近，组合通常逐步降低股票等高波动资产的比例，并提高相对稳健资产的比例。下滑曲线说明资产配置的变化，不代表收益变化，也不构成保本安排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4.1 下滑曲线的分层测量结果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在“听说过”这一层，</w:t>
      </w:r>
      <w:r>
        <w:rPr>
          <w:rFonts w:ascii="Arial" w:hAnsi="Arial" w:eastAsia="Microsoft YaHei"/>
          <w:b/>
          <w:i w:val="0"/>
          <w:color w:val="183B56"/>
          <w:sz w:val="21"/>
        </w:rPr>
        <w:t>51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表示听说过且大致理解，</w:t>
      </w:r>
      <w:r>
        <w:rPr>
          <w:rFonts w:ascii="Arial" w:hAnsi="Arial" w:eastAsia="Microsoft YaHei"/>
          <w:b/>
          <w:i w:val="0"/>
          <w:color w:val="183B56"/>
          <w:sz w:val="21"/>
        </w:rPr>
        <w:t>74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表示听说过但不太清楚，两者合计 </w:t>
      </w:r>
      <w:r>
        <w:rPr>
          <w:rFonts w:ascii="Arial" w:hAnsi="Arial" w:eastAsia="Microsoft YaHei"/>
          <w:b/>
          <w:i w:val="0"/>
          <w:color w:val="183B56"/>
          <w:sz w:val="21"/>
        </w:rPr>
        <w:t>125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（</w:t>
      </w:r>
      <w:r>
        <w:rPr>
          <w:rFonts w:ascii="Arial" w:hAnsi="Arial" w:eastAsia="Microsoft YaHei"/>
          <w:b/>
          <w:i w:val="0"/>
          <w:color w:val="183B56"/>
          <w:sz w:val="21"/>
        </w:rPr>
        <w:t>62.5%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）。购买前“看过”的 </w:t>
      </w:r>
      <w:r>
        <w:rPr>
          <w:rFonts w:ascii="Arial" w:hAnsi="Arial" w:eastAsia="Microsoft YaHei"/>
          <w:b/>
          <w:i w:val="0"/>
          <w:color w:val="183B56"/>
          <w:sz w:val="21"/>
        </w:rPr>
        <w:t>88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，则包括 </w:t>
      </w:r>
      <w:r>
        <w:rPr>
          <w:rFonts w:ascii="Arial" w:hAnsi="Arial" w:eastAsia="Microsoft YaHei"/>
          <w:b/>
          <w:i w:val="0"/>
          <w:color w:val="183B56"/>
          <w:sz w:val="21"/>
        </w:rPr>
        <w:t>28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认真看过和 </w:t>
      </w:r>
      <w:r>
        <w:rPr>
          <w:rFonts w:ascii="Arial" w:hAnsi="Arial" w:eastAsia="Microsoft YaHei"/>
          <w:b/>
          <w:i w:val="0"/>
          <w:color w:val="183B56"/>
          <w:sz w:val="21"/>
        </w:rPr>
        <w:t>60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大致看过；持有期看过一次或多次的合计为 </w:t>
      </w:r>
      <w:r>
        <w:rPr>
          <w:rFonts w:ascii="Arial" w:hAnsi="Arial" w:eastAsia="Microsoft YaHei"/>
          <w:b/>
          <w:i w:val="0"/>
          <w:color w:val="183B56"/>
          <w:sz w:val="21"/>
        </w:rPr>
        <w:t>60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（</w:t>
      </w:r>
      <w:r>
        <w:rPr>
          <w:rFonts w:ascii="Arial" w:hAnsi="Arial" w:eastAsia="Microsoft YaHei"/>
          <w:b/>
          <w:i w:val="0"/>
          <w:color w:val="183B56"/>
          <w:sz w:val="21"/>
        </w:rPr>
        <w:t>30.0%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）。这些回答显示了从术语曝光到材料接触的不同深度，但还不能说明下滑曲线已经进入购买决策。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268"/>
        <w:gridCol w:w="2381"/>
        <w:gridCol w:w="4762"/>
      </w:tblGrid>
      <w:tr>
        <w:trPr>
          <w:tblHeader w:val="true"/>
        </w:trPr>
        <w:tc>
          <w:tcPr>
            <w:tcW w:type="dxa" w:w="226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238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4762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分析解释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听说过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125/200（62.5%）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说明术语有一定曝光，不等于看过或理解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购买前看过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88/200（44.0%）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包括大致看过和认真看过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购买前主动比较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7/200（3.5%）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无提示购买比较中的主动调用很弱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提示后自报影响决定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102/200（51.0%）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直接提示后的回忆性归因，不能替代主动使用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两道相关知识题均答对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86/200（43.0%）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理解口径，与看过和使用分开</w:t>
            </w:r>
          </w:p>
        </w:tc>
      </w:tr>
    </w:tbl>
    <w:p>
      <w:pPr>
        <w:spacing w:after="40"/>
      </w:pP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20078"/>
            <wp:docPr id="4" name="Picture 4" descr="横向条形图。听说过下滑曲线62.5%，购买前看过44.0%，持有期看过30.0%，主动比较过3.5%；提示后自报影响决策51.0%，两道相关知识题均答对43.0%。" title="图 4　知晓、接触、主动使用、提示后自报与理解是不同层次（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lide_v1.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2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4　知晓、接触、主动使用、提示后自报与理解是不同层次（n=200）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4.2 提示口径与主动比较口径存在差异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在 102 名提示后自报下滑曲线影响过决定的人中，有 </w:t>
      </w:r>
      <w:r>
        <w:rPr>
          <w:rFonts w:ascii="Arial" w:hAnsi="Arial" w:eastAsia="Microsoft YaHei"/>
          <w:b/>
          <w:i w:val="0"/>
          <w:color w:val="183B56"/>
          <w:sz w:val="21"/>
        </w:rPr>
        <w:t>97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没有在前面的无提示比较题中选择下滑曲线，占 </w:t>
      </w:r>
      <w:r>
        <w:rPr>
          <w:rFonts w:ascii="Arial" w:hAnsi="Arial" w:eastAsia="Microsoft YaHei"/>
          <w:b/>
          <w:i w:val="0"/>
          <w:color w:val="183B56"/>
          <w:sz w:val="21"/>
        </w:rPr>
        <w:t>95.1%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。由于两题提示强度、题型和选项上限不同，这不能判定回答虚假；更合理的解释是：术语被点名后容易获得认可，但在真实比较任务中尚未进入前几位。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/>
          <w:i w:val="0"/>
          <w:color w:val="183B56"/>
          <w:sz w:val="21"/>
        </w:rPr>
        <w:t>3.5% 与 51.0% 来自不同测量口径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。前者反映在未单独强调下滑曲线时，该信息是否进入受访者最主要的比较清单；后者反映题目明确提示该概念后，受访者是否回忆其曾影响某项决定。提示后的认可可能来自真实但次要的影响，也可能受到概念熟悉感或事后归因影响，本次问卷无法进一步区分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后续研究可采用简化配置图，要求受访者完成产品选择、配置变化解释和风险判断等任务，以验证其能否找到并正确使用相关信息。该方法比继续询问下滑曲线的重要性更接近实际决策场景。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分析结论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下滑曲线目前主要体现为提示后的识别，尚未稳定进入主动比较。信息设计应重点说明当前配置、未来变化、调整原因及非保本边界。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五、研究发现四：长期认同与短期焦虑并存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本节分析净值明显下跌时的持有理由、担忧因素和应对行为，并检验长期认同与短期焦虑是否在同一受访者中同时出现。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5.1 长期认同与短期焦虑的共存特征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这里的“长期/理解信号”是指受访者在 Q23 中选择“这是长期养老投资，我愿意继续持有”或“我理解净值波动可能是正常的”；“焦虑/不明信号”是指选择“我担心继续亏损”或“我不清楚为什么会下跌”。这两组答案只是对多选题的描述性归类，不是经过信效度检验的情绪或风险态度量表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120390"/>
            <wp:docPr id="5" name="Picture 5" descr="堆叠条形图。42.7%仅出现长期或理解正常波动信号，22.3%同时出现长期理解与焦虑不明信号，22.9%仅出现焦虑不明信号，12.1%两类信号均未出现。" title="图 5　波动经历者中的长期/理解信号与焦虑/不明信号（Q23 多选，n=157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olding_tension_v1.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5　波动经历者中的长期/理解信号与焦虑/不明信号（Q23 多选，n=157）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在经历过最近一次明显下跌的 </w:t>
      </w:r>
      <w:r>
        <w:rPr>
          <w:rFonts w:ascii="Arial" w:hAnsi="Arial" w:eastAsia="Microsoft YaHei"/>
          <w:b/>
          <w:i w:val="0"/>
          <w:color w:val="183B56"/>
          <w:sz w:val="21"/>
        </w:rPr>
        <w:t>157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中，</w:t>
      </w:r>
      <w:r>
        <w:rPr>
          <w:rFonts w:ascii="Arial" w:hAnsi="Arial" w:eastAsia="Microsoft YaHei"/>
          <w:b/>
          <w:i w:val="0"/>
          <w:color w:val="183B56"/>
          <w:sz w:val="21"/>
        </w:rPr>
        <w:t>65.0%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至少选择了“长期养老、愿意持有”或“理解净值波动可能正常”；</w:t>
      </w:r>
      <w:r>
        <w:rPr>
          <w:rFonts w:ascii="Arial" w:hAnsi="Arial" w:eastAsia="Microsoft YaHei"/>
          <w:b/>
          <w:i w:val="0"/>
          <w:color w:val="183B56"/>
          <w:sz w:val="21"/>
        </w:rPr>
        <w:t>45.2%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至少选择了“担心继续亏损”或“不清楚为什么下跌”。其中 </w:t>
      </w:r>
      <w:r>
        <w:rPr>
          <w:rFonts w:ascii="Arial" w:hAnsi="Arial" w:eastAsia="Microsoft YaHei"/>
          <w:b/>
          <w:i w:val="0"/>
          <w:color w:val="183B56"/>
          <w:sz w:val="21"/>
        </w:rPr>
        <w:t>35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（</w:t>
      </w:r>
      <w:r>
        <w:rPr>
          <w:rFonts w:ascii="Arial" w:hAnsi="Arial" w:eastAsia="Microsoft YaHei"/>
          <w:b/>
          <w:i w:val="0"/>
          <w:color w:val="183B56"/>
          <w:sz w:val="21"/>
        </w:rPr>
        <w:t>22.3%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）同时出现两类信号。</w:t>
      </w:r>
      <w:r>
        <w:rPr>
          <w:rFonts w:ascii="Arial" w:hAnsi="Arial" w:eastAsia="Microsoft YaHei"/>
          <w:b/>
          <w:i w:val="0"/>
          <w:color w:val="183B56"/>
          <w:sz w:val="21"/>
        </w:rPr>
        <w:t>长期投资认同并不会消除对短期亏损的担忧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，对正常波动的认知也不等于不存在情绪压力。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样本不宜简单划分为长期持有者和焦虑赎回者。对上述 </w:t>
      </w:r>
      <w:r>
        <w:rPr>
          <w:rFonts w:ascii="Arial" w:hAnsi="Arial" w:eastAsia="Microsoft YaHei"/>
          <w:b/>
          <w:i w:val="0"/>
          <w:color w:val="183B56"/>
          <w:sz w:val="21"/>
        </w:rPr>
        <w:t>35 人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而言，长期养老定位与损失担忧同时存在。持有期沟通需要同时说明长期目标、当前配置和下跌原因，以减少短期波动带来的信息不确定性。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5.2 波动情境下的信息需求与行为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025"/>
        <w:gridCol w:w="1134"/>
        <w:gridCol w:w="1247"/>
        <w:gridCol w:w="3005"/>
      </w:tblGrid>
      <w:tr>
        <w:trPr>
          <w:tblHeader w:val="true"/>
        </w:trPr>
        <w:tc>
          <w:tcPr>
            <w:tcW w:type="dxa" w:w="402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最近一次明显下跌时的主要做法</w:t>
            </w:r>
          </w:p>
        </w:tc>
        <w:tc>
          <w:tcPr>
            <w:tcW w:type="dxa" w:w="113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人数</w:t>
            </w:r>
          </w:p>
        </w:tc>
        <w:tc>
          <w:tcPr>
            <w:tcW w:type="dxa" w:w="124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比例</w:t>
            </w:r>
          </w:p>
        </w:tc>
        <w:tc>
          <w:tcPr>
            <w:tcW w:type="dxa" w:w="300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态度含义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先查询信息或咨询他人，再决定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30.5%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需要先形成解释再行动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继续持有，没有操作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23.0%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长期定位或暂不行动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追加购买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11.0%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以行动表达判断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部分或全部赎回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28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14.0%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风险压力已转化为退出行为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另有 </w:t>
      </w:r>
      <w:r>
        <w:rPr>
          <w:rFonts w:ascii="Arial" w:hAnsi="Arial" w:eastAsia="Microsoft YaHei"/>
          <w:b/>
          <w:i w:val="0"/>
          <w:color w:val="183B56"/>
          <w:sz w:val="21"/>
        </w:rPr>
        <w:t>43/200（21.5%）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表示没有经历过明显下跌或记不清，因此不进入 Q23 理由分析。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Q22 单选结果显示，</w:t>
      </w:r>
      <w:r>
        <w:rPr>
          <w:rFonts w:ascii="Arial" w:hAnsi="Arial" w:eastAsia="Microsoft YaHei"/>
          <w:b/>
          <w:i w:val="0"/>
          <w:color w:val="183B56"/>
          <w:sz w:val="21"/>
        </w:rPr>
        <w:t>30.5%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的受访者在明显下跌时会先查询信息或咨询他人，是四类实质行为中比例最高的一项。该结果表明，部分投资者在采取交易行为前，首先需要了解下跌原因及其对所持产品的影响。继续持有、追加购买或赎回的合理性仍取决于个人目标、风险承受能力和市场条件，本研究不对具体操作作价值判断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持有期服务启示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只讲“长期持有”不足以回应投资者。波动沟通需要同时解释：本次下跌来自什么、当前配置和风险水平如何、下滑曲线是否按原逻辑运行、哪些风险仍然存在。说明应支持判断，但不能变成具体加仓、持有或赎回建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六、投资者教育需求与内容设计建议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分析重点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本节分析投资者对投教内容、表达形式和触达时点的偏好，为后续材料设计确定优先方向。相关结果反映自报偏好，不直接代表材料的实际效果。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6.1 内容、形式与触达时点偏好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Q26、Q27 和 Q28 均为多选题，分别测量希望补充的内容、偏好的表达形式和最需要信息的时点。各比例表示选择该选项的人数占全部 200 名受访者的比重，用于比较相对优先级，不属于满意度指标。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067503"/>
            <wp:docPr id="6" name="Picture 6" descr="三栏排序图。优先内容首位为未来配置或下滑曲线31.0%；偏好形式首位为结合年龄或退休年份举例30.0%；希望时点首位为第一次了解产品时31.5%。" title="图 6　投教内容、形式与时点偏好（多选，n=200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ducation_v1.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67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6　投教内容、形式与时点偏好（多选，n=200）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4535"/>
        <w:gridCol w:w="3118"/>
      </w:tblGrid>
      <w:tr>
        <w:trPr>
          <w:tblHeader w:val="true"/>
        </w:trPr>
        <w:tc>
          <w:tcPr>
            <w:tcW w:type="dxa" w:w="175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type="dxa" w:w="453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首要信号</w:t>
            </w:r>
          </w:p>
        </w:tc>
        <w:tc>
          <w:tcPr>
            <w:tcW w:type="dxa" w:w="311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分析结论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内容需求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未来配置/下滑曲线 31.0%；当前配置与风险 26.0%；选择逻辑 25.5%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需求集中于支持产品判断的信息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形式偏好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年龄/退休年份示例 30.0%；资产配置表 24.5%；一句话说明 24.0%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抽象概念需要结合个人情境和配置变化表达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触达时点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首次了解 31.5%；配置调整 26.5%；市场波动 24.5%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投教需求覆盖购买前与持有期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6.2 投教内容的任务化组织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三组偏好形成一致的设计方向：内容侧重未来配置、当前风险和产品选择逻辑；形式侧重年龄或退休年份示例、资产配置表和简短说明；触达时点集中在首次了解、配置调整和市场波动。</w:t>
      </w:r>
      <w:r>
        <w:rPr>
          <w:rFonts w:ascii="Arial" w:hAnsi="Arial" w:eastAsia="Microsoft YaHei"/>
          <w:b/>
          <w:i w:val="0"/>
          <w:color w:val="183B56"/>
          <w:sz w:val="21"/>
        </w:rPr>
        <w:t>投教内容宜围绕关键决策节点组织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，并支持投资者完成相应判断。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531"/>
        <w:gridCol w:w="3515"/>
        <w:gridCol w:w="4365"/>
      </w:tblGrid>
      <w:tr>
        <w:trPr>
          <w:tblHeader w:val="true"/>
        </w:trPr>
        <w:tc>
          <w:tcPr>
            <w:tcW w:type="dxa" w:w="153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351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主要判断事项</w:t>
            </w:r>
          </w:p>
        </w:tc>
        <w:tc>
          <w:tcPr>
            <w:tcW w:type="dxa" w:w="436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建议表达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产品类型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目标日期型与目标风险型的差异及适用逻辑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简明区别 + 年龄/退休年份示例 + 风险类型说明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当前配置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当前资产构成及风险水平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当前资产配置表 + 风险边界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未来变化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未来配置变化及调整原因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简化下滑曲线 + 调整原因 + 非保本说明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波动解释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下跌原因及需要优先查看的信息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波动原因框架 + 当前配置 + FAQ；不提供操作建议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6.3 IMA 知识库的辅助定位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选择自行搜索知识库的受访者为 </w:t>
      </w:r>
      <w:r>
        <w:rPr>
          <w:rFonts w:ascii="Arial" w:hAnsi="Arial" w:eastAsia="Microsoft YaHei"/>
          <w:b/>
          <w:i w:val="0"/>
          <w:color w:val="183B56"/>
          <w:sz w:val="21"/>
        </w:rPr>
        <w:t>17/200（8.5%）</w:t>
      </w:r>
      <w:r>
        <w:rPr>
          <w:rFonts w:ascii="Arial" w:hAnsi="Arial" w:eastAsia="Microsoft YaHei"/>
          <w:b w:val="0"/>
          <w:i w:val="0"/>
          <w:color w:val="20313F"/>
          <w:sz w:val="21"/>
        </w:rPr>
        <w:t>，低于示例、表格、简短说明与 FAQ 等形式。IMA 知识库适合作为基础解释之后的延伸学习入口，不替代问卷或产品页面中的必要说明。当前工作流不启用自动检索，也不追踪点击或阅读时长。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/>
          <w:i w:val="0"/>
          <w:color w:val="183B56"/>
          <w:sz w:val="21"/>
        </w:rPr>
        <w:t>8.5%</w:t>
      </w:r>
      <w:r>
        <w:rPr>
          <w:rFonts w:ascii="Arial" w:hAnsi="Arial" w:eastAsia="Microsoft YaHei"/>
          <w:b w:val="0"/>
          <w:i w:val="0"/>
          <w:color w:val="20313F"/>
          <w:sz w:val="21"/>
        </w:rPr>
        <w:t xml:space="preserve"> 不代表知识库缺乏应用价值。知识库搜索需要投资者主动提出问题，更适合承接进一步学习需求；示例、配置表和简短说明则用于完成基础解释。产品页面应先提供完成当前判断所需的信息，再通过 IMA 链接支持更深入的金融知识学习。</w:t>
      </w:r>
    </w:p>
    <w:p>
      <w:pPr>
        <w:keepNext w:val="0"/>
        <w:spacing w:before="0" w:after="120" w:lineRule="auto" w:line="300"/>
        <w:jc w:val="center"/>
      </w:pPr>
      <w:r>
        <w:rPr>
          <w:rFonts w:ascii="Arial" w:hAnsi="Arial" w:eastAsia="Microsoft YaHei"/>
          <w:b/>
          <w:i w:val="0"/>
          <w:color w:val="1F6E8C"/>
          <w:sz w:val="21"/>
        </w:rPr>
        <w:t>延伸学习：</w:t>
      </w:r>
      <w:hyperlink r:id="rId19">
        <w:r>
          <w:rPr>
            <w:rFonts w:eastAsia="Microsoft YaHei"/>
            <w:color w:val="1F6E8C"/>
            <w:u w:val="single"/>
          </w:rPr>
          <w:t>易方达基金 IMA 知识库</w:t>
        </w:r>
      </w:hyperlink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七、研究结论与行动建议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EF4F6"/>
            <w:tcBorders>
              <w:top w:val="single" w:sz="14" w:color="1F6E8C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1F6E8C"/>
                <w:sz w:val="21"/>
              </w:rPr>
              <w:t>建议形成依据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四项研究发现共同表明，现有产品信息尚未形成贯穿购买前、持有期和市场波动阶段的完整判断框架。行动建议重点补充产品类型、配置路径、风险边界和波动解释，不以增加信息数量为主要目标。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7.1 优先行动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P0 为优先建设的基础能力，P1 为基础信息结构形成后继续建设的场景能力。优先级综合考虑各项行动对研究发现的覆盖范围及其可验证性。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907"/>
        <w:gridCol w:w="2268"/>
        <w:gridCol w:w="3458"/>
        <w:gridCol w:w="2778"/>
      </w:tblGrid>
      <w:tr>
        <w:trPr>
          <w:tblHeader w:val="true"/>
        </w:trPr>
        <w:tc>
          <w:tcPr>
            <w:tcW w:type="dxa" w:w="90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行动</w:t>
            </w:r>
          </w:p>
        </w:tc>
        <w:tc>
          <w:tcPr>
            <w:tcW w:type="dxa" w:w="345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解决的核心问题</w:t>
            </w:r>
          </w:p>
        </w:tc>
        <w:tc>
          <w:tcPr>
            <w:tcW w:type="dxa" w:w="277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重构购买页信息层级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区分产品关注信息与适配判断信息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观察投资者能否正确选择类型并说明依据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制作一页式配置与风险说明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连接当前配置、未来变化、调整原因和风险边界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材料前后使用同口径知识题，并要求复述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P1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建立波动场景解释模块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回应长期认同与短期焦虑并存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情境题检验投资者能否找到信息并形成正确解释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7.2 产品、服务与研究的职责边界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上述行动旨在支持投资者理解产品并形成判断，不替代投资者作出交易决定。产品信息、持有期服务、投资者教育和后续研究分别承担不同职责。职责边界不清可能导致解释材料被误读为产品推荐，也可能使调研结果被误用为适当性结论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01"/>
        <w:gridCol w:w="4025"/>
        <w:gridCol w:w="3685"/>
      </w:tblGrid>
      <w:tr>
        <w:trPr>
          <w:tblHeader w:val="true"/>
        </w:trPr>
        <w:tc>
          <w:tcPr>
            <w:tcW w:type="dxa" w:w="170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02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应承担的职责</w:t>
            </w:r>
          </w:p>
        </w:tc>
        <w:tc>
          <w:tcPr>
            <w:tcW w:type="dxa" w:w="368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不应替代什么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产品信息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说明类型、配置路径、风险边界与规则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不替代适当性判断或个性化投资建议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持有期服务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在配置变化和市场波动时提供可找到的解释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不推荐具体加仓、持有或赎回时点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投资者教育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把抽象机制翻译成场景、示例、表格和 FAQ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不把点击、停留或喜欢直接当作理解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后续研究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用材料任务、前后测或访谈验证理解与判断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不把本次描述性样本外推到市场总体</w:t>
            </w:r>
          </w:p>
        </w:tc>
      </w:tr>
    </w:tbl>
    <w:p>
      <w:pPr>
        <w:spacing w:after="4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E6F3EF"/>
            <w:tcBorders>
              <w:top w:val="single" w:sz="14" w:color="70AD47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70AD47"/>
                <w:sz w:val="21"/>
              </w:rPr>
              <w:t>近期实施建议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建议先制作一页式说明原型，覆盖产品类型选择、当前配置、未来变化和波动解释；随后使用本次四道知识题和一道情境判断题开展材料前后测试。确认理解水平改善后，再扩展内容和触达渠道。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A｜研究范围、样本与数据质量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A.1 研究范围</w:t>
      </w: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本研究面向实际购买过养老目标基金的投资者，覆盖购买路径、产品类型认知、下滑曲线、持有与波动应对、信息需求和投资者教育偏好。报告分析业务方于 2026 年 7 月 24 日回传的 200 份匿名答卷。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2"/>
        <w:gridCol w:w="1701"/>
        <w:gridCol w:w="2608"/>
      </w:tblGrid>
      <w:tr>
        <w:trPr>
          <w:tblHeader w:val="true"/>
        </w:trPr>
        <w:tc>
          <w:tcPr>
            <w:tcW w:type="dxa" w:w="5102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样本特征</w:t>
            </w:r>
          </w:p>
        </w:tc>
        <w:tc>
          <w:tcPr>
            <w:tcW w:type="dxa" w:w="170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人数</w:t>
            </w:r>
          </w:p>
        </w:tc>
        <w:tc>
          <w:tcPr>
            <w:tcW w:type="dxa" w:w="260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5"/>
              </w:rPr>
              <w:t>比例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目前仍在持有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144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72.0%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过去购买、目前全部赎回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50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25.0%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18至29 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33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16.5%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30至39 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63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31.5%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40至49 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70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35.0%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50至59 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34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17.0%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基金投资经验不足 1 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27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13.5%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基金投资经验 1至3 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81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40.5%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基金投资经验 4至6 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40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20.0%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基金投资经验 6 年以上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52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5"/>
              </w:rPr>
              <w:t>26.0%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未提供抽样框、发行渠道结构或总体分布，因此不加权、不作市场总体推断，也不使用显著性检验。年龄分群只作方向性比较，不生成客户标签。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A.2 数据有效性处理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268"/>
        <w:gridCol w:w="1814"/>
        <w:gridCol w:w="5329"/>
      </w:tblGrid>
      <w:tr>
        <w:trPr>
          <w:tblHeader w:val="true"/>
        </w:trPr>
        <w:tc>
          <w:tcPr>
            <w:tcW w:type="dxa" w:w="226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检查项</w:t>
            </w:r>
          </w:p>
        </w:tc>
        <w:tc>
          <w:tcPr>
            <w:tcW w:type="dxa" w:w="181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329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硬排除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份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未发现未同意、明显不符合资格、无实质数据或确认重复等硬排除情形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速度复核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12 份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不因单一速度信号删除；另做敏感性分析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互斥逻辑冲突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94 份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只移除与实质选项并存的互斥项，保留实质选择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字段映射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 个问题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35 个题组均可映射到问卷规格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高缺失/完全重复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均为 0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未触发排除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分析状态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带限制可分析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可用于内部分析；对外发布仍需人工复核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剔除 12 份速度标记后的关键指标与全部 200 份相比，绝对差异为 0.2 至 2.2 个百分点，主要结论稳定。开放题存在完全相同表述，只用于轻量主题计数，不作为逐字引语或独立真实性证明。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B｜研究问题与假设结论</w:t>
      </w:r>
    </w:p>
    <w:tbl>
      <w:tblPr>
        <w:tblW w:type="dxa" w:w="9468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814"/>
        <w:gridCol w:w="3685"/>
        <w:gridCol w:w="2835"/>
      </w:tblGrid>
      <w:tr>
        <w:trPr>
          <w:tblHeader w:val="true"/>
        </w:trPr>
        <w:tc>
          <w:tcPr>
            <w:tcW w:type="dxa" w:w="113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181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368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主要证据</w:t>
            </w:r>
          </w:p>
        </w:tc>
        <w:tc>
          <w:tcPr>
            <w:tcW w:type="dxa" w:w="283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解释边界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HYP-001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Q17/Q18 同时答对 79/200（39.5%）；单题正确率分别为 60.0% 和 61.5%。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知识题正确率只描述本次样本，不等于全部购买者认知水平。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HYP-002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部分支持，不同口径结果有落差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购买前主动把下滑曲线纳入比较仅 7/200（3.5%），但直接询问时有 102/200（51.0%）称其影响过决策。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不同题目提示强度和回忆方式不同，不能合并为单一使用率。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主动比较口径下不支持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主动比较中，退休年份 43.5%、风险类型 40.0%，均高于历史业绩 37.5%；最终最重要因素也是风险类型居首（20.5%）。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购买触发仍更多出现品牌/团队（31.5%）、费率/Y 份额（26.0%）和历史表现（25.5%），说明触发与最终判断并非同一层。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HYP-004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支持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持有期不确定性前三为未来配置变化 27.5%、当前风险 26.0%、配置调整原因 22.5%；最希望补充的内容首位是下滑曲线（31.0%）。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多选比例描述需求频次，不代表内容有效性或业务优先级已经获批。</w:t>
            </w:r>
          </w:p>
        </w:tc>
      </w:tr>
    </w:tbl>
    <w:p>
      <w:pPr>
        <w:spacing w:after="4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9638"/>
      </w:tblGrid>
      <w:tr>
        <w:trPr>
          <w:cantSplit/>
        </w:trPr>
        <w:tc>
          <w:tcPr>
            <w:tcW w:type="dxa" w:w="9638"/>
            <w:shd w:fill="FFF3D6"/>
            <w:tcBorders>
              <w:top w:val="single" w:sz="14" w:color="B7791F"/>
              <w:left w:val="single" w:sz="5" w:color="DCE5EA"/>
              <w:bottom w:val="single" w:sz="5" w:color="DCE5EA"/>
              <w:right w:val="single" w:sz="5" w:color="DCE5EA"/>
            </w:tcBorders>
            <w:tcMar>
              <w:top w:w="130" w:type="dxa"/>
              <w:start w:w="170" w:type="dxa"/>
              <w:bottom w:w="130" w:type="dxa"/>
              <w:end w:w="170" w:type="dxa"/>
            </w:tcMar>
            <w:vAlign w:val="center"/>
          </w:tcPr>
          <w:p>
            <w:pPr>
              <w:keepNext w:val="0"/>
              <w:spacing w:before="0" w:after="0" w:lineRule="auto" w:line="288"/>
            </w:pPr>
            <w:r>
              <w:rPr>
                <w:rFonts w:ascii="Arial" w:hAnsi="Arial" w:eastAsia="Microsoft YaHei"/>
                <w:b/>
                <w:i w:val="0"/>
                <w:color w:val="B7791F"/>
                <w:sz w:val="21"/>
              </w:rPr>
              <w:t>补充分析边界</w:t>
            </w:r>
            <w:r>
              <w:rPr>
                <w:rFonts w:ascii="Arial" w:hAnsi="Arial" w:eastAsia="Microsoft YaHei"/>
                <w:b w:val="0"/>
                <w:i w:val="0"/>
                <w:color w:val="20313F"/>
                <w:sz w:val="20"/>
              </w:rPr>
              <w:br/>
              <w:t>“长期/理解信号”与“焦虑/不明信号”是根据 Q23 多选答案构造的描述性回答信号，不是经过信效度检验的心理量表，也不用于因果推断。其价值是证明两类回答可以在同一受访者身上共现。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C｜年龄差异只作方向性线索</w:t>
      </w:r>
    </w:p>
    <w:p>
      <w:pPr>
        <w:keepNext w:val="0"/>
        <w:spacing w:before="0" w:after="4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57378"/>
            <wp:docPr id="7" name="Picture 7" descr="热力图。四个年龄组在产品类型知识、下滑曲线知识、短视频偏好、年龄或退休年份示例偏好和资产配置表偏好上存在描述性差异，未进行显著性检验。" title="图 7　年龄组的认知与形式偏好仅作描述性比较，不用于客户打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ge_heatmap_v1.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5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Rule="auto" w:line="240"/>
        <w:jc w:val="center"/>
      </w:pPr>
      <w:r>
        <w:rPr>
          <w:rFonts w:ascii="Arial" w:hAnsi="Arial" w:eastAsia="Microsoft YaHei"/>
          <w:b w:val="0"/>
          <w:i w:val="0"/>
          <w:color w:val="60717D"/>
          <w:sz w:val="17"/>
        </w:rPr>
        <w:t>图 7　年龄组的认知与形式偏好仅作描述性比较，不用于客户打标</w:t>
      </w:r>
      <w:r>
        <w:rPr>
          <w:rFonts w:ascii="Arial" w:hAnsi="Arial" w:eastAsia="Microsoft YaHei"/>
          <w:b w:val="0"/>
          <w:i w:val="0"/>
          <w:color w:val="60717D"/>
          <w:sz w:val="14"/>
        </w:rPr>
        <w:br/>
        <w:t>数据来源：FOF问卷回答_200人.csv；使用经校正的分析结果，未加权。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01"/>
        <w:gridCol w:w="737"/>
        <w:gridCol w:w="2041"/>
        <w:gridCol w:w="2098"/>
        <w:gridCol w:w="2835"/>
      </w:tblGrid>
      <w:tr>
        <w:trPr>
          <w:tblHeader w:val="true"/>
        </w:trPr>
        <w:tc>
          <w:tcPr>
            <w:tcW w:type="dxa" w:w="170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年龄组</w:t>
            </w:r>
          </w:p>
        </w:tc>
        <w:tc>
          <w:tcPr>
            <w:tcW w:type="dxa" w:w="737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204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产品类型两题均答对</w:t>
            </w:r>
          </w:p>
        </w:tc>
        <w:tc>
          <w:tcPr>
            <w:tcW w:type="dxa" w:w="209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下滑曲线两题均答对</w:t>
            </w:r>
          </w:p>
        </w:tc>
        <w:tc>
          <w:tcPr>
            <w:tcW w:type="dxa" w:w="283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方向性线索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18至29 岁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33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27.3%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短视频偏好 42.4%；选择逻辑需求 33.3%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30至39 岁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63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41.3%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54.0%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下滑曲线需求 33.3%；当前配置/风险 30.2%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40至49 岁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70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48.6%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40.0%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下滑曲线需求 37.1%；Y 份额规则 20.0%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50至59 岁</w:t>
            </w:r>
          </w:p>
        </w:tc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34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29.4%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44.1%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年龄示例 41.2%；资产配置表 32.4%</w:t>
            </w:r>
          </w:p>
        </w:tc>
      </w:tr>
    </w:tbl>
    <w:p>
      <w:pPr>
        <w:spacing w:after="40"/>
      </w:pPr>
    </w:p>
    <w:p>
      <w:pPr>
        <w:keepNext w:val="0"/>
        <w:spacing w:before="0" w:after="100" w:lineRule="auto" w:line="300"/>
        <w:ind w:left="0"/>
      </w:pPr>
      <w:r>
        <w:rPr>
          <w:rFonts w:ascii="Arial" w:hAnsi="Arial" w:eastAsia="Microsoft YaHei"/>
          <w:b w:val="0"/>
          <w:i w:val="0"/>
          <w:color w:val="20313F"/>
          <w:sz w:val="21"/>
        </w:rPr>
        <w:t>上述差异没有经过显著性检验，且样本来源未知。它们可以用于下一轮材料原型的优先级选择，但不能写成稳定人群特征，也不能用于客户画像打标。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D｜核心口径与敏感性分析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814"/>
        <w:gridCol w:w="4025"/>
        <w:gridCol w:w="3572"/>
      </w:tblGrid>
      <w:tr>
        <w:trPr>
          <w:tblHeader w:val="true"/>
        </w:trPr>
        <w:tc>
          <w:tcPr>
            <w:tcW w:type="dxa" w:w="1814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402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3572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7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听说过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自报至少知道该术语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不能替代实际查看或理解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看过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自报接触过相关信息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不能替代主动比较或正确理解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主动比较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购买前将该信息选为认真比较因素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不能替代最终最重要因素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提示后自报影响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在直接提示后回忆其影响购买、类型或持有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不能与无提示主动比较率合并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知识理解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按预定义答案判断知识题是否答对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不能推断真实投资能力或适当性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回答信号共现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同一受访者同时选择两类预定义答案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不能当作心理量表或因果关系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信息偏好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多选题中表达希望的内容、形式或时点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7"/>
              </w:rPr>
              <w:t>不能证明材料有效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1F6E8C"/>
          <w:sz w:val="25"/>
        </w:rPr>
        <w:t>敏感性分析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3515"/>
        <w:gridCol w:w="1928"/>
        <w:gridCol w:w="2268"/>
        <w:gridCol w:w="1701"/>
      </w:tblGrid>
      <w:tr>
        <w:trPr>
          <w:tblHeader w:val="true"/>
        </w:trPr>
        <w:tc>
          <w:tcPr>
            <w:tcW w:type="dxa" w:w="3515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92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全部 200 份</w:t>
            </w:r>
          </w:p>
        </w:tc>
        <w:tc>
          <w:tcPr>
            <w:tcW w:type="dxa" w:w="2268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剔除 12 份速度标记</w:t>
            </w:r>
          </w:p>
        </w:tc>
        <w:tc>
          <w:tcPr>
            <w:tcW w:type="dxa" w:w="1701"/>
            <w:vAlign w:val="center"/>
            <w:shd w:fill="183B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8"/>
              </w:rPr>
              <w:t>差异（百分点）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Q17 正确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62.2%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2.2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Q18 正确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61.5%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60.6%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Q19 正确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63.5%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63.3%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Q20 正确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62.0%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61.7%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比较退休年份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43.5%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43.1%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比较风险类型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40.0%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41.0%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希望了解下滑曲线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31.4%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8"/>
              </w:rPr>
              <w:t>0.4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183B56"/>
          <w:sz w:val="32"/>
        </w:rPr>
        <w:t>附录 E｜文件与可追溯信息</w:t>
      </w:r>
    </w:p>
    <w:tbl>
      <w:tblPr>
        <w:tblW w:type="dxa" w:w="941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2381"/>
        <w:gridCol w:w="7030"/>
      </w:tblGrid>
      <w:tr>
        <w:trPr>
          <w:tblHeader w:val="true"/>
        </w:trPr>
        <w:tc>
          <w:tcPr>
            <w:tcW w:type="dxa" w:w="2381"/>
            <w:vAlign w:val="center"/>
            <w:shd w:fill="183B5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7030"/>
            <w:vAlign w:val="center"/>
            <w:shd w:fill="183B56"/>
            <w:tcMar>
              <w:top w:w="45" w:type="dxa"/>
              <w:start w:w="100" w:type="dxa"/>
              <w:bottom w:w="45" w:type="dxa"/>
              <w:end w:w="100" w:type="dxa"/>
            </w:tcMar>
          </w:tcPr>
          <w:p>
            <w:pPr>
              <w:keepNext w:val="0"/>
              <w:spacing w:before="0" w:after="0" w:lineRule="auto" w:line="240"/>
              <w:jc w:val="center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16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来源文件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FOF问卷回答_200人.csv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来源文件 SHA-256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a5d531ac3fac82e284014c13558dce55868df817d67121b0fe61ce1804d36b4f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基础分析产物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analysis-results.v0.1.0.json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态度补充分析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attitude-analysis.v1.1.json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问卷规格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INS-OTF-SURVEY-001 v0.2.0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个人数据处理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报告未使用平台 IP、地区、设备与 UA 字段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发布状态</w:t>
            </w:r>
          </w:p>
        </w:tc>
        <w:tc>
          <w:tcPr>
            <w:tcW w:type="dxa" w:w="7030"/>
            <w:vAlign w:val="center"/>
            <w:tcMar>
              <w:top w:w="45" w:type="dxa"/>
              <w:start w:w="100" w:type="dxa"/>
              <w:bottom w:w="45" w:type="dxa"/>
              <w:end w:w="100" w:type="dxa"/>
            </w:tcMar>
            <w:shd w:fill="EEF4F6"/>
            <w:tcBorders>
              <w:top w:val="single" w:sz="4" w:color="DCE5EA"/>
              <w:left w:val="single" w:sz="4" w:color="DCE5EA"/>
              <w:bottom w:val="single" w:sz="4" w:color="DCE5EA"/>
              <w:right w:val="single" w:sz="4" w:color="DCE5EA"/>
            </w:tcBorders>
          </w:tcPr>
          <w:p>
            <w:pPr>
              <w:keepNext w:val="0"/>
              <w:spacing w:before="0" w:after="0" w:lineRule="auto" w:line="252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20313F"/>
                <w:sz w:val="16"/>
              </w:rPr>
              <w:t>内部分析增强版；对外发布前仍需业务、研究与合规人工复核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0717D"/>
        <w:sz w:val="17"/>
      </w:rPr>
      <w:t xml:space="preserve">第 </w:t>
    </w:r>
    <w:fldSimple w:instr="PAGE">
      <w:r>
        <w:rPr>
          <w:rFonts w:eastAsia="Microsoft YaHei"/>
          <w:sz w:val="17"/>
          <w:color w:val="60717D"/>
        </w:rPr>
      </w:r>
    </w:fldSimple>
    <w:r>
      <w:rPr>
        <w:rFonts w:ascii="Arial" w:hAnsi="Arial" w:eastAsia="Microsoft YaHei"/>
        <w:b w:val="0"/>
        <w:i w:val="0"/>
        <w:color w:val="60717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/>
        <w:i w:val="0"/>
        <w:color w:val="60717D"/>
        <w:sz w:val="16"/>
      </w:rPr>
      <w:t>养老目标基金购买者研究｜投资者态度分析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Microsoft YaHei"/>
      <w:color w:val="20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6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ind w:left="680" w:hanging="198"/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8" w:hanging="238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rPr>
      <w:rFonts w:ascii="Microsoft YaHei" w:hAnsi="Microsoft YaHei" w:eastAsia="Microsoft YaHei"/>
      <w:color w:val="6071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ima.qq.com/wiki/?shareId=3f82c28e1844208f0d4489f0ef3057c012f070cdce772a8ee050212c899234fc" TargetMode="External"/><Relationship Id="rId2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养老目标基金购买者调研分析报告</dc:title>
  <dc:subject>投资者态度、研究发现、产品沟通与投资者教育建议</dc:subject>
  <dc:creator>AI 辅助用户研究工作流</dc:creator>
  <cp:keywords>养老目标基金, FOF, 用户研究, 投资者态度, 投资者教育</cp:keywords>
  <dc:description>正式报告版；外发前需业务、研究与合规人工复核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