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760" w:after="360" w:lineRule="auto" w:line="240"/>
        <w:jc w:val="center"/>
      </w:pPr>
      <w:r>
        <w:rPr>
          <w:rFonts w:ascii="Arial" w:hAnsi="Arial" w:eastAsia="Microsoft YaHei"/>
          <w:b/>
          <w:i w:val="0"/>
          <w:color w:val="B7791F"/>
          <w:sz w:val="18"/>
        </w:rPr>
        <w:t>INVESTOR ATTITUDE ANALYSIS  /  2026.07</w:t>
      </w:r>
    </w:p>
    <w:p>
      <w:pPr>
        <w:keepNext w:val="0"/>
        <w:spacing w:before="0" w:after="0" w:lineRule="auto" w:line="240"/>
        <w:jc w:val="center"/>
      </w:pPr>
      <w:r>
        <w:rPr>
          <w:rFonts w:ascii="Arial" w:hAnsi="Arial" w:eastAsia="Microsoft YaHei"/>
          <w:b/>
          <w:i w:val="0"/>
          <w:color w:val="183B56"/>
          <w:sz w:val="58"/>
        </w:rPr>
        <w:t>养老目标基金购买者</w:t>
      </w:r>
    </w:p>
    <w:p>
      <w:pPr>
        <w:keepNext w:val="0"/>
        <w:spacing w:before="0" w:after="260" w:lineRule="auto" w:line="240"/>
        <w:jc w:val="center"/>
      </w:pPr>
      <w:r>
        <w:rPr>
          <w:rFonts w:ascii="Arial" w:hAnsi="Arial" w:eastAsia="Microsoft YaHei"/>
          <w:b/>
          <w:i w:val="0"/>
          <w:color w:val="183B56"/>
          <w:sz w:val="58"/>
        </w:rPr>
        <w:t>调研分析报告</w:t>
      </w:r>
    </w:p>
    <w:p>
      <w:pPr>
        <w:keepNext w:val="0"/>
        <w:spacing w:before="0" w:after="6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22"/>
        </w:rPr>
        <w:t>分析先行 · 态度判断 · 证据支撑 · 投教行动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3141"/>
        <w:gridCol w:w="3135"/>
        <w:gridCol w:w="3135"/>
      </w:tblGrid>
      <w:tr>
        <w:tc>
          <w:tcPr>
            <w:tcW w:type="dxa" w:w="3141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样本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200 份有效分析答卷</w:t>
            </w:r>
          </w:p>
        </w:tc>
        <w:tc>
          <w:tcPr>
            <w:tcW w:type="dxa" w:w="3135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研究对象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实际购买过养老目标基金</w:t>
            </w:r>
          </w:p>
        </w:tc>
        <w:tc>
          <w:tcPr>
            <w:tcW w:type="dxa" w:w="3135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版本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分析增强版 v1.1</w:t>
            </w:r>
          </w:p>
        </w:tc>
      </w:tr>
    </w:tbl>
    <w:p>
      <w:pPr>
        <w:keepNext w:val="0"/>
        <w:spacing w:before="900" w:after="200" w:lineRule="auto" w:line="276"/>
        <w:jc w:val="center"/>
      </w:pPr>
      <w:r>
        <w:rPr>
          <w:rFonts w:ascii="Arial" w:hAnsi="Arial" w:eastAsia="Microsoft YaHei"/>
          <w:b/>
          <w:i w:val="0"/>
          <w:color w:val="20313F"/>
          <w:sz w:val="24"/>
        </w:rPr>
        <w:t>核心判断：投资者接受了养老投资逻辑，但尚未形成稳定、可主动调用的判断框架。</w:t>
      </w:r>
    </w:p>
    <w:p>
      <w:pPr>
        <w:keepNext w:val="0"/>
        <w:spacing w:before="0" w:after="0" w:lineRule="auto" w:line="300"/>
        <w:jc w:val="center"/>
      </w:pPr>
      <w:r>
        <w:rPr>
          <w:rFonts w:ascii="Arial" w:hAnsi="Arial" w:eastAsia="Microsoft YaHei"/>
          <w:b w:val="0"/>
          <w:i w:val="0"/>
          <w:color w:val="60717D"/>
          <w:sz w:val="16"/>
        </w:rPr>
        <w:t>说明：本报告描述本次回传样本，不代表市场总体；不构成产品推荐、适当性判断或投资建议。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分析结论先行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总判断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次样本的主要矛盾不是“完全不知道养老目标基金”，而是已经购买、持有并认可长期逻辑，却缺少一套能在选产品、看配置和遇到波动时稳定调用的判断框架。业务重点因此不应停留在增加术语曝光，而应帮助投资者完成具体判断。</w:t>
            </w:r>
          </w:p>
        </w:tc>
      </w:tr>
    </w:tbl>
    <w:p>
      <w:pPr>
        <w:spacing w:after="20"/>
      </w:pPr>
    </w:p>
    <w:tbl>
      <w:tblPr>
        <w:tblW w:type="dxa" w:w="9412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EF4F6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1F6E8C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34"/>
              </w:rPr>
              <w:t>72.0%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目前仍在持有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接受已发生</w:t>
            </w:r>
          </w:p>
        </w:tc>
        <w:tc>
          <w:tcPr>
            <w:tcW w:type="dxa" w:w="2353"/>
            <w:shd w:fill="E8F5F1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2A9D8F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2A9D8F"/>
                <w:sz w:val="34"/>
              </w:rPr>
              <w:t>20.0%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四题全部答对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理解不稳定</w:t>
            </w:r>
          </w:p>
        </w:tc>
        <w:tc>
          <w:tcPr>
            <w:tcW w:type="dxa" w:w="2353"/>
            <w:shd w:fill="FFF3E8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C85C1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85C1A"/>
                <w:sz w:val="34"/>
              </w:rPr>
              <w:t>3.5%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主动比较下滑曲线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使用未形成</w:t>
            </w:r>
          </w:p>
        </w:tc>
        <w:tc>
          <w:tcPr>
            <w:tcW w:type="dxa" w:w="2353"/>
            <w:shd w:fill="F1EAF7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7C5C99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7C5C99"/>
                <w:sz w:val="34"/>
              </w:rPr>
              <w:t>22.3%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长期与焦虑共现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态度有张力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五个投资者态度判断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474"/>
        <w:gridCol w:w="1984"/>
        <w:gridCol w:w="3061"/>
        <w:gridCol w:w="2891"/>
      </w:tblGrid>
      <w:tr>
        <w:trPr>
          <w:tblHeader w:val="true"/>
        </w:trPr>
        <w:tc>
          <w:tcPr>
            <w:tcW w:type="dxa" w:w="147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198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态度判断</w:t>
            </w:r>
          </w:p>
        </w:tc>
        <w:tc>
          <w:tcPr>
            <w:tcW w:type="dxa" w:w="306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关键证据</w:t>
            </w:r>
          </w:p>
        </w:tc>
        <w:tc>
          <w:tcPr>
            <w:tcW w:type="dxa" w:w="289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分析含义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产品态度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接受先于理解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目前仍持有 72.0%；四题全对 20.0%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购买行为已经发生，但跨概念理解没有同步稳定。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决策态度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触发与判断分层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品牌/费率/业绩触发关注；退休年份/风险类型进入比较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同一页信息需要同时完成吸引注意与支持适配判断。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工具态度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被动知晓高于主动使用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听说过下滑曲线 62.5%；主动比较 3.5%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术语认知不能替代购买场景中的主动调用。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持有态度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长期认同与短期焦虑并存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波动经历者中，两类信号同人共现 22.3%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投教既要讲长期，也要解释当下风险和下跌原因。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学习态度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需要决策支持而非术语堆砌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最需要未来配置、当前风险与选择逻辑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内容应围绕任务和场景组织，而非按概念百科组织。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这份报告回答什么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以下正文不再逐题复述结果，而是围绕四个核心矛盾展开：为什么购买接受早于机制理解、为什么关注触发与最终判断不同、为什么下滑曲线“知道但不主动用”、以及为什么长期认同和短期焦虑会同时存在。每个判断后再给数据证据、解释边界和业务含义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一、投资者态度全景：接受已经发生，判断框架尚未稳定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5963"/>
            <wp:docPr id="1" name="Picture 1" descr="四卡片图。72.0%目前仍持有，说明产品接受已发生；20.0%四道知识题全部答对，说明机制理解不稳定；3.5%购买前主动比较下滑曲线，说明主动使用未形成；30.5%在波动时先查信息或咨询，说明投资者需要决策支持。" title="图 1　投资者态度的四个并列观察；各指标口径不同，不构成漏斗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attitude_overview_v1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1　投资者态度的四个并列观察；各指标口径不同，不构成漏斗（n=200）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1.1 态度不是“喜欢或不喜欢”，而是能否稳定判断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仅用购买率、持有率或主观熟悉度，很容易把投资者描述成“认可产品”；仅用知识题，又容易把他们描述成“不了解产品”。两者都只说对了一部分。更完整的判断是：投资者已经用行为表达了接受，但对产品类型、配置路径和风险边界的理解尚未连成一套稳定框架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这个框架缺口会在三个节点暴露：购买时依赖品牌、业绩或推荐进入关注；比较时更需要退休年份和风险类型匹配；波动时又回到“为什么跌、现在风险多大、未来会怎样变”的解释需求。研究的业务价值就在于把这三个节点连起来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分析结论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投资者并非缺少所有信息，而是缺少把分散信息组织成决策的方式。产品说明和投教材料都应围绕“我该选什么—现在持有什么—未来怎样变—波动如何理解”形成连续链条。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二、核心矛盾一：购买接受早于机制理解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2.1 数据证据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样本全部自报目前或过去购买过养老目标基金，72.0%目前仍在持有；但四道产品与机制知识题全部答对者只有 40/200（20.0%）。答对 3 题者最多，占 33.0%；答对 2 题占 25.5%。这不是“完全不了解”，而是多数人掌握了部分概念，却没有稳定跨过所有关键边界。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08515"/>
            <wp:docPr id="2" name="Picture 2" descr="左图为四道知识题答对题数分布：0题4.5%，1题17.0%，2题25.5%，3题33.0%，4题20.0%。右图显示购买前无提示主动比较下滑曲线3.5%，直接提示后自报影响决定51.0%；两个比例不能直接合并。" title="图 2　知识掌握与下滑曲线使用口径；右图两个比例来自不同提问方式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knowledge_behavior_gap_v1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2　知识掌握与下滑曲线使用口径；右图两个比例来自不同提问方式（n=200）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2.2 态度解释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购买行为可以在“部分理解”下发生。用户可能先基于品牌、历史表现、费率、推荐或操作便利做出选择，再在持有过程中逐步接触产品机制。因此，“买过”只能说明接受了某个选择，不等于能解释目标日期、目标风险、下滑曲线与非保本边界之间的关系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对产品设计的含义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产品信息不应只证明“这个产品值得关注”，还要帮助用户完成至少三次判断：产品类型是否匹配、当前与未来配置是什么、降低高波动资产后仍存在哪些风险。理解题应围绕这些判断，而不是考术语记忆。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三、核心矛盾二：关注触发与最终判断不是同一套因素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3.1 数据证据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3" name="Picture 3" descr="三栏排序图。购买触发前三为品牌或团队31.5%、费率或Y份额26.0%、历史表现25.5%；主动比较前三为退休年份43.5%、风险类型40.0%、历史表现37.5%；最终最重要前三为风险类型20.5%、历史表现13.0%、退休年份11.0%。" title="图 3　购买触发、主动比较与最终判断的前三项；Q6/Q8 为多选，Q9 为单选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path_v1.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3　购买触发、主动比较与最终判断的前三项；Q6/Q8 为多选，Q9 为单选（n=200）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4592"/>
        <w:gridCol w:w="3061"/>
      </w:tblGrid>
      <w:tr>
        <w:trPr>
          <w:tblHeader w:val="true"/>
        </w:trPr>
        <w:tc>
          <w:tcPr>
            <w:tcW w:type="dxa" w:w="175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决策阶段</w:t>
            </w:r>
          </w:p>
        </w:tc>
        <w:tc>
          <w:tcPr>
            <w:tcW w:type="dxa" w:w="4592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主要因素</w:t>
            </w:r>
          </w:p>
        </w:tc>
        <w:tc>
          <w:tcPr>
            <w:tcW w:type="dxa" w:w="306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态度含义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进入关注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品牌/团队 31.5%；费率或 Y 份额 26.0%；历史表现 25.5%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先判断是否值得进一步看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主动比较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退休年份 43.5%；风险类型 40.0%；历史表现 37.5%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开始寻找与个人情况的匹配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最终最重要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风险类型 20.5%；历史表现 13.0%；退休年份 11.0%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单项判断中，风险匹配居首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3.2 态度解释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投资者不是用一套固定标准从头走到尾。品牌、费率和历史表现更像“注意力入口”；真正进入比较后，退休年份和风险类型承担“这个产品是否适合我”的解释功能。若产品页面只强化入口因素，用户可能愿意点开，却仍无法形成有依据的选择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对信息架构的含义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建议把购买页分为两层：第一层用简洁信息回答“为什么值得看”；第二层紧接着回答“我该选哪类、依据是什么”。入口信息可以突出，但不能挤掉适配判断和风险边界。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四、核心矛盾三：下滑曲线被动知晓，但尚未成为主动工具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4.1 同一个术语出现了四种不同口径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268"/>
        <w:gridCol w:w="2381"/>
        <w:gridCol w:w="4762"/>
      </w:tblGrid>
      <w:tr>
        <w:trPr>
          <w:tblHeader w:val="true"/>
        </w:trPr>
        <w:tc>
          <w:tcPr>
            <w:tcW w:type="dxa" w:w="226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38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762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分析解释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听说过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125/200（62.5%）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说明术语有一定曝光，不等于看过或理解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88/200（44.0%）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包括大致看过和认真看过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购买前主动比较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7/200（3.5%）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无提示购买比较中的主动调用很弱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提示后自报影响决定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102/200（51.0%）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直接提示后的回忆性归因，不能替代主动使用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两道相关知识题均答对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86/200（43.0%）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理解口径，与看过和使用分开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0078"/>
            <wp:docPr id="4" name="Picture 4" descr="横向条形图。听说过下滑曲线62.5%，购买前看过44.0%，持有期看过30.0%，主动比较过3.5%；提示后自报影响决策51.0%，两道相关知识题均答对43.0%。" title="图 4　知晓、接触、主动使用、提示后自报与理解是不同层次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lide_v1.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4　知晓、接触、主动使用、提示后自报与理解是不同层次（n=200）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4.2 提示效应比“使用率矛盾”更值得关注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在 102 名提示后自报下滑曲线影响过决定的人中，有 97 人没有在前面的无提示比较题中选择下滑曲线，占 95.1%。由于两题提示强度、题型和选项上限不同，这不能判定回答虚假；更合理的解释是：术语被点名后容易获得认可，但在真实比较任务中尚未进入前几位。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分析结论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下滑曲线当前更接近“被提醒时认得”而不是“需要时会主动用”。改进重点不是继续增加术语曝光，而是把它翻译成可执行问题：我现在持有什么、未来会怎样变、为什么这样变、这是否代表不会亏损。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五、核心矛盾四：长期认同与短期焦虑在同一人身上共存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5.1 不是两群人，而是同一种复杂态度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20390"/>
            <wp:docPr id="5" name="Picture 5" descr="堆叠条形图。42.7%仅出现长期或理解正常波动信号，22.3%同时出现长期理解与焦虑不明信号，22.9%仅出现焦虑不明信号，12.1%两类信号均未出现。" title="图 5　波动经历者中的长期/理解信号与焦虑/不明信号（Q23 多选，n=157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olding_tension_v1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5　波动经历者中的长期/理解信号与焦虑/不明信号（Q23 多选，n=157）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在经历过最近一次明显下跌的 157 人中，65.0%至少选择了“长期养老、愿意持有”或“理解净值波动可能正常”；45.2%至少选择了“担心继续亏损”或“不清楚为什么下跌”。其中 35 人（22.3%）两类信号同时出现。长期认同不是焦虑的反义词，理解正常波动也不代表没有情绪压力。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5.2 波动时，解释处在操作之前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4025"/>
        <w:gridCol w:w="1134"/>
        <w:gridCol w:w="1247"/>
        <w:gridCol w:w="3005"/>
      </w:tblGrid>
      <w:tr>
        <w:trPr>
          <w:tblHeader w:val="true"/>
        </w:trPr>
        <w:tc>
          <w:tcPr>
            <w:tcW w:type="dxa" w:w="402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最近一次明显下跌时的主要做法</w:t>
            </w:r>
          </w:p>
        </w:tc>
        <w:tc>
          <w:tcPr>
            <w:tcW w:type="dxa" w:w="113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type="dxa" w:w="124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比例</w:t>
            </w:r>
          </w:p>
        </w:tc>
        <w:tc>
          <w:tcPr>
            <w:tcW w:type="dxa" w:w="300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态度含义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先查询信息或咨询他人，再决定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30.5%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需要先形成解释再行动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继续持有，没有操作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46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23.0%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长期定位或暂不行动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追加购买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22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11.0%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以行动表达判断</w:t>
            </w:r>
          </w:p>
        </w:tc>
      </w:tr>
      <w:tr>
        <w:trPr>
          <w:cantSplit/>
        </w:trPr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部分或全部赎回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28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14.0%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风险压力已转化为退出行为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另有 43/200（21.5%）表示没有经历过明显下跌或记不清，因此不进入 Q23 理由分析。</w:t>
      </w: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对持有期服务的含义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只讲“长期持有”不足以回应投资者。波动沟通需要同时解释：本次下跌来自什么、当前配置和风险水平如何、下滑曲线是否按原逻辑运行、哪些风险仍然存在。说明应支持判断，但不能变成具体加仓、持有或赎回建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六、投资者真正想要的是决策支持，而不是更多术语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6.1 内容、形式与时点形成了同一条需求链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7503"/>
            <wp:docPr id="6" name="Picture 6" descr="三栏排序图。优先内容首位为未来配置或下滑曲线31.0%；偏好形式首位为结合年龄或退休年份举例30.0%；希望时点首位为第一次了解产品时31.5%。" title="图 6　投教内容、形式与时点偏好（多选，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ducation_v1.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7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6　投教内容、形式与时点偏好（多选，n=200）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4535"/>
        <w:gridCol w:w="3118"/>
      </w:tblGrid>
      <w:tr>
        <w:trPr>
          <w:tblHeader w:val="true"/>
        </w:trPr>
        <w:tc>
          <w:tcPr>
            <w:tcW w:type="dxa" w:w="175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453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首要信号</w:t>
            </w:r>
          </w:p>
        </w:tc>
        <w:tc>
          <w:tcPr>
            <w:tcW w:type="dxa" w:w="311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分析结论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想了解什么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未来配置/下滑曲线 31.0%；当前配置与风险 26.0%；选择逻辑 25.5%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用户关心的是如何判断，不是术语数量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怎样更好理解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年龄/退休年份示例 30.0%；资产配置表 24.5%；一句话说明 24.0%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抽象概念要被翻译成个人情境和配置变化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什么时候需要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首次了解 31.5%；配置调整 26.5%；市场波动 24.5%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投教应贯穿购买前和持有期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6.2 建议把投教设计成四个连续任务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531"/>
        <w:gridCol w:w="3515"/>
        <w:gridCol w:w="4365"/>
      </w:tblGrid>
      <w:tr>
        <w:trPr>
          <w:tblHeader w:val="true"/>
        </w:trPr>
        <w:tc>
          <w:tcPr>
            <w:tcW w:type="dxa" w:w="153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351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投资者要回答的问题</w:t>
            </w:r>
          </w:p>
        </w:tc>
        <w:tc>
          <w:tcPr>
            <w:tcW w:type="dxa" w:w="436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建议表达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选哪类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目标日期型还是目标风险型，和我有什么关系？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简明区别 + 年龄/退休年份示例 + 风险类型说明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看现在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我现在持有哪些资产，承担多大风险？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当前资产配置表 + 风险边界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看未来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未来配置怎样变化，为什么调整？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简化下滑曲线 + 调整原因 + 非保本说明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看波动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下跌意味着什么，我应该先看什么？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波动原因框架 + 当前配置 + FAQ；不提供操作建议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6.3 IMA 的位置：次级学习桥梁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自行搜索知识库的偏好为 17/200（8.5%），明显低于示例、表格、简短说明与 FAQ。因此 IMA 适合放在必要解释之后，作为“想继续了解金融常识”的次级入口；它不能替代问卷或产品页面内必须完成的解释。当前工作流不启用自动检索，也不追踪点击或阅读时长。</w:t>
      </w:r>
    </w:p>
    <w:p>
      <w:pPr>
        <w:keepNext w:val="0"/>
        <w:spacing w:before="0" w:after="120" w:lineRule="auto" w:line="300"/>
        <w:jc w:val="center"/>
      </w:pPr>
      <w:r>
        <w:rPr>
          <w:rFonts w:ascii="Arial" w:hAnsi="Arial" w:eastAsia="Microsoft YaHei"/>
          <w:b/>
          <w:i w:val="0"/>
          <w:color w:val="1F6E8C"/>
          <w:sz w:val="21"/>
        </w:rPr>
        <w:t>延伸学习：</w:t>
      </w:r>
      <w:hyperlink r:id="rId19">
        <w:r>
          <w:rPr>
            <w:rFonts w:eastAsia="Microsoft YaHei"/>
            <w:color w:val="1F6E8C"/>
            <w:u w:val="single"/>
          </w:rPr>
          <w:t>易方达基金 IMA 知识库</w:t>
        </w:r>
      </w:hyperlink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七、从分析到行动：优先建设“判断框架”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7.1 三项优先行动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907"/>
        <w:gridCol w:w="2268"/>
        <w:gridCol w:w="3458"/>
        <w:gridCol w:w="2778"/>
      </w:tblGrid>
      <w:tr>
        <w:trPr>
          <w:tblHeader w:val="true"/>
        </w:trPr>
        <w:tc>
          <w:tcPr>
            <w:tcW w:type="dxa" w:w="90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行动</w:t>
            </w:r>
          </w:p>
        </w:tc>
        <w:tc>
          <w:tcPr>
            <w:tcW w:type="dxa" w:w="345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解决的核心问题</w:t>
            </w:r>
          </w:p>
        </w:tc>
        <w:tc>
          <w:tcPr>
            <w:tcW w:type="dxa" w:w="277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P0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重构购买页信息层级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把“值得看”与“适不适合我”分开表达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观察用户能否正确选择类型并说明依据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P0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制作一页式配置与风险说明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连接当前配置、未来变化、调整原因和风险边界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材料前后使用同口径知识题，并要求复述</w:t>
            </w:r>
          </w:p>
        </w:tc>
      </w:tr>
      <w:tr>
        <w:trPr>
          <w:cantSplit/>
        </w:trP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P1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建立波动场景解释模块</w:t>
            </w:r>
          </w:p>
        </w:tc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回应长期认同与短期焦虑并存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情境题检验用户能否找到信息并形成正确解释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7.2 产品、服务与研究的职责边界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01"/>
        <w:gridCol w:w="4025"/>
        <w:gridCol w:w="3685"/>
      </w:tblGrid>
      <w:tr>
        <w:trPr>
          <w:tblHeader w:val="true"/>
        </w:trPr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402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应承担的职责</w:t>
            </w:r>
          </w:p>
        </w:tc>
        <w:tc>
          <w:tcPr>
            <w:tcW w:type="dxa" w:w="368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不应替代什么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产品信息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说明类型、配置路径、风险边界与规则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不替代适当性判断或个性化投资建议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持有期服务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在配置变化和市场波动时提供可找到的解释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不推荐具体加仓、持有或赎回时点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投资者教育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把抽象机制翻译成场景、示例、表格和 FAQ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不把点击、停留或喜欢直接当作理解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后续研究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用材料任务、前后测或访谈验证理解与判断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不把本次描述性样本外推到市场总体</w:t>
            </w:r>
          </w:p>
        </w:tc>
      </w:tr>
    </w:tbl>
    <w:p>
      <w:pPr>
        <w:spacing w:after="40"/>
      </w:pP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建议的最小下一步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先完成一个最小原型：用一页说明回答“我该选哪类—现在持有什么—未来怎样变—波动如何理解”，再用本次四道知识题和一个情境判断题做材料前后测试。只有理解改善后，才继续扩展内容和渠道。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A｜研究范围、样本与数据质量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A.1 研究范围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本研究面向实际购买过养老目标基金的投资者，覆盖购买路径、产品类型认知、下滑曲线、持有与波动应对、信息需求和投资者教育偏好。报告分析业务方于 2026 年 7 月 24 日回传的 200 份匿名答卷。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2"/>
        <w:gridCol w:w="1701"/>
        <w:gridCol w:w="2608"/>
      </w:tblGrid>
      <w:tr>
        <w:trPr>
          <w:tblHeader w:val="true"/>
        </w:trPr>
        <w:tc>
          <w:tcPr>
            <w:tcW w:type="dxa" w:w="5102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样本特征</w:t>
            </w:r>
          </w:p>
        </w:tc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type="dxa" w:w="260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目前仍在持有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144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72.0%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过去购买、目前全部赎回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25.0%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18—29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16.5%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30—39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31.5%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40—49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35.0%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50—59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17.0%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基金投资经验不足 1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13.5%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 1—3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40.5%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 4—6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20.0%</w:t>
            </w:r>
          </w:p>
        </w:tc>
      </w:tr>
      <w:tr>
        <w:trPr>
          <w:cantSplit/>
        </w:trPr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基金投资经验 6 年以上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52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26.0%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未提供抽样框、发行渠道结构或总体分布，因此不加权、不作市场总体推断，也不使用显著性检验。年龄分群只作方向性比较，不生成客户标签。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A.2 数据有效性处理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268"/>
        <w:gridCol w:w="1814"/>
        <w:gridCol w:w="5329"/>
      </w:tblGrid>
      <w:tr>
        <w:trPr>
          <w:tblHeader w:val="true"/>
        </w:trPr>
        <w:tc>
          <w:tcPr>
            <w:tcW w:type="dxa" w:w="226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181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329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硬排除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未发现未同意、明显不符合资格、无实质数据或确认重复等硬排除情形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速度复核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12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不因单一速度信号删除；另做敏感性分析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互斥逻辑冲突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94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只移除与实质选项并存的互斥项，保留实质选择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字段映射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 个问题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35 个题组均可映射到问卷规格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高缺失/完全重复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均为 0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未触发排除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分析状态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带限制可分析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可用于内部分析；对外发布仍需人工复核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剔除 12 份速度标记后的关键指标与全部 200 份相比，绝对差异为 0.2—2.2 个百分点，主要结论稳定。开放题存在完全相同表述，只用于轻量主题计数，不作为逐字引语或独立真实性证明。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B｜研究问题与假设结论</w:t>
      </w:r>
    </w:p>
    <w:tbl>
      <w:tblPr>
        <w:tblW w:type="dxa" w:w="9468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134"/>
        <w:gridCol w:w="1814"/>
        <w:gridCol w:w="3685"/>
        <w:gridCol w:w="2835"/>
      </w:tblGrid>
      <w:tr>
        <w:trPr>
          <w:tblHeader w:val="true"/>
        </w:trPr>
        <w:tc>
          <w:tcPr>
            <w:tcW w:type="dxa" w:w="113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181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283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解释边界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Q17/Q18 同时答对 79/200（39.5%）；单题正确率分别为 60.0% 和 61.5%。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知识题正确率只描述本次样本，不等于全部购买者认知水平。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部分支持，存在矛盾证据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购买前主动把下滑曲线纳入比较仅 7/200（3.5%），但直接询问时有 102/200（51.0%）称其影响过决策。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不同题目提示强度和回忆方式不同，不能合并为单一使用率。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HYP-003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主动比较口径下不支持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主动比较中，退休年份 43.5%、风险类型 40.0%，均高于历史业绩 37.5%；最终最重要因素也是风险类型居首（20.5%）。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购买触发仍更多出现品牌/团队（31.5%）、费率/Y 份额（26.0%）和历史表现（25.5%），说明触发与最终判断并非同一层。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HYP-004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持有期不确定性前三为未来配置变化 27.5%、当前风险 26.0%、配置调整原因 22.5%；最希望补充的内容首位是下滑曲线（31.0%）。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多选比例描述需求频次，不代表内容有效性或业务优先级已经获批。</w:t>
            </w:r>
          </w:p>
        </w:tc>
      </w:tr>
    </w:tbl>
    <w:p>
      <w:pPr>
        <w:spacing w:after="40"/>
      </w:pPr>
    </w:p>
    <w:tbl>
      <w:tblPr>
        <w:tblW w:type="dxa" w:w="9411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411"/>
      </w:tblGrid>
      <w:tr>
        <w:trPr>
          <w:cantSplit/>
        </w:trPr>
        <w:tc>
          <w:tcPr>
            <w:tcW w:type="dxa" w:w="9411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补充分析边界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“长期/理解信号”与“焦虑/不明信号”是根据 Q23 多选答案构造的描述性回答信号，不是经过信效度检验的心理量表，也不用于因果推断。其价值是证明两类回答可以在同一受访者身上共现。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C｜年龄差异只作方向性线索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7" name="Picture 7" descr="热力图。四个年龄组在产品类型知识、下滑曲线知识、短视频偏好、年龄或退休年份示例偏好和资产配置表偏好上存在描述性差异，未进行显著性检验。" title="图 7　年龄组的认知与形式偏好仅作描述性比较，不用于客户打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_heatmap_v1.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7　年龄组的认知与形式偏好仅作描述性比较，不用于客户打标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01"/>
        <w:gridCol w:w="737"/>
        <w:gridCol w:w="2041"/>
        <w:gridCol w:w="2098"/>
        <w:gridCol w:w="2835"/>
      </w:tblGrid>
      <w:tr>
        <w:trPr>
          <w:tblHeader w:val="true"/>
        </w:trPr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年龄组</w:t>
            </w:r>
          </w:p>
        </w:tc>
        <w:tc>
          <w:tcPr>
            <w:tcW w:type="dxa" w:w="737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04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产品类型两题均答对</w:t>
            </w:r>
          </w:p>
        </w:tc>
        <w:tc>
          <w:tcPr>
            <w:tcW w:type="dxa" w:w="209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下滑曲线两题均答对</w:t>
            </w:r>
          </w:p>
        </w:tc>
        <w:tc>
          <w:tcPr>
            <w:tcW w:type="dxa" w:w="283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方向性线索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18—29 岁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33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27.3%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27.3%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短视频偏好 42.4%；选择逻辑需求 33.3%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30—39 岁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63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41.3%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54.0%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下滑曲线需求 33.3%；当前配置/风险 30.2%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40—49 岁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70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48.6%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40.0%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下滑曲线需求 37.1%；Y 份额规则 20.0%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50—59 岁</w:t>
            </w:r>
          </w:p>
        </w:tc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34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29.4%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44.1%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年龄示例 41.2%；资产配置表 32.4%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上述差异没有经过显著性检验，且样本来源未知。它们可以用于下一轮材料原型的优先级选择，但不能写成稳定人群特征，也不能用于客户画像打标。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D｜核心口径与敏感性分析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814"/>
        <w:gridCol w:w="4025"/>
        <w:gridCol w:w="3572"/>
      </w:tblGrid>
      <w:tr>
        <w:trPr>
          <w:tblHeader w:val="true"/>
        </w:trPr>
        <w:tc>
          <w:tcPr>
            <w:tcW w:type="dxa" w:w="1814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type="dxa" w:w="402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572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听说过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自报至少知道该术语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不能替代实际查看或理解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看过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自报接触过相关信息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不能替代主动比较或正确理解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购买前将该信息选为认真比较因素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不能替代最终最重要因素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提示后自报影响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在直接提示后回忆其影响购买、类型或持有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不能与无提示主动比较率合并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知识理解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按预定义答案判断知识题是否答对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不能推断真实投资能力或适当性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回答信号共现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同一受访者同时选择两类预定义答案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不能当作心理量表或因果关系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信息偏好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多选题中表达希望的内容、形式或时点</w:t>
            </w:r>
          </w:p>
        </w:tc>
        <w:tc>
          <w:tcPr>
            <w:tcW w:type="dxa" w:w="3572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不能证明材料有效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敏感性分析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3515"/>
        <w:gridCol w:w="1928"/>
        <w:gridCol w:w="2268"/>
        <w:gridCol w:w="1701"/>
      </w:tblGrid>
      <w:tr>
        <w:trPr>
          <w:tblHeader w:val="true"/>
        </w:trPr>
        <w:tc>
          <w:tcPr>
            <w:tcW w:type="dxa" w:w="3515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全部 200 份</w:t>
            </w:r>
          </w:p>
        </w:tc>
        <w:tc>
          <w:tcPr>
            <w:tcW w:type="dxa" w:w="2268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剔除 12 份速度标记</w:t>
            </w:r>
          </w:p>
        </w:tc>
        <w:tc>
          <w:tcPr>
            <w:tcW w:type="dxa" w:w="1701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差异（百分点）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Q17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62.2%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Q18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60.6%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Q19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63.3%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Q20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62.0%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61.7%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比较退休年份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43.1%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比较风险类型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41.0%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希望了解下滑曲线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31.4%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E｜文件与可追溯信息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shd w:fill="183B5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030"/>
            <w:shd w:fill="183B5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来源文件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FOF问卷回答_200人.csv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来源文件 SHA-256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a5d531ac3fac82e284014c13558dce55868df817d67121b0fe61ce1804d36b4f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基础分析产物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analysis-results.v0.1.0.json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态度补充分析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attitude-analysis.v1.1.json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问卷规格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INS-OTF-SURVEY-001 v0.2.0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个人数据处理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报告未使用平台 IP、地区、设备与 UA 字段</w:t>
            </w:r>
          </w:p>
        </w:tc>
      </w:tr>
      <w:tr>
        <w:trPr>
          <w:cantSplit/>
        </w:trPr>
        <w:tc>
          <w:tcPr>
            <w:tcW w:type="dxa" w:w="2381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发布状态</w:t>
            </w:r>
          </w:p>
        </w:tc>
        <w:tc>
          <w:tcPr>
            <w:tcW w:type="dxa" w:w="7030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内部分析增强版；对外发布前仍需业务、研究与合规人工复核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0717D"/>
        <w:sz w:val="17"/>
      </w:rPr>
      <w:t xml:space="preserve">第 </w:t>
    </w:r>
    <w:fldSimple w:instr="PAGE">
      <w:r>
        <w:rPr>
          <w:rFonts w:eastAsia="Microsoft YaHei"/>
          <w:sz w:val="17"/>
          <w:color w:val="60717D"/>
        </w:rPr>
      </w:r>
    </w:fldSimple>
    <w:r>
      <w:rPr>
        <w:rFonts w:ascii="Arial" w:hAnsi="Arial" w:eastAsia="Microsoft YaHei"/>
        <w:b w:val="0"/>
        <w:i w:val="0"/>
        <w:color w:val="60717D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i w:val="0"/>
        <w:color w:val="60717D"/>
        <w:sz w:val="16"/>
      </w:rPr>
      <w:t>养老目标基金购买者研究｜投资者态度分析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Microsoft YaHei"/>
      <w:color w:val="20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6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ind w:left="680" w:hanging="198"/>
      <w:contextualSpacing/>
    </w:pPr>
    <w:rPr>
      <w:rFonts w:ascii="Arial" w:hAnsi="Arial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8" w:hanging="238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rPr>
      <w:rFonts w:ascii="Microsoft YaHei" w:hAnsi="Microsoft YaHei" w:eastAsia="Microsoft YaHei"/>
      <w:color w:val="6071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ima.qq.com/wiki/?shareId=3f82c28e1844208f0d4489f0ef3057c012f070cdce772a8ee050212c899234fc" TargetMode="External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养老目标基金购买者调研分析报告 v1.1</dc:title>
  <dc:subject>投资者态度、核心矛盾、产品沟通与投资者教育建议</dc:subject>
  <dc:creator>AI 辅助用户研究工作流</dc:creator>
  <cp:keywords>养老目标基金, FOF, 用户研究, 投资者态度, 投资者教育</cp:keywords>
  <dc:description>分析增强版 v1.1；保留 v1.0；外发前需人工发布审核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