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Rule="auto" w:line="240"/>
        <w:jc w:val="left"/>
      </w:pPr>
      <w:r>
        <w:rPr>
          <w:rFonts w:ascii="Microsoft YaHei" w:hAnsi="Microsoft YaHei" w:eastAsia="Microsoft YaHei"/>
          <w:b/>
          <w:i w:val="0"/>
          <w:color w:val="17365D"/>
          <w:sz w:val="54"/>
        </w:rPr>
        <w:t>养老目标基金购买者调研</w:t>
      </w:r>
    </w:p>
    <w:p>
      <w:pPr>
        <w:keepNext w:val="0"/>
        <w:spacing w:before="0" w:after="160" w:lineRule="auto" w:line="240"/>
        <w:jc w:val="left"/>
      </w:pPr>
      <w:r>
        <w:rPr>
          <w:rFonts w:ascii="Microsoft YaHei" w:hAnsi="Microsoft YaHei" w:eastAsia="Microsoft YaHei"/>
          <w:b/>
          <w:i w:val="0"/>
          <w:color w:val="2F75B5"/>
          <w:sz w:val="46"/>
        </w:rPr>
        <w:t>研究报告</w:t>
      </w:r>
    </w:p>
    <w:p>
      <w:pPr>
        <w:spacing w:after="100"/>
        <w:pBdr>
          <w:bottom w:val="single" w:sz="22" w:space="1" w:color="17365D"/>
        </w:pBdr>
      </w:pPr>
    </w:p>
    <w:p>
      <w:pPr>
        <w:keepNext w:val="0"/>
        <w:spacing w:before="0" w:after="80" w:lineRule="auto" w:line="300"/>
      </w:pPr>
      <w:r>
        <w:rPr>
          <w:rFonts w:ascii="Microsoft YaHei" w:hAnsi="Microsoft YaHei" w:eastAsia="Microsoft YaHei"/>
          <w:b/>
          <w:i w:val="0"/>
          <w:color w:val="203040"/>
          <w:sz w:val="26"/>
        </w:rPr>
        <w:t>基于 200 份回传问卷</w:t>
      </w:r>
    </w:p>
    <w:p>
      <w:pPr>
        <w:keepNext w:val="0"/>
        <w:spacing w:before="0" w:after="280" w:lineRule="auto" w:line="300"/>
      </w:pPr>
      <w:r>
        <w:rPr>
          <w:rFonts w:ascii="Microsoft YaHei" w:hAnsi="Microsoft YaHei" w:eastAsia="Microsoft YaHei"/>
          <w:b w:val="0"/>
          <w:i w:val="0"/>
          <w:color w:val="5B6573"/>
          <w:sz w:val="21"/>
        </w:rPr>
        <w:t>研究主题：购买路径、产品认知、下滑曲线、持有行为与投资者教育需求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4535"/>
      </w:tblGrid>
      <w:tr>
        <w:tc>
          <w:tcPr>
            <w:tcW w:type="dxa" w:w="4986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可视化优化版</w:t>
            </w:r>
          </w:p>
        </w:tc>
        <w:tc>
          <w:tcPr>
            <w:tcW w:type="dxa" w:w="4986"/>
            <w:shd w:fill="EEF5F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v0.2｜数据与结论口径保持不变</w:t>
            </w:r>
          </w:p>
        </w:tc>
      </w:tr>
    </w:tbl>
    <w:p>
      <w:pPr>
        <w:spacing w:after="2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EEF5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项目编号</w:t>
            </w:r>
          </w:p>
        </w:tc>
        <w:tc>
          <w:tcPr>
            <w:tcW w:type="dxa" w:w="49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PROJ-OTF-001</w:t>
            </w:r>
          </w:p>
        </w:tc>
      </w:tr>
      <w:tr>
        <w:tc>
          <w:tcPr>
            <w:tcW w:type="dxa" w:w="4986"/>
            <w:shd w:fill="EEF5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分析编号</w:t>
            </w:r>
          </w:p>
        </w:tc>
        <w:tc>
          <w:tcPr>
            <w:tcW w:type="dxa" w:w="49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ANALYSIS-OTF-200-001</w:t>
            </w:r>
          </w:p>
        </w:tc>
      </w:tr>
      <w:tr>
        <w:tc>
          <w:tcPr>
            <w:tcW w:type="dxa" w:w="4986"/>
            <w:shd w:fill="EEF5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问卷版本</w:t>
            </w:r>
          </w:p>
        </w:tc>
        <w:tc>
          <w:tcPr>
            <w:tcW w:type="dxa" w:w="49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INS-OTF-SURVEY-001 v0.2.0</w:t>
            </w:r>
          </w:p>
        </w:tc>
      </w:tr>
      <w:tr>
        <w:tc>
          <w:tcPr>
            <w:tcW w:type="dxa" w:w="4986"/>
            <w:shd w:fill="EEF5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分析日期</w:t>
            </w:r>
          </w:p>
        </w:tc>
        <w:tc>
          <w:tcPr>
            <w:tcW w:type="dxa" w:w="49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2026-07-24</w:t>
            </w:r>
          </w:p>
        </w:tc>
      </w:tr>
      <w:tr>
        <w:tc>
          <w:tcPr>
            <w:tcW w:type="dxa" w:w="4986"/>
            <w:shd w:fill="EEF5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文档状态</w:t>
            </w:r>
          </w:p>
        </w:tc>
        <w:tc>
          <w:tcPr>
            <w:tcW w:type="dxa" w:w="49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内部最终分析稿（外发前需人工发布审核）</w:t>
            </w:r>
          </w:p>
        </w:tc>
      </w:tr>
    </w:tbl>
    <w:p>
      <w:pPr>
        <w:keepNext w:val="0"/>
        <w:spacing w:before="0" w:after="0" w:lineRule="auto" w:line="300"/>
      </w:pPr>
      <w:r>
        <w:rPr>
          <w:rFonts w:ascii="Microsoft YaHei" w:hAnsi="Microsoft YaHei" w:eastAsia="Microsoft YaHei"/>
          <w:b w:val="0"/>
          <w:i w:val="0"/>
          <w:color w:val="5B6573"/>
          <w:sz w:val="17"/>
        </w:rPr>
        <w:t>说明：本报告描述本次回传答卷，不代表全部养老目标基金购买者；不构成产品推荐、适当性判断或投资建议。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执行摘要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2F75B5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EF5FB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一句话结论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本次购买者样本并非“完全不了解”，而是处在“知道一些、关键边界仍不稳定”的中间状态：四道知识题全部答对仅 20.0%，购买前主动比较下滑曲线仅 3.5%；信息改进重点应从泛化产品介绍转向“如何选、配置怎样变、当前风险是什么、波动时如何理解”。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四个需要记住的数字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24"/>
            <w:shd w:fill="EEF5FB"/>
            <w:tcMar>
              <w:top w:w="140" w:type="dxa"/>
              <w:start w:w="120" w:type="dxa"/>
              <w:bottom w:w="130" w:type="dxa"/>
              <w:end w:w="120" w:type="dxa"/>
            </w:tcMar>
            <w:tcBorders>
              <w:top w:val="single" w:sz="18" w:color="2F75B5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F75B5"/>
                <w:sz w:val="34"/>
              </w:rPr>
              <w:t>20.0%</w:t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br/>
              <w:t>四题全部答对</w:t>
            </w:r>
            <w:r>
              <w:rPr>
                <w:rFonts w:ascii="Microsoft YaHei" w:hAnsi="Microsoft YaHei" w:eastAsia="Microsoft YaHei"/>
                <w:b w:val="0"/>
                <w:i w:val="0"/>
                <w:color w:val="5B6573"/>
                <w:sz w:val="14"/>
              </w:rPr>
              <w:br/>
              <w:t>40/200</w:t>
            </w:r>
          </w:p>
        </w:tc>
        <w:tc>
          <w:tcPr>
            <w:tcW w:type="dxa" w:w="2324"/>
            <w:shd w:fill="E8F5F1"/>
            <w:tcMar>
              <w:top w:w="140" w:type="dxa"/>
              <w:start w:w="120" w:type="dxa"/>
              <w:bottom w:w="130" w:type="dxa"/>
              <w:end w:w="120" w:type="dxa"/>
            </w:tcMar>
            <w:tcBorders>
              <w:top w:val="single" w:sz="18" w:color="009E7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9E73"/>
                <w:sz w:val="34"/>
              </w:rPr>
              <w:t>3.5%</w:t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br/>
              <w:t>主动比较下滑曲线</w:t>
            </w:r>
            <w:r>
              <w:rPr>
                <w:rFonts w:ascii="Microsoft YaHei" w:hAnsi="Microsoft YaHei" w:eastAsia="Microsoft YaHei"/>
                <w:b w:val="0"/>
                <w:i w:val="0"/>
                <w:color w:val="5B6573"/>
                <w:sz w:val="14"/>
              </w:rPr>
              <w:br/>
              <w:t>7/200</w:t>
            </w:r>
          </w:p>
        </w:tc>
        <w:tc>
          <w:tcPr>
            <w:tcW w:type="dxa" w:w="2324"/>
            <w:shd w:fill="FFF3E8"/>
            <w:tcMar>
              <w:top w:w="140" w:type="dxa"/>
              <w:start w:w="120" w:type="dxa"/>
              <w:bottom w:w="130" w:type="dxa"/>
              <w:end w:w="120" w:type="dxa"/>
            </w:tcMar>
            <w:tcBorders>
              <w:top w:val="single" w:sz="18" w:color="D55E00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D55E00"/>
                <w:sz w:val="34"/>
              </w:rPr>
              <w:t>59.5%</w:t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br/>
              <w:t>未看或找不到曲线</w:t>
            </w:r>
            <w:r>
              <w:rPr>
                <w:rFonts w:ascii="Microsoft YaHei" w:hAnsi="Microsoft YaHei" w:eastAsia="Microsoft YaHei"/>
                <w:b w:val="0"/>
                <w:i w:val="0"/>
                <w:color w:val="5B6573"/>
                <w:sz w:val="14"/>
              </w:rPr>
              <w:br/>
              <w:t>119/200</w:t>
            </w:r>
          </w:p>
        </w:tc>
        <w:tc>
          <w:tcPr>
            <w:tcW w:type="dxa" w:w="2324"/>
            <w:shd w:fill="F1EAF7"/>
            <w:tcMar>
              <w:top w:w="140" w:type="dxa"/>
              <w:start w:w="120" w:type="dxa"/>
              <w:bottom w:w="130" w:type="dxa"/>
              <w:end w:w="120" w:type="dxa"/>
            </w:tcMar>
            <w:tcBorders>
              <w:top w:val="single" w:sz="18" w:color="7A3E9D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7A3E9D"/>
                <w:sz w:val="34"/>
              </w:rPr>
              <w:t>31.0%</w:t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br/>
              <w:t>首要信息需求</w:t>
            </w:r>
            <w:r>
              <w:rPr>
                <w:rFonts w:ascii="Microsoft YaHei" w:hAnsi="Microsoft YaHei" w:eastAsia="Microsoft YaHei"/>
                <w:b w:val="0"/>
                <w:i w:val="0"/>
                <w:color w:val="5B6573"/>
                <w:sz w:val="14"/>
              </w:rPr>
              <w:br/>
              <w:t>未来配置/下滑曲线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核心判断：结论、证据与含义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458"/>
        <w:gridCol w:w="3572"/>
      </w:tblGrid>
      <w:tr>
        <w:trPr>
          <w:tblHeader w:val="true"/>
        </w:trPr>
        <w:tc>
          <w:tcPr>
            <w:tcW w:type="dxa" w:w="238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判断</w:t>
            </w:r>
          </w:p>
        </w:tc>
        <w:tc>
          <w:tcPr>
            <w:tcW w:type="dxa" w:w="345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最关键证据</w:t>
            </w:r>
          </w:p>
        </w:tc>
        <w:tc>
          <w:tcPr>
            <w:tcW w:type="dxa" w:w="357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对业务与研究的含义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买过不等于稳定理解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产品类型两题均答对 39.5%；四题全部答对 20.0%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产品说明应从单一术语介绍升级为跨概念、跨风险边界的理解支持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下滑曲线存在行为与自报落差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主动比较 3.5%；提示后自报影响 51.0%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不能合并为“使用率”；下一步需用材料任务或行为观察验证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触发关注与最终判断分层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触发前三为品牌、费率、表现；最终首位为风险类型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入口信息负责吸引注意，核心信息必须继续支持匹配判断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持有期解释仍有缺口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59.5% 未查看或想看但找不到；首要需求为未来配置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解释应延伸到当前配置、未来变化、调整原因和风险边界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三个优先动作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购买说明分三层：类型匹配、当前与未来配置、风险边界。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持有期突出当前配置、未来变化与调整原因，并在配置变化和市场波动时解释。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投教优先采用年龄/退休年份示例、资产配置表、简短说明与 FAQ；IMA 只作次级入口。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一、研究目标与分析口径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1.1 研究目标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还原养老目标基金购买者最近一次购买时的触发、信息来源、比较过程和关键决策依据。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了解购买者能否识别自己所购产品属于目标日期或目标风险类型，并如何理解对应的选择逻辑。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了解购买者在购买前后是否接触、查看和使用过下滑曲线，以及对其作用和风险边界的理解。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识别购买后的持有行为、面对波动时的判断方式，以及仍需要的产品解释和陪伴信息。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1.2 样本与数据来源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本报告分析业务方于 2026 年 7 月 24 日回传的 200 份匿名问卷答卷。200 人均同意参与，并自报目前或过去持有过养老目标基金；其中目前仍持有 144 人（72.0%），已全部赎回 50 人（25.0%），不确定 6 人（3.0%）。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1701"/>
        <w:gridCol w:w="2721"/>
      </w:tblGrid>
      <w:tr>
        <w:trPr>
          <w:tblHeader w:val="true"/>
        </w:trPr>
        <w:tc>
          <w:tcPr>
            <w:tcW w:type="dxa" w:w="498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样本特征</w:t>
            </w:r>
          </w:p>
        </w:tc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人数</w:t>
            </w:r>
          </w:p>
        </w:tc>
        <w:tc>
          <w:tcPr>
            <w:tcW w:type="dxa" w:w="272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比例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18—29 岁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33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16.5%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30—39 岁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63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31.5%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40—49 岁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70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35.0%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50—59 岁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34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17.0%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基金投资经验不足 1 年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27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13.5%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基金投资经验 1—3 年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81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40.5%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基金投资经验 4—6 年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40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20.0%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基金投资经验 6 年以上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52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26.0%</w:t>
            </w:r>
          </w:p>
        </w:tc>
      </w:tr>
    </w:tbl>
    <w:p>
      <w:pPr>
        <w:spacing w:after="40"/>
      </w:pP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未提供抽样框、发行渠道结构或总体分布，因此本报告不加权、不作总体推断，也不使用显著性检验。年龄分群只作方向性比较，不生成正式客户标签。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1.3 数据有效性与校正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14"/>
        <w:gridCol w:w="5329"/>
      </w:tblGrid>
      <w:tr>
        <w:trPr>
          <w:tblHeader w:val="true"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检查项</w:t>
            </w:r>
          </w:p>
        </w:tc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53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硬排除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0 份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未发现未同意、明显不符合资格、无实质数据或确认重复等硬排除情形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速度复核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12 份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答题时长低于批次中位数的三分之一；不因单一速度信号删除，另做敏感性分析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互斥逻辑冲突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94 份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平台未启用互斥逻辑；互斥项与实质选项并存时，只移除互斥项并保留实质选择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字段映射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0 个问题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35 个题组均可映射到问卷规格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高缺失/完全重复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均为 0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未触发排除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分析状态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ANALYSIS_READY_WITH_LIMITS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可用于内部分析，但外发前仍需人工复核</w:t>
            </w:r>
          </w:p>
        </w:tc>
      </w:tr>
    </w:tbl>
    <w:p>
      <w:pPr>
        <w:spacing w:after="40"/>
      </w:pP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剔除 12 份速度标记后的关键指标与全部 200 份相比，绝对差异为 0.2—2.2 个百分点，主要结论稳定。平台 IP、地区、设备、浏览器 UA 等元数据未进入分析，也未在交付物中保留。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D6A84B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FFF2CC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开放题使用边界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Q29 共 39 人作答，但出现完全相同表述的重复记录。本报告只保留轻量主题计数，不将开放题原文作为独立真实性证明，也不作为受访者逐字引语。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二、购买路径：用户如何接触、比较并决定购买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2.1 首次接触渠道与决策角色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首次接触渠道较为分散：第三方基金销售平台与银行/客户经理并列第一，均为 37/200（18.5%）；新闻、短视频或其他网络内容为 34/200（17.0%）；亲友介绍为 27/200（13.5%）；基金公司自有渠道为 25/200（12.5%）。单一渠道没有形成绝对主导。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在最终决定角色上，主要由本人决定为 68/200（34.0%）；主要听取或与客户经理/专业人员共同决定合计 69/200（34.5%）；与家人共同决定或主要听取亲友建议合计 57/200（28.5%）。这意味着信息设计既要支持个人判断，也要考虑专业人员和家庭共同决策的转述场景。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2.2 购买触发、看到的信息与主动比较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969"/>
        <w:gridCol w:w="3118"/>
      </w:tblGrid>
      <w:tr>
        <w:trPr>
          <w:tblHeader w:val="true"/>
        </w:trPr>
        <w:tc>
          <w:tcPr>
            <w:tcW w:type="dxa" w:w="23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96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前三项</w:t>
            </w:r>
          </w:p>
        </w:tc>
        <w:tc>
          <w:tcPr>
            <w:tcW w:type="dxa" w:w="311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研究解释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购买触发（多选）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品牌/团队 31.5%；费率或 Y 份额 26.0%；历史表现 25.5%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更像进入关注范围的触发器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购买前看到（多选）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基金名称/目标年份 61.0%；风险类型 53.5%；历史表现 48.5%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曝光不等于认真比较或理解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购买前主动比较（多选）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退休年份 43.5%；风险类型 40.0%；历史表现 37.5%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更接近主动判断过程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最终最重要（单选）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风险类型 20.5%；历史表现 13.0%；退休年份 11.0%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单一关键判断中风险匹配居首</w:t>
            </w:r>
          </w:p>
        </w:tc>
      </w:tr>
    </w:tbl>
    <w:p>
      <w:pPr>
        <w:spacing w:after="40"/>
      </w:pP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57378"/>
            <wp:docPr id="1" name="Picture 1" descr="三栏排序图。购买触发前三为品牌或团队31.5%、费率或Y份额26.0%、历史表现25.5%；主动比较前三为退休年份43.5%、风险类型40.0%、历史表现37.5%；最终最重要前三为风险类型20.5%、历史表现13.0%、退休年份11.0%。" title="图 1　购买触发、主动比较与最终判断的前三项；Q6/Q8 为多选，Q9 为单选（n=200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ecision_path_v0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Microsoft YaHei" w:hAnsi="Microsoft YaHei" w:eastAsia="Microsoft YaHei"/>
          <w:b w:val="0"/>
          <w:i w:val="0"/>
          <w:color w:val="5B6573"/>
          <w:sz w:val="17"/>
        </w:rPr>
        <w:t>图 1　购买触发、主动比较与最终判断的前三项；Q6/Q8 为多选，Q9 为单选（n=200）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2F75B5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EF5FB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研究回答（RQ-001 / RQ-004）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购买路径存在“两层结构”：品牌、费率和历史表现更容易触发关注；进入比较后，退休年份和风险类型更接近用户主动判断标准。后续产品信息不宜只围绕吸引点击的入口因素，还要帮助用户完成类型与个人情况的匹配判断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三、产品类型认知：买过不等于理解稳定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3.1 主观认知与客观知识题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用户对“目标日期型/目标风险型”的主观熟悉程度并不高：仅 35/200（17.5%）认为自己比较了解并能向别人解释；66/200（33.0%）表示大概知道但说不清楚；49/200（24.5%）听说过但不了解区别；其余为以前未听说或不确定。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客观知识题结果同样显示理解并不稳定。目标日期含义答对 60.0%，目标风险含义答对 61.5%，但两题同时答对仅 39.5%；再加入下滑曲线含义与风险边界两题后，四题全部答对仅 20.0%。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7"/>
            <wp:docPr id="2" name="Picture 2" descr="横向条形图。四道单项知识题正确率为60.0%至63.5%，产品类型两题均答对39.5%，下滑曲线两题均答对43.0%，四题全部答对20.0%。" title="图 2　单项正确率与组合掌握率必须分开解释（n=200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knowledge_v0.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Microsoft YaHei" w:hAnsi="Microsoft YaHei" w:eastAsia="Microsoft YaHei"/>
          <w:b w:val="0"/>
          <w:i w:val="0"/>
          <w:color w:val="5B6573"/>
          <w:sz w:val="17"/>
        </w:rPr>
        <w:t>图 2　单项正确率与组合掌握率必须分开解释（n=200）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2F75B5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EF5FB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研究回答（RQ-002）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本次购买者样本并非完全不了解产品，而是对单个概念有一定识别、但跨概念的稳定理解不足。报告因此分别呈现“听说过、主观觉得了解、知识题答对”，不把其中任何一个口径替代另一个。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四、下滑曲线：主动比较弱，提示后自报使用高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4.1 知晓、查看、使用与理解必须分开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381"/>
        <w:gridCol w:w="4535"/>
      </w:tblGrid>
      <w:tr>
        <w:trPr>
          <w:tblHeader w:val="true"/>
        </w:trPr>
        <w:tc>
          <w:tcPr>
            <w:tcW w:type="dxa" w:w="249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层次</w:t>
            </w:r>
          </w:p>
        </w:tc>
        <w:tc>
          <w:tcPr>
            <w:tcW w:type="dxa" w:w="238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45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听说过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125/200（62.5%）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至少听说过，但不代表看过或理解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购买前看过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88/200（44.0%）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包括大致看过或认真看过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持有期看过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60/200（30.0%）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至少查看过一次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购买前主动比较过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7/200（3.5%）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自然购买比较中的主动使用非常低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提示后自报影响过决策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102/200（51.0%）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直接询问时的回忆性自报，不能与主动比较率合并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两道相关知识题均答对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86/200（43.0%）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作为理解口径，与看过和自报使用分开</w:t>
            </w:r>
          </w:p>
        </w:tc>
      </w:tr>
    </w:tbl>
    <w:p>
      <w:pPr>
        <w:spacing w:after="40"/>
      </w:pP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20078"/>
            <wp:docPr id="3" name="Picture 3" descr="横向条形图。听说过下滑曲线62.5%，购买前看过44.0%，持有期看过30.0%，主动比较过3.5%；提示后自报影响决策51.0%，两道相关知识题均答对43.0%。" title="图 3　自然接触、主动行为、提示后自报与知识理解使用不同口径（n=200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lide_v0.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2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Microsoft YaHei" w:hAnsi="Microsoft YaHei" w:eastAsia="Microsoft YaHei"/>
          <w:b w:val="0"/>
          <w:i w:val="0"/>
          <w:color w:val="5B6573"/>
          <w:sz w:val="17"/>
        </w:rPr>
        <w:t>图 3　自然接触、主动行为、提示后自报与知识理解使用不同口径（n=200）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持有期间，85/200（42.5%）从未查看下滑曲线，34/200（17.0%）想看但不知道在哪里看，合计 119/200（59.5%）。这说明下滑曲线既存在认知问题，也存在信息可发现性问题。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D6A84B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FFF2CC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研究回答（RQ-003）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HYP-002 得到部分支持，但存在明显口径矛盾：主动比较率只有 3.5%，提示后自报影响决策却达到 51.0%。更稳妥的解释是，下滑曲线并非多数用户在自然购买过程中主动调用的信息，但在被提示后，一部分人会把它纳入事后回忆或宽泛的决策解释。后续应通过材料理解任务或行为观察验证，而不是继续追问“有没有用”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五、持有行为：波动时先找信息，长期陪伴仍有缺口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5.1 持有与调整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经互斥项校正后，99/200（49.5%）表示一直持有、没有调整；71/200（35.5%）曾定投或追加；部分赎回与全部赎回均为 32/200（16.0%）；16/200（8.0%）曾转换为其他基金或养老产品。因该题为多选，比例之和可超过 100%。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面对较大净值波动时，61/200（30.5%）会先查询信息或咨询他人再决定是否操作，46/200（23.0%）继续持有且没有操作，22/200（11.0%）追加，28/200（14.0%）部分或全部赎回。信息解释在行为发生前具有明显的决策支持位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5.2 波动理由与配置查看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在经历过波动的适用人群中（n=157），把产品视为长期养老投资、愿意继续持有与理解净值波动可能正常均为 69/157（43.9%）；同时，58/157（36.9%）担心继续亏损，27/157（17.2%）不清楚为什么下跌。长期定位与短期焦虑可以同时存在。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对当前资产配置变化的查看也不稳定：偶尔查看 29.0%，主要在市场波动较大时查看 24.0%，定期查看 14.0%；从未查看或想看但找不到入口合计 30.0%。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2F75B5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EF5FB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研究回答（RQ-005）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持有者并非只关心收益数字。波动时，很多人先寻找解释再决定是否操作；因此持有期内容需要回答“为什么变、现在风险多大、未来怎样变”，同时避免把解释材料写成具体的加仓、持有或赎回建议。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六、信息需求与投资者教育建议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6.1 用户最希望补充什么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最希望补充的信息前三位为：未来配置如何变化/下滑曲线 62/200（31.0%）、当前资产配置和风险水平 52/200（26.0%）、如何根据退休年份或风险类型选择 51/200（25.5%）。持有期不确定性则集中在未来配置变化 27.5%、当前风险 26.0% 和调整配置的原因 22.5%。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067503"/>
            <wp:docPr id="4" name="Picture 4" descr="三栏排序图。优先内容首位为未来配置或下滑曲线31.0%；偏好形式首位为结合年龄或退休年份举例30.0%；希望时点首位为第一次了解产品时31.5%。内容、形式和时点均为偏好信号，不代表材料有效。" title="图 4　投资者教育的优先内容、偏好形式与希望时点（多选，n=200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education_v0.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67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Microsoft YaHei" w:hAnsi="Microsoft YaHei" w:eastAsia="Microsoft YaHei"/>
          <w:b w:val="0"/>
          <w:i w:val="0"/>
          <w:color w:val="5B6573"/>
          <w:sz w:val="17"/>
        </w:rPr>
        <w:t>图 4　投资者教育的优先内容、偏好形式与希望时点（多选，n=200）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6.2 建议的投教内容框架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65"/>
        <w:gridCol w:w="3231"/>
        <w:gridCol w:w="1701"/>
      </w:tblGrid>
      <w:tr>
        <w:trPr>
          <w:tblHeader w:val="true"/>
        </w:trPr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266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需要解决的问题</w:t>
            </w:r>
          </w:p>
        </w:tc>
        <w:tc>
          <w:tcPr>
            <w:tcW w:type="dxa" w:w="323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建议内容</w:t>
            </w:r>
          </w:p>
        </w:tc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A. 我该选哪类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目标日期型与目标风险型如何匹配个人情况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一段简明区别说明 + 年龄/退休年份示例 + 2 道理解题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不替用户做适当性判断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B. 基金会怎样变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下滑曲线、当前配置与未来配置路径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资产配置表 + 简化下滑曲线 + 调整原因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明确配置路径不等于收益路径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C. 当前风险是什么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降低高波动资产是否意味着没有风险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单独的风险边界说明 + 市场波动场景问答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不承诺收益或本金安全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D. 持有中发生什么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调整、波动、追加与赎回规则如何理解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配置调整通知 + FAQ + 可找到的规则入口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不推荐具体操作时点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E. 账户与份额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Y 份额和个人养老金账户规则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只呈现经金融事实审核的规则说明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上线前继续做事实与合规复核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6.3 建议的形式与触达时点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形式上，年龄/退休年份示例（30.0%）、资产配置表（24.5%）、一句话说明（24.0%）居前，说明投教应把抽象术语转换为具体个人情境和可视化配置。时点上，首次了解产品（31.5%）、基金调整资产配置时（26.5%）和市场波动较大时（24.5%）居前，表明投教需要贯穿购买前与持有期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6.4 IMA 知识库的合适位置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本次样本中，自行搜索知识库的形式偏好为 17/200（8.5%），低于示例、表格、简短说明和 FAQ。因此 IMA 更适合放在核心解释之后，作为“如果想进一步了解金融常识，可继续搜索”的次级入口，而不是替代问卷内的必要解释。</w:t>
      </w:r>
    </w:p>
    <w:p>
      <w:pPr>
        <w:keepNext w:val="0"/>
        <w:spacing w:before="0" w:after="100" w:lineRule="auto" w:line="300"/>
      </w:pPr>
      <w:r>
        <w:rPr>
          <w:rFonts w:ascii="Microsoft YaHei" w:hAnsi="Microsoft YaHei" w:eastAsia="Microsoft YaHei"/>
          <w:b/>
          <w:i w:val="0"/>
          <w:color w:val="203040"/>
          <w:sz w:val="21"/>
        </w:rPr>
        <w:t>可保留的桥梁：</w:t>
      </w:r>
      <w:hyperlink r:id="rId15">
        <w:r>
          <w:rPr>
            <w:rFonts w:eastAsia="Microsoft YaHei"/>
            <w:color w:val="2F75B5"/>
            <w:u w:val="single"/>
          </w:rPr>
          <w:t>易方达基金 IMA 知识库（了解更多）</w:t>
        </w:r>
      </w:hyperlink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。当前工作流不启用 IMA 自动检索，不追踪点击或阅读时长。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6.5 如何验证投教是否有效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材料上线前：让用户阅读原版与改版材料，使用同口径知识题比较目标日期/目标风险、下滑曲线和风险边界的理解差异。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材料上线后：关注关键误解率、信息是否能找到、用户能否用自己的话正确解释；点击、停留或表示喜欢只作为过程信号。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年龄分群只用于原型优先级：例如 18—29 岁更偏好短视频，50—59 岁更偏好年龄示例和资产配置表；正式上线前仍需做材料测试。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70AD4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2F0D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研究回答（RQ-006）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投资者教育的主线应从“普及更多术语”转为“支持具体判断”：首次了解时帮助选类型，购买页说明配置与风险，配置调整和市场波动时解释变化，最后再通过 IMA 等知识库承接深入学习。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七、年龄分群：只作方向性设计线索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57378"/>
            <wp:docPr id="5" name="Picture 5" descr="热力图。四个年龄组在产品类型知识、下滑曲线知识、短视频偏好、年龄或退休年份示例偏好和资产配置表偏好上存在描述性差异。未进行显著性检验。" title="图 5　年龄组的认知与形式偏好仅作描述性比较，不用于客户打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ge_heatmap_v0.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Microsoft YaHei" w:hAnsi="Microsoft YaHei" w:eastAsia="Microsoft YaHei"/>
          <w:b w:val="0"/>
          <w:i w:val="0"/>
          <w:color w:val="5B6573"/>
          <w:sz w:val="17"/>
        </w:rPr>
        <w:t>图 5　年龄组的认知与形式偏好仅作描述性比较，不用于客户打标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94"/>
        <w:gridCol w:w="2041"/>
        <w:gridCol w:w="2098"/>
        <w:gridCol w:w="2721"/>
      </w:tblGrid>
      <w:tr>
        <w:trPr>
          <w:tblHeader w:val="true"/>
        </w:trPr>
        <w:tc>
          <w:tcPr>
            <w:tcW w:type="dxa" w:w="175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年龄组</w:t>
            </w:r>
          </w:p>
        </w:tc>
        <w:tc>
          <w:tcPr>
            <w:tcW w:type="dxa" w:w="79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n</w:t>
            </w:r>
          </w:p>
        </w:tc>
        <w:tc>
          <w:tcPr>
            <w:tcW w:type="dxa" w:w="204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产品类型两题均答对</w:t>
            </w:r>
          </w:p>
        </w:tc>
        <w:tc>
          <w:tcPr>
            <w:tcW w:type="dxa" w:w="209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下滑曲线两题均答对</w:t>
            </w:r>
          </w:p>
        </w:tc>
        <w:tc>
          <w:tcPr>
            <w:tcW w:type="dxa" w:w="272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更突出的方向性线索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18—29 岁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33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27.3%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27.3%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短视频偏好 42.4%；选择逻辑需求 33.3%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30—39 岁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63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41.3%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54.0%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下滑曲线需求 33.3%；当前配置/风险 30.2%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40—49 岁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70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48.6%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40.0%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下滑曲线需求 37.1%；Y 份额规则 20.0%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50—59 岁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34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29.4%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44.1%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年龄示例 41.2%；资产配置表 32.4%</w:t>
            </w:r>
          </w:p>
        </w:tc>
      </w:tr>
    </w:tbl>
    <w:p>
      <w:pPr>
        <w:spacing w:after="40"/>
      </w:pP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上述差异没有经过显著性检验，且样本来源未知。它们可以帮助下一轮材料设计选择不同原型，但不能写成稳定的人群特征，也不能用于客户打标。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八、假设检验结论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814"/>
        <w:gridCol w:w="3685"/>
        <w:gridCol w:w="2835"/>
      </w:tblGrid>
      <w:tr>
        <w:trPr>
          <w:tblHeader w:val="true"/>
        </w:trPr>
        <w:tc>
          <w:tcPr>
            <w:tcW w:type="dxa" w:w="113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假设</w:t>
            </w:r>
          </w:p>
        </w:tc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368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主要证据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解释边界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HYP-001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支持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Q17/Q18 同时答对 79/200（39.5%）；单题正确率分别为 60.0% 和 61.5%。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知识题正确率只描述本次样本，不等于全部购买者认知水平。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HYP-002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部分支持，存在矛盾证据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购买前主动把下滑曲线纳入比较仅 7/200（3.5%），但直接询问时有 102/200（51.0%）称其影响过决策。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不同题目提示强度和回忆方式不同，不能合并为单一使用率。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HYP-003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在主动比较口径下不支持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主动比较中，退休年份 43.5%、风险类型 40.0%，均高于历史业绩 37.5%；最终最重要因素也是风险类型居首（20.5%）。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购买触发仍更多出现品牌/团队（31.5%）、费率/Y 份额（26.0%）和历史表现（25.5%），说明触发与最终判断并非同一层。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HYP-004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支持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持有期不确定性前三为未来配置变化 27.5%、当前风险 26.0%、配置调整原因 22.5%；最希望补充的内容首位是下滑曲线（31.0%）。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多选比例描述需求频次，不代表内容有效性或业务优先级已经获批。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九、发现—洞察—建议链路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9.1 购买者对养老目标基金存在“知道一些、但关键边界不稳定”的中间状态；单纯增加术语曝光不足以替代理解验证。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证据来源：FINDING-OTF-001 购买经历并未转化为稳定的产品类型与风险边界理解；FINDING-OTF-002 下滑曲线在主动比较中弱，但直接提示后自报使用并不低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其他可能解释：知识题本身的难度和题干理解会影响正确率；本次样本来源未知，不能代表市场总体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2F75B5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EF5FB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建议 REC-OTF-001｜HIGH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在购买说明中采用“先判断类型与匹配逻辑—再看当前配置与未来变化—最后明确风险边界”的三层信息顺序。 验证方式：以改版前后同口径知识题比较理解结果，并记录阅读负担。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70AD4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2F0D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建议 REC-OTF-003｜HIGH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投教优先解释目标日期/目标风险的选择逻辑、下滑曲线、当前风险与市场波动边界，采用年龄/退休年份示例、资产配置表和简短问答组合。 验证方式：使用教育前后同口径理解题或材料版本对比，验证是否减少误解；不能只看点击率。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9.2 吸引购买的入口信息与支撑最终判断的信息不同：品牌、费率和历史表现更像触发器，风险类型和退休年份更接近主动判断标准。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证据来源：FINDING-OTF-003 购买触发与最终判断依据分成两层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其他可能解释：回忆偏差可能使回答者用当前理解重构过去决策；多选触发与单选最重要因素的题型不同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2F75B5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EF5FB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建议 REC-OTF-001｜HIGH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在购买说明中采用“先判断类型与匹配逻辑—再看当前配置与未来变化—最后明确风险边界”的三层信息顺序。 验证方式：以改版前后同口径知识题比较理解结果，并记录阅读负担。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9.3 投教不应只发生在购买前；配置变化和市场波动是持有人重新理解产品机制的关键时点。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证据来源：FINDING-OTF-004 持有期的信息缺口集中在当前风险、未来配置和调整原因；FINDING-OTF-005 投教更适合从具体情境和可视化解释切入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其他可能解释：表达偏好不等于真实理解提升；未测试具体材料，无法判断不同形式的实际效果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2F75B5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EF5FB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建议 REC-OTF-002｜HIGH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在持有页面提供可找到的当前配置、未来配置变化和调整原因说明，并在市场波动或配置调整时主动提示查看。 验证方式：先做小范围可用性测试，确认用户能找到并正确解释信息，再评估长期使用。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70AD4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2F0D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建议 REC-OTF-003｜HIGH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投教优先解释目标日期/目标风险的选择逻辑、下滑曲线、当前风险与市场波动边界，采用年龄/退休年份示例、资产配置表和简短问答组合。 验证方式：使用教育前后同口径理解题或材料版本对比，验证是否减少误解；不能只看点击率。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十、限制与后续建议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样本来源和发行渠道结构未知，不能代表养老目标基金市场总体，也不能用于估算市场比例。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平台未启用四道多选题的互斥逻辑，已按预定义规则校正，但仍使数据集处于带限制可分析状态。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12 份偏快答卷未因单一时长信号删除；敏感性分析支持主要结论稳定。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开放回答存在完全相同表述，只用于主题计数，不用于逐字引用或证明真实经历。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本研究是一次横截面自报问卷，无法证明信息偏好一定带来理解或行为改变。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年龄差异仅为描述性方向；不进行事后新增分群，也不形成客户画像标签。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建议的下一步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由研究人员和业务/合规共同复核本报告，确认互斥项校正规则和金融表达后再外发。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选择一个最小投教原型：优先制作“下滑曲线 + 当前/未来配置 + 风险边界”的一页材料。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设计材料对比或阅读前后测，使用本次知识题口径验证理解改善，不以点击率作为主要成功指标。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4.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下一轮发行时在问卷平台启用互斥逻辑和选项上限，并保留结构化字段回传，以减少人工校正。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附录 A｜核心口径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969"/>
        <w:gridCol w:w="3685"/>
      </w:tblGrid>
      <w:tr>
        <w:trPr>
          <w:tblHeader w:val="true"/>
        </w:trPr>
        <w:tc>
          <w:tcPr>
            <w:tcW w:type="dxa" w:w="175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口径</w:t>
            </w:r>
          </w:p>
        </w:tc>
        <w:tc>
          <w:tcPr>
            <w:tcW w:type="dxa" w:w="396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定义</w:t>
            </w:r>
          </w:p>
        </w:tc>
        <w:tc>
          <w:tcPr>
            <w:tcW w:type="dxa" w:w="368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不能替代什么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听说过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回答者自报至少知道该术语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不能替代实际查看或理解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看过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回答者自报接触过相关信息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不能替代主动比较或正确理解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主动比较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购买前将该信息作为比较因素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不能替代最终最重要因素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自报影响决策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在直接提示后回忆其影响购买、类型或持有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不能与主动比较率合并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知识理解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按预定义答案判断知识题是否答对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不能推断真实投资能力或适当性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信息偏好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多选题中表达希望的内容、形式或时点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不能证明材料有效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附录 B｜敏感性分析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1928"/>
        <w:gridCol w:w="2268"/>
        <w:gridCol w:w="1701"/>
      </w:tblGrid>
      <w:tr>
        <w:trPr>
          <w:tblHeader w:val="true"/>
        </w:trPr>
        <w:tc>
          <w:tcPr>
            <w:tcW w:type="dxa" w:w="351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192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全部 200 份</w:t>
            </w:r>
          </w:p>
        </w:tc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剔除 12 份速度标记</w:t>
            </w:r>
          </w:p>
        </w:tc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差异（百分点）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Q17 正确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60.0%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62.2%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2.2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Q18 正确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61.5%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60.6%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0.9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Q19 正确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63.5%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63.3%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Q20 正确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62.0%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61.7%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0.3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比较退休年份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43.5%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43.1%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0.4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比较风险类型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40.0%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41.0%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希望了解下滑曲线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31.0%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31.4%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0.4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附录 C｜文件与可追溯信息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tblHeader w:val="true"/>
        </w:trPr>
        <w:tc>
          <w:tcPr>
            <w:tcW w:type="dxa" w:w="238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03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来源文件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FOF问卷回答_200人.csv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来源文件 SHA-256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a5d531ac3fac82e284014c13558dce55868df817d67121b0fe61ce1804d36b4f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分析产物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analysis-results.v0.1.0.json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配套工作簿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养老目标基金购买者问卷分析_200份答卷.xlsx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个人数据处理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未在报告或工作簿中使用平台 IP、地区、设备与 UA 字段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发布状态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内部最终分析稿；正式 Gate 2、逐条人工复核与 Gate 3/4 批准尚未形成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5B6573"/>
        <w:sz w:val="17"/>
      </w:rPr>
      <w:t xml:space="preserve">第 </w:t>
    </w:r>
    <w:fldSimple w:instr="PAGE">
      <w:r>
        <w:rPr>
          <w:rFonts w:eastAsia="Microsoft YaHei"/>
          <w:sz w:val="17"/>
          <w:color w:val="5B6573"/>
        </w:rPr>
      </w:r>
    </w:fldSimple>
    <w:r>
      <w:rPr>
        <w:rFonts w:ascii="Microsoft YaHei" w:hAnsi="Microsoft YaHei" w:eastAsia="Microsoft YaHei"/>
        <w:b w:val="0"/>
        <w:i w:val="0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5B6573"/>
        <w:sz w:val="17"/>
      </w:rPr>
      <w:t>养老目标基金购买者研究｜内部研究报告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03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mall">
    <w:name w:val="Report Small"/>
    <w:rPr>
      <w:rFonts w:ascii="Microsoft YaHei" w:hAnsi="Microsoft YaHei" w:eastAsia="Microsoft YaHei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ima.qq.com/wiki/?shareId=3f82c28e1844208f0d4489f0ef3057c012f070cdce772a8ee050212c899234fc" TargetMode="External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养老目标基金购买者调研最终报告｜可视化优化版 v0.2</dc:title>
  <dc:subject>购买路径、产品认知、下滑曲线、持有行为与投资者教育需求</dc:subject>
  <dc:creator>AI 辅助用户研究工作流</dc:creator>
  <cp:keywords>养老目标基金, FOF, 用户研究, 问卷, 投资者教育</cp:keywords>
  <dc:description>可视化优化版 v0.2；数据和结论口径不变；外发前需人工发布审核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