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Rule="auto" w:line="240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54"/>
        </w:rPr>
        <w:t>养老目标基金购买者调研</w:t>
      </w:r>
    </w:p>
    <w:p>
      <w:pPr>
        <w:keepNext w:val="0"/>
        <w:spacing w:before="0" w:after="160" w:lineRule="auto" w:line="240"/>
        <w:jc w:val="left"/>
      </w:pPr>
      <w:r>
        <w:rPr>
          <w:rFonts w:ascii="Microsoft YaHei" w:hAnsi="Microsoft YaHei" w:eastAsia="Microsoft YaHei"/>
          <w:b/>
          <w:i w:val="0"/>
          <w:color w:val="2F75B5"/>
          <w:sz w:val="46"/>
        </w:rPr>
        <w:t>最终报告</w:t>
      </w:r>
    </w:p>
    <w:p>
      <w:pPr>
        <w:spacing w:after="100"/>
        <w:pBdr>
          <w:bottom w:val="single" w:sz="22" w:space="1" w:color="17365D"/>
        </w:pBdr>
      </w:pPr>
    </w:p>
    <w:p>
      <w:pPr>
        <w:keepNext w:val="0"/>
        <w:spacing w:before="0" w:after="80" w:lineRule="auto" w:line="300"/>
      </w:pPr>
      <w:r>
        <w:rPr>
          <w:rFonts w:ascii="Microsoft YaHei" w:hAnsi="Microsoft YaHei" w:eastAsia="Microsoft YaHei"/>
          <w:b/>
          <w:i w:val="0"/>
          <w:color w:val="203040"/>
          <w:sz w:val="26"/>
        </w:rPr>
        <w:t>基于 200 份回传问卷</w:t>
      </w:r>
    </w:p>
    <w:p>
      <w:pPr>
        <w:keepNext w:val="0"/>
        <w:spacing w:before="0" w:after="640" w:lineRule="auto" w:line="300"/>
      </w:pPr>
      <w:r>
        <w:rPr>
          <w:rFonts w:ascii="Microsoft YaHei" w:hAnsi="Microsoft YaHei" w:eastAsia="Microsoft YaHei"/>
          <w:b w:val="0"/>
          <w:i w:val="0"/>
          <w:color w:val="5B6573"/>
          <w:sz w:val="21"/>
        </w:rPr>
        <w:t>研究主题：购买路径、产品认知、下滑曲线、持有行为与投资者教育需求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86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项目编号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PROJ-OTF-001</w:t>
            </w:r>
          </w:p>
        </w:tc>
      </w:tr>
      <w:tr>
        <w:tc>
          <w:tcPr>
            <w:tcW w:type="dxa" w:w="4986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分析编号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ANALYSIS-OTF-200-001</w:t>
            </w:r>
          </w:p>
        </w:tc>
      </w:tr>
      <w:tr>
        <w:tc>
          <w:tcPr>
            <w:tcW w:type="dxa" w:w="4986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问卷版本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INS-OTF-SURVEY-001 v0.2.0</w:t>
            </w:r>
          </w:p>
        </w:tc>
      </w:tr>
      <w:tr>
        <w:tc>
          <w:tcPr>
            <w:tcW w:type="dxa" w:w="4986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分析日期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2026-07-24</w:t>
            </w:r>
          </w:p>
        </w:tc>
      </w:tr>
      <w:tr>
        <w:tc>
          <w:tcPr>
            <w:tcW w:type="dxa" w:w="4986"/>
            <w:shd w:fill="EEF5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文档状态</w:t>
            </w:r>
          </w:p>
        </w:tc>
        <w:tc>
          <w:tcPr>
            <w:tcW w:type="dxa" w:w="498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D9E2F3"/>
            </w:tcBorders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9"/>
              </w:rPr>
              <w:t>内部最终分析稿（外发前需人工发布审核）</w:t>
            </w:r>
          </w:p>
        </w:tc>
      </w:tr>
    </w:tbl>
    <w:p>
      <w:pPr>
        <w:keepNext w:val="0"/>
        <w:spacing w:before="0" w:after="0" w:lineRule="auto" w:line="300"/>
      </w:pPr>
      <w:r>
        <w:rPr>
          <w:rFonts w:ascii="Microsoft YaHei" w:hAnsi="Microsoft YaHei" w:eastAsia="Microsoft YaHei"/>
          <w:b w:val="0"/>
          <w:i w:val="0"/>
          <w:color w:val="5B6573"/>
          <w:sz w:val="17"/>
        </w:rPr>
        <w:t>说明：本报告描述本次回传答卷，不代表全部养老目标基金购买者；不构成产品推荐、适当性判断或投资建议。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一句话结论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本次购买者样本并非“完全不了解”，而是处在“知道一些、关键边界仍不稳定”的中间状态：四道知识题全部答对仅 20.0%，购买前主动比较下滑曲线仅 3.5%；信息改进重点应从泛化产品介绍转向“如何选、配置怎样变、当前风险是什么、波动时如何理解”。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核心结论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购买经历并未转化为稳定的产品类型与风险边界理解。证据：目标日期与目标风险两题均答对 79/200（39.5%）；四道知识题全部答对 40/200（20.0%）；购买前信息清晰度中位数为 3，给 4-5 分者 58/200（29.0%）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下滑曲线在主动比较中弱，但直接提示后自报使用并不低。证据：购买前主动比较下滑曲线 7/200（3.5%）；直接询问时，自报曾影响购买、类型或持有决策 102/200（51.0%）；持有期从未查看或想看但找不到入口共 119/200（59.5%）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购买触发与最终判断依据分成两层。证据：购买触发前三为品牌/团队 31.5%、费率/Y 份额 26.0%、历史表现 25.5%；主动比较前三为退休年份 43.5%、风险类型 40.0%、历史表现 37.5%；最终最重要因素首位为风险类型 41/200（20.5%）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持有期的信息缺口集中在当前风险、未来配置和调整原因。证据：未来配置变化 55/200（27.5%）；当前承担风险 52/200（26.0%）；为什么调整配置 45/200（22.5%）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投教更适合从具体情境和可视化解释切入。证据：形式偏好前三为结合年龄/退休年份举例 30.0%、资产配置表 24.5%、一句话说明 24.0%；触达时点前三为首次了解产品 31.5%、调整资产配置时 26.5%、市场波动较大时 24.5%；自行搜索知识库被选择 17/200（8.5%）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对业务与投教的直接含义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购买说明需要分层：先解释目标日期型/目标风险型的选择逻辑，再展示当前配置与未来配置路径，最后单独说明风险边界。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持有期陪伴不能只讲净值，应让持有人能够找到“当前配置、未来怎样变、为什么调整”，并在配置调整和市场波动时主动解释。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投教优先采用年龄/退休年份示例、资产配置表、简短说明和常见问题；IMA 知识库可作为“了解更多”的次级入口，不作为主信息载体，也不以点击代替理解验证。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关键数字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928"/>
        <w:gridCol w:w="4082"/>
      </w:tblGrid>
      <w:tr>
        <w:trPr>
          <w:tblHeader w:val="true"/>
        </w:trPr>
        <w:tc>
          <w:tcPr>
            <w:tcW w:type="dxa" w:w="340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92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408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两道产品类型题均答对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79/200（39.5%）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购买经历不等于稳定掌握产品类型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四道知识题全部答对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40/200（20.0%）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关键概念与风险边界仍有明显提升空间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购买前主动比较下滑曲线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7/200（3.5%）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在自然购买比较中处于弱位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自报下滑曲线影响过决策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102/200（51.0%）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提示后自报明显更高，需与主动行为分开解释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希望补充下滑曲线/未来配置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62/200（31.0%）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为信息需求首位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持有期从未看或想看但找不到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119/200（59.5%）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存在入口与持续解释缺口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一、研究目标与分析口径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1.1 研究目标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还原养老目标基金购买者最近一次购买时的触发、信息来源、比较过程和关键决策依据。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了解购买者能否识别自己所购产品属于目标日期或目标风险类型，并如何理解对应的选择逻辑。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了解购买者在购买前后是否接触、查看和使用过下滑曲线，以及对其作用和风险边界的理解。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识别购买后的持有行为、面对波动时的判断方式，以及仍需要的产品解释和陪伴信息。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1.2 样本与数据来源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本报告分析业务方于 2026 年 7 月 24 日回传的 200 份匿名问卷答卷。200 人均同意参与，并自报目前或过去持有过养老目标基金；其中目前仍持有 144 人（72.0%），已全部赎回 50 人（25.0%），不确定 6 人（3.0%）。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1701"/>
        <w:gridCol w:w="2721"/>
      </w:tblGrid>
      <w:tr>
        <w:trPr>
          <w:tblHeader w:val="true"/>
        </w:trPr>
        <w:tc>
          <w:tcPr>
            <w:tcW w:type="dxa" w:w="498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样本特征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人数</w:t>
            </w:r>
          </w:p>
        </w:tc>
        <w:tc>
          <w:tcPr>
            <w:tcW w:type="dxa" w:w="272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比例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18—29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33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16.5%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30—39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63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31.5%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40—49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70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35.0%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50—59 岁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34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17.0%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基金投资经验不足 1 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27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13.5%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基金投资经验 1—3 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81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40.5%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基金投资经验 4—6 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20.0%</w:t>
            </w:r>
          </w:p>
        </w:tc>
      </w:tr>
      <w:tr>
        <w:trPr>
          <w:cantSplit/>
        </w:trPr>
        <w:tc>
          <w:tcPr>
            <w:tcW w:type="dxa" w:w="498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基金投资经验 6 年以上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52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26.0%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未提供抽样框、发行渠道结构或总体分布，因此本报告不加权、不作总体推断，也不使用显著性检验。年龄分群只作方向性比较，不生成正式客户标签。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1.3 数据有效性与校正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5329"/>
      </w:tblGrid>
      <w:tr>
        <w:trPr>
          <w:tblHeader w:val="true"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53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硬排除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 份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未发现未同意、明显不符合资格、无实质数据或确认重复等硬排除情形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速度复核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12 份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答题时长低于批次中位数的三分之一；不因单一速度信号删除，另做敏感性分析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互斥逻辑冲突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94 份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平台未启用互斥逻辑；互斥项与实质选项并存时，只移除互斥项并保留实质选择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字段映射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 个问题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35 个题组均可映射到问卷规格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高缺失/完全重复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均为 0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未触发排除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分析状态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ANALYSIS_READY_WITH_LIMITS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可用于内部分析，但外发前仍需人工复核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剔除 12 份速度标记后的关键指标与全部 200 份相比，绝对差异为 0.2—2.2 个百分点，主要结论稳定。平台 IP、地区、设备、浏览器 UA 等元数据未进入分析，也未在交付物中保留。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D6A84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FFF2CC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开放题使用边界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Q29 共 39 人作答，但出现完全相同表述的重复记录。本报告只保留轻量主题计数，不将开放题原文作为独立真实性证明，也不作为受访者逐字引语。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二、购买路径：用户如何接触、比较并决定购买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2.1 首次接触渠道与决策角色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首次接触渠道较为分散：第三方基金销售平台与银行/客户经理并列第一，均为 37/200（18.5%）；新闻、短视频或其他网络内容为 34/200（17.0%）；亲友介绍为 27/200（13.5%）；基金公司自有渠道为 25/200（12.5%）。单一渠道没有形成绝对主导。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在最终决定角色上，主要由本人决定为 68/200（34.0%）；主要听取或与客户经理/专业人员共同决定合计 69/200（34.5%）；与家人共同决定或主要听取亲友建议合计 57/200（28.5%）。这意味着信息设计既要支持个人判断，也要考虑专业人员和家庭共同决策的转述场景。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2.2 购买触发、看到的信息与主动比较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969"/>
        <w:gridCol w:w="3118"/>
      </w:tblGrid>
      <w:tr>
        <w:trPr>
          <w:tblHeader w:val="true"/>
        </w:trPr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前三项</w:t>
            </w:r>
          </w:p>
        </w:tc>
        <w:tc>
          <w:tcPr>
            <w:tcW w:type="dxa" w:w="311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研究解释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购买触发（多选）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品牌/团队 31.5%；费率或 Y 份额 26.0%；历史表现 25.5%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更像进入关注范围的触发器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购买前看到（多选）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基金名称/目标年份 61.0%；风险类型 53.5%；历史表现 48.5%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曝光不等于认真比较或理解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购买前主动比较（多选）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退休年份 43.5%；风险类型 40.0%；历史表现 37.5%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更接近主动判断过程</w:t>
            </w:r>
          </w:p>
        </w:tc>
      </w:tr>
      <w:tr>
        <w:trPr>
          <w:cantSplit/>
        </w:trPr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最终最重要（单选）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风险类型 20.5%；历史表现 13.0%；退休年份 11.0%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单一关键判断中风险匹配居首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研究回答（RQ-001 / RQ-004）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购买路径存在“两层结构”：品牌、费率和历史表现更容易触发关注；进入比较后，退休年份和风险类型更接近用户主动判断标准。后续产品信息不宜只围绕吸引点击的入口因素，还要帮助用户完成类型与个人情况的匹配判断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三、产品类型认知：买过不等于理解稳定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3.1 主观认知与客观知识题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用户对“目标日期型/目标风险型”的主观熟悉程度并不高：仅 35/200（17.5%）认为自己比较了解并能向别人解释；66/200（33.0%）表示大概知道但说不清楚；49/200（24.5%）听说过但不了解区别；其余为以前未听说或不确定。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客观知识题结果同样显示理解并不稳定。目标日期含义答对 60.0%，目标风险含义答对 61.5%，但两题同时答对仅 39.5%；再加入下滑曲线含义与风险边界两题后，四题全部答对仅 20.0%。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149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knowle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4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17"/>
        </w:rPr>
        <w:t>图 1　四道知识题正确率（n=200）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研究回答（RQ-002）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本次购买者样本并非完全不了解产品，而是对单个概念有一定识别、但跨概念的稳定理解不足。报告因此分别呈现“听说过、主观觉得了解、知识题答对”，不把其中任何一个口径替代另一个。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四、下滑曲线：主动比较弱，提示后自报使用高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4.1 知晓、查看、使用与理解必须分开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381"/>
        <w:gridCol w:w="4535"/>
      </w:tblGrid>
      <w:tr>
        <w:trPr>
          <w:tblHeader w:val="true"/>
        </w:trPr>
        <w:tc>
          <w:tcPr>
            <w:tcW w:type="dxa" w:w="24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238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45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听说过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125/200（62.5%）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至少听说过，但不代表看过或理解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购买前看过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88/200（44.0%）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包括大致看过或认真看过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持有期看过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60/200（30.0%）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至少查看过一次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购买前主动比较过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7/200（3.5%）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自然购买比较中的主动使用非常低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提示后自报影响过决策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102/200（51.0%）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直接询问时的回忆性自报，不能与主动比较率合并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两道相关知识题均答对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86/200（43.0%）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作为理解口径，与看过和自报使用分开</w:t>
            </w:r>
          </w:p>
        </w:tc>
      </w:tr>
    </w:tbl>
    <w:p>
      <w:pPr>
        <w:spacing w:after="40"/>
      </w:pP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25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l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2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17"/>
        </w:rPr>
        <w:t>图 2　下滑曲线相关指标使用了不同题目口径，不能合并为单一“使用率”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持有期间，85/200（42.5%）从未查看下滑曲线，34/200（17.0%）想看但不知道在哪里看，合计 119/200（59.5%）。这说明下滑曲线既存在认知问题，也存在信息可发现性问题。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D6A84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FFF2CC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研究回答（RQ-003）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HYP-002 得到部分支持，但存在明显口径矛盾：主动比较率只有 3.5%，提示后自报影响决策却达到 51.0%。更稳妥的解释是，下滑曲线并非多数用户在自然购买过程中主动调用的信息，但在被提示后，一部分人会把它纳入事后回忆或宽泛的决策解释。后续应通过材料理解任务或行为观察验证，而不是继续追问“有没有用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五、持有行为：波动时先找信息，长期陪伴仍有缺口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5.1 持有与调整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经互斥项校正后，99/200（49.5%）表示一直持有、没有调整；71/200（35.5%）曾定投或追加；部分赎回与全部赎回均为 32/200（16.0%）；16/200（8.0%）曾转换为其他基金或养老产品。因该题为多选，比例之和可超过 100%。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面对较大净值波动时，61/200（30.5%）会先查询信息或咨询他人再决定是否操作，46/200（23.0%）继续持有且没有操作，22/200（11.0%）追加，28/200（14.0%）部分或全部赎回。信息解释在行为发生前具有明显的决策支持位置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5.2 波动理由与配置查看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在经历过波动的适用人群中（n=157），把产品视为长期养老投资、愿意继续持有与理解净值波动可能正常均为 69/157（43.9%）；同时，58/157（36.9%）担心继续亏损，27/157（17.2%）不清楚为什么下跌。长期定位与短期焦虑可以同时存在。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对当前资产配置变化的查看也不稳定：偶尔查看 29.0%，主要在市场波动较大时查看 24.0%，定期查看 14.0%；从未查看或想看但找不到入口合计 30.0%。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研究回答（RQ-005）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持有者并非只关心收益数字。波动时，很多人先寻找解释再决定是否操作；因此持有期内容需要回答“为什么变、现在风险多大、未来怎样变”，同时避免把解释材料写成具体的加仓、持有或赎回建议。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六、信息需求与投资者教育建议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6.1 用户最希望补充什么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最希望补充的信息前三位为：未来配置如何变化/下滑曲线 62/200（31.0%）、当前资产配置和风险水平 52/200（26.0%）、如何根据退休年份或风险类型选择 51/200（25.5%）。持有期不确定性则集中在未来配置变化 27.5%、当前风险 26.0% 和调整配置的原因 22.5%。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1499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nee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4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17"/>
        </w:rPr>
        <w:t>图 3　最希望补充的信息前六项（多选，n=200）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6.2 建议的投教内容框架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3231"/>
        <w:gridCol w:w="1701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266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需要解决的问题</w:t>
            </w:r>
          </w:p>
        </w:tc>
        <w:tc>
          <w:tcPr>
            <w:tcW w:type="dxa" w:w="32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建议内容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A. 我该选哪类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目标日期型与目标风险型如何匹配个人情况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一段简明区别说明 + 年龄/退休年份示例 + 2 道理解题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不替用户做适当性判断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B. 基金会怎样变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下滑曲线、当前配置与未来配置路径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资产配置表 + 简化下滑曲线 + 调整原因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明确配置路径不等于收益路径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C. 当前风险是什么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降低高波动资产是否意味着没有风险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单独的风险边界说明 + 市场波动场景问答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不承诺收益或本金安全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D. 持有中发生什么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调整、波动、追加与赎回规则如何理解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配置调整通知 + FAQ + 可找到的规则入口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不推荐具体操作时点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E. 账户与份额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Y 份额和个人养老金账户规则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只呈现经金融事实审核的规则说明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上线前继续做事实与合规复核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6.3 建议的形式与触达时点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253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orma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2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17"/>
        </w:rPr>
        <w:t>图 4　偏好的解释形式（多选，n=200）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253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im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2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17"/>
        </w:rPr>
        <w:t>图 5　希望获得信息的时点（多选，n=200）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形式上，年龄/退休年份示例（30.0%）、资产配置表（24.5%）、一句话说明（24.0%）居前，说明投教应把抽象术语转换为具体个人情境和可视化配置。时点上，首次了解产品（31.5%）、基金调整资产配置时（26.5%）和市场波动较大时（24.5%）居前，表明投教需要贯穿购买前与持有期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6.4 IMA 知识库的合适位置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本次样本中，自行搜索知识库的形式偏好为 17/200（8.5%），低于示例、表格、简短说明和 FAQ。因此 IMA 更适合放在核心解释之后，作为“如果想进一步了解金融常识，可继续搜索”的次级入口，而不是替代问卷内的必要解释。</w:t>
      </w:r>
    </w:p>
    <w:p>
      <w:pPr>
        <w:keepNext w:val="0"/>
        <w:spacing w:before="0" w:after="100" w:lineRule="auto" w:line="300"/>
      </w:pPr>
      <w:r>
        <w:rPr>
          <w:rFonts w:ascii="Microsoft YaHei" w:hAnsi="Microsoft YaHei" w:eastAsia="Microsoft YaHei"/>
          <w:b/>
          <w:i w:val="0"/>
          <w:color w:val="203040"/>
          <w:sz w:val="21"/>
        </w:rPr>
        <w:t>可保留的桥梁：</w:t>
      </w:r>
      <w:hyperlink r:id="rId16">
        <w:r>
          <w:rPr>
            <w:rFonts w:eastAsia="Microsoft YaHei"/>
            <w:color w:val="2F75B5"/>
            <w:u w:val="single"/>
          </w:rPr>
          <w:t>易方达基金 IMA 知识库（了解更多）</w:t>
        </w:r>
      </w:hyperlink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。当前工作流不启用 IMA 自动检索，不追踪点击或阅读时长。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6.5 如何验证投教是否有效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材料上线前：让用户阅读原版与改版材料，使用同口径知识题比较目标日期/目标风险、下滑曲线和风险边界的理解差异。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材料上线后：关注关键误解率、信息是否能找到、用户能否用自己的话正确解释；点击、停留或表示喜欢只作为过程信号。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年龄分群只用于原型优先级：例如 18—29 岁更偏好短视频，50—59 岁更偏好年龄示例和资产配置表；正式上线前仍需做材料测试。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70AD4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2F0D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研究回答（RQ-006）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投资者教育的主线应从“普及更多术语”转为“支持具体判断”：首次了解时帮助选类型，购买页说明配置与风险，配置调整和市场波动时解释变化，最后再通过 IMA 等知识库承接深入学习。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七、年龄分群：只作方向性设计线索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94"/>
        <w:gridCol w:w="2041"/>
        <w:gridCol w:w="2098"/>
        <w:gridCol w:w="2721"/>
      </w:tblGrid>
      <w:tr>
        <w:trPr>
          <w:tblHeader w:val="true"/>
        </w:trPr>
        <w:tc>
          <w:tcPr>
            <w:tcW w:type="dxa" w:w="175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年龄组</w:t>
            </w:r>
          </w:p>
        </w:tc>
        <w:tc>
          <w:tcPr>
            <w:tcW w:type="dxa" w:w="79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n</w:t>
            </w:r>
          </w:p>
        </w:tc>
        <w:tc>
          <w:tcPr>
            <w:tcW w:type="dxa" w:w="204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产品类型两题均答对</w:t>
            </w:r>
          </w:p>
        </w:tc>
        <w:tc>
          <w:tcPr>
            <w:tcW w:type="dxa" w:w="209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下滑曲线两题均答对</w:t>
            </w:r>
          </w:p>
        </w:tc>
        <w:tc>
          <w:tcPr>
            <w:tcW w:type="dxa" w:w="272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更突出的方向性线索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18—29 岁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33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27.3%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27.3%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短视频偏好 42.4%；选择逻辑需求 33.3%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30—39 岁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63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41.3%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54.0%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下滑曲线需求 33.3%；当前配置/风险 30.2%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40—49 岁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70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48.6%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40.0%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下滑曲线需求 37.1%；Y 份额规则 20.0%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50—59 岁</w:t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34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29.4%</w:t>
            </w:r>
          </w:p>
        </w:tc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44.1%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年龄示例 41.2%；资产配置表 32.4%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上述差异没有经过显著性检验，且样本来源未知。它们可以帮助下一轮材料设计选择不同原型，但不能写成稳定的人群特征，也不能用于客户打标。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八、假设检验结论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3685"/>
        <w:gridCol w:w="2835"/>
      </w:tblGrid>
      <w:tr>
        <w:trPr>
          <w:tblHeader w:val="true"/>
        </w:trPr>
        <w:tc>
          <w:tcPr>
            <w:tcW w:type="dxa" w:w="113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假设</w:t>
            </w:r>
          </w:p>
        </w:tc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368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主要证据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解释边界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HYP-001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支持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Q17/Q18 同时答对 79/200（39.5%）；单题正确率分别为 60.0% 和 61.5%。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知识题正确率只描述本次样本，不等于全部购买者认知水平。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HYP-002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部分支持，存在矛盾证据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购买前主动把下滑曲线纳入比较仅 7/200（3.5%），但直接询问时有 102/200（51.0%）称其影响过决策。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不同题目提示强度和回忆方式不同，不能合并为单一使用率。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HYP-003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在主动比较口径下不支持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主动比较中，退休年份 43.5%、风险类型 40.0%，均高于历史业绩 37.5%；最终最重要因素也是风险类型居首（20.5%）。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购买触发仍更多出现品牌/团队（31.5%）、费率/Y 份额（26.0%）和历史表现（25.5%），说明触发与最终判断并非同一层。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HYP-004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支持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持有期不确定性前三为未来配置变化 27.5%、当前风险 26.0%、配置调整原因 22.5%；最希望补充的内容首位是下滑曲线（31.0%）。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7"/>
              </w:rPr>
              <w:t>多选比例描述需求频次，不代表内容有效性或业务优先级已经获批。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九、发现—洞察—建议链路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9.1 购买者对养老目标基金存在“知道一些、但关键边界不稳定”的中间状态；单纯增加术语曝光不足以替代理解验证。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证据来源：FINDING-OTF-001 购买经历并未转化为稳定的产品类型与风险边界理解；FINDING-OTF-002 下滑曲线在主动比较中弱，但直接提示后自报使用并不低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其他可能解释：知识题本身的难度和题干理解会影响正确率；本次样本来源未知，不能代表市场总体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建议 REC-OTF-001｜HIGH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在购买说明中采用“先判断类型与匹配逻辑—再看当前配置与未来变化—最后明确风险边界”的三层信息顺序。 验证方式：以改版前后同口径知识题比较理解结果，并记录阅读负担。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70AD4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2F0D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建议 REC-OTF-003｜HIGH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投教优先解释目标日期/目标风险的选择逻辑、下滑曲线、当前风险与市场波动边界，采用年龄/退休年份示例、资产配置表和简短问答组合。 验证方式：使用教育前后同口径理解题或材料版本对比，验证是否减少误解；不能只看点击率。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9.2 吸引购买的入口信息与支撑最终判断的信息不同：品牌、费率和历史表现更像触发器，风险类型和退休年份更接近主动判断标准。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证据来源：FINDING-OTF-003 购买触发与最终判断依据分成两层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其他可能解释：回忆偏差可能使回答者用当前理解重构过去决策；多选触发与单选最重要因素的题型不同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建议 REC-OTF-001｜HIGH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在购买说明中采用“先判断类型与匹配逻辑—再看当前配置与未来变化—最后明确风险边界”的三层信息顺序。 验证方式：以改版前后同口径知识题比较理解结果，并记录阅读负担。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9.3 投教不应只发生在购买前；配置变化和市场波动是持有人重新理解产品机制的关键时点。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证据来源：FINDING-OTF-004 持有期的信息缺口集中在当前风险、未来配置和调整原因；FINDING-OTF-005 投教更适合从具体情境和可视化解释切入</w:t>
      </w:r>
    </w:p>
    <w:p>
      <w:pPr>
        <w:keepNext w:val="0"/>
        <w:spacing w:before="0" w:after="100" w:lineRule="auto" w:line="300"/>
        <w:ind w:left="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其他可能解释：表达偏好不等于真实理解提升；未测试具体材料，无法判断不同形式的实际效果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2F75B5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EF5FB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建议 REC-OTF-002｜HIGH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在持有页面提供可找到的当前配置、未来配置变化和调整原因说明，并在市场波动或配置调整时主动提示查看。 验证方式：先做小范围可用性测试，确认用户能找到并正确解释信息，再评估长期使用。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298"/>
      </w:tblGrid>
      <w:tr>
        <w:trPr>
          <w:cantSplit/>
        </w:trPr>
        <w:tc>
          <w:tcPr>
            <w:tcW w:type="dxa" w:w="198"/>
            <w:shd w:fill="70AD47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298"/>
            <w:shd w:fill="E2F0D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2"/>
              </w:rPr>
              <w:t>建议 REC-OTF-003｜HIGH</w:t>
            </w: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20"/>
              </w:rPr>
              <w:br/>
              <w:t>投教优先解释目标日期/目标风险的选择逻辑、下滑曲线、当前风险与市场波动边界，采用年龄/退休年份示例、资产配置表和简短问答组合。 验证方式：使用教育前后同口径理解题或材料版本对比，验证是否减少误解；不能只看点击率。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十、限制与后续建议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样本来源和发行渠道结构未知，不能代表养老目标基金市场总体，也不能用于估算市场比例。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平台未启用四道多选题的互斥逻辑，已按预定义规则校正，但仍使数据集处于带限制可分析状态。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12 份偏快答卷未因单一时长信号删除；敏感性分析支持主要结论稳定。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开放回答存在完全相同表述，只用于主题计数，不用于逐字引用或证明真实经历。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本研究是一次横截面自报问卷，无法证明信息偏好一定带来理解或行为改变。</w:t>
      </w:r>
    </w:p>
    <w:p>
      <w:pPr>
        <w:pStyle w:val="ListBullet"/>
        <w:keepNext w:val="0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年龄差异仅为描述性方向；不进行事后新增分群，也不形成客户画像标签。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F75B5"/>
          <w:sz w:val="25"/>
        </w:rPr>
        <w:t>建议的下一步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由研究人员和业务/合规共同复核本报告，确认互斥项校正规则和金融表达后再外发。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选择一个最小投教原型：优先制作“下滑曲线 + 当前/未来配置 + 风险边界”的一页材料。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设计材料对比或阅读前后测，使用本次知识题口径验证理解改善，不以点击率作为主要成功指标。</w:t>
      </w:r>
    </w:p>
    <w:p>
      <w:pPr>
        <w:keepNext w:val="0"/>
        <w:spacing w:before="0" w:after="60" w:lineRule="auto" w:line="300"/>
        <w:ind w:left="369" w:hanging="255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color w:val="203040"/>
          <w:sz w:val="21"/>
        </w:rPr>
        <w:t>下一轮发行时在问卷平台启用互斥逻辑和选项上限，并保留结构化字段回传，以减少人工校正。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附录 A｜核心口径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969"/>
        <w:gridCol w:w="3685"/>
      </w:tblGrid>
      <w:tr>
        <w:trPr>
          <w:tblHeader w:val="true"/>
        </w:trPr>
        <w:tc>
          <w:tcPr>
            <w:tcW w:type="dxa" w:w="175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口径</w:t>
            </w:r>
          </w:p>
        </w:tc>
        <w:tc>
          <w:tcPr>
            <w:tcW w:type="dxa" w:w="396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定义</w:t>
            </w:r>
          </w:p>
        </w:tc>
        <w:tc>
          <w:tcPr>
            <w:tcW w:type="dxa" w:w="368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不能替代什么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听说过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回答者自报至少知道该术语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不能替代实际查看或理解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看过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回答者自报接触过相关信息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不能替代主动比较或正确理解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主动比较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购买前将该信息作为比较因素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不能替代最终最重要因素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自报影响决策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在直接提示后回忆其影响购买、类型或持有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不能与主动比较率合并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知识理解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按预定义答案判断知识题是否答对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不能推断真实投资能力或适当性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信息偏好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多选题中表达希望的内容、形式或时点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不能证明材料有效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附录 B｜敏感性分析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928"/>
        <w:gridCol w:w="2268"/>
        <w:gridCol w:w="1701"/>
      </w:tblGrid>
      <w:tr>
        <w:trPr>
          <w:tblHeader w:val="true"/>
        </w:trPr>
        <w:tc>
          <w:tcPr>
            <w:tcW w:type="dxa" w:w="351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92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全部 200 份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剔除 12 份速度标记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差异（百分点）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Q17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60.0%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62.2%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2.2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Q18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61.5%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60.6%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Q19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63.5%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63.3%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Q20 正确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62.0%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61.7%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比较退休年份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43.5%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43.1%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0.4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比较风险类型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40.0%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41.0%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希望了解下滑曲线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31.0%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31.4%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0.4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17365D"/>
          <w:sz w:val="32"/>
        </w:rPr>
        <w:t>附录 C｜文件与可追溯信息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tblHeader w:val="true"/>
        </w:trPr>
        <w:tc>
          <w:tcPr>
            <w:tcW w:type="dxa" w:w="238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03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来源文件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FOF问卷回答_200人.csv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来源文件 SHA-256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a5d531ac3fac82e284014c13558dce55868df817d67121b0fe61ce1804d36b4f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分析产物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analysis-results.v0.1.0.json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配套工作簿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养老目标基金购买者问卷分析_200份答卷.xlsx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个人数据处理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未在报告或工作簿中使用平台 IP、地区、设备与 UA 字段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发布状态</w:t>
            </w:r>
          </w:p>
        </w:tc>
        <w:tc>
          <w:tcPr>
            <w:tcW w:type="dxa" w:w="703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03040"/>
                <w:sz w:val="18"/>
              </w:rPr>
              <w:t>内部最终分析稿；正式 Gate 2、逐条人工复核与 Gate 3/4 批准尚未形成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第 </w:t>
    </w:r>
    <w:fldSimple w:instr="PAGE">
      <w:r>
        <w:rPr>
          <w:rFonts w:eastAsia="Microsoft YaHei"/>
          <w:sz w:val="17"/>
          <w:color w:val="5B6573"/>
        </w:rPr>
      </w:r>
    </w:fldSimple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5B6573"/>
        <w:sz w:val="17"/>
      </w:rPr>
      <w:t>养老目标基金购买者研究｜内部研究报告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mall">
    <w:name w:val="Report Small"/>
    <w:rPr>
      <w:rFonts w:ascii="Microsoft YaHei" w:hAnsi="Microsoft YaHei" w:eastAsia="Microsoft YaHei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ima.qq.com/wiki/?shareId=3f82c28e1844208f0d4489f0ef3057c012f070cdce772a8ee050212c899234f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养老目标基金购买者调研最终报告</dc:title>
  <dc:subject>购买路径、产品认知、下滑曲线、持有行为与投资者教育需求</dc:subject>
  <dc:creator>AI 辅助用户研究工作流</dc:creator>
  <cp:keywords>养老目标基金, FOF, 用户研究, 问卷, 投资者教育</cp:keywords>
  <dc:description>内部最终分析稿，外发前需人工发布审核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