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840" w:after="360" w:lineRule="auto" w:line="240"/>
        <w:jc w:val="center"/>
      </w:pPr>
      <w:r>
        <w:rPr>
          <w:rFonts w:ascii="Arial" w:hAnsi="Arial" w:eastAsia="Microsoft YaHei"/>
          <w:b/>
          <w:i w:val="0"/>
          <w:color w:val="B7791F"/>
          <w:sz w:val="18"/>
        </w:rPr>
        <w:t>INVESTOR RESEARCH  /  2026.07</w:t>
      </w:r>
    </w:p>
    <w:p>
      <w:pPr>
        <w:keepNext w:val="0"/>
        <w:spacing w:before="0" w:after="0" w:lineRule="auto" w:line="240"/>
        <w:jc w:val="center"/>
      </w:pPr>
      <w:r>
        <w:rPr>
          <w:rFonts w:ascii="Arial" w:hAnsi="Arial" w:eastAsia="Microsoft YaHei"/>
          <w:b/>
          <w:i w:val="0"/>
          <w:color w:val="183B56"/>
          <w:sz w:val="60"/>
        </w:rPr>
        <w:t>养老目标基金购买者</w:t>
      </w:r>
    </w:p>
    <w:p>
      <w:pPr>
        <w:keepNext w:val="0"/>
        <w:spacing w:before="0" w:after="260" w:lineRule="auto" w:line="240"/>
        <w:jc w:val="center"/>
      </w:pPr>
      <w:r>
        <w:rPr>
          <w:rFonts w:ascii="Arial" w:hAnsi="Arial" w:eastAsia="Microsoft YaHei"/>
          <w:b/>
          <w:i w:val="0"/>
          <w:color w:val="183B56"/>
          <w:sz w:val="60"/>
        </w:rPr>
        <w:t>调研报告</w:t>
      </w:r>
    </w:p>
    <w:p>
      <w:pPr>
        <w:keepNext w:val="0"/>
        <w:spacing w:before="0" w:after="6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22"/>
        </w:rPr>
        <w:t>购买路径 · 产品认知 · 下滑曲线 · 持有行为 · 投资者教育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3141"/>
        <w:gridCol w:w="3135"/>
        <w:gridCol w:w="3135"/>
      </w:tblGrid>
      <w:tr>
        <w:tc>
          <w:tcPr>
            <w:tcW w:type="dxa" w:w="3141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样本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200 份回传答卷</w:t>
            </w:r>
          </w:p>
        </w:tc>
        <w:tc>
          <w:tcPr>
            <w:tcW w:type="dxa" w:w="3135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问卷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INS-OTF-SURVEY-001 v0.2.0</w:t>
            </w:r>
          </w:p>
        </w:tc>
        <w:tc>
          <w:tcPr>
            <w:tcW w:type="dxa" w:w="3135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分析日期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2026-07-24</w:t>
            </w:r>
          </w:p>
        </w:tc>
      </w:tr>
    </w:tbl>
    <w:p>
      <w:pPr>
        <w:keepNext w:val="0"/>
        <w:spacing w:before="920" w:after="200" w:lineRule="auto" w:line="276"/>
        <w:jc w:val="center"/>
      </w:pPr>
      <w:r>
        <w:rPr>
          <w:rFonts w:ascii="Arial" w:hAnsi="Arial" w:eastAsia="Microsoft YaHei"/>
          <w:b/>
          <w:i w:val="0"/>
          <w:color w:val="20313F"/>
          <w:sz w:val="24"/>
        </w:rPr>
        <w:t>从“知道一些”到“能够判断”：识别关键认知边界与投教机会</w:t>
      </w:r>
    </w:p>
    <w:p>
      <w:pPr>
        <w:keepNext w:val="0"/>
        <w:spacing w:before="0" w:after="0" w:lineRule="auto" w:line="300"/>
        <w:jc w:val="center"/>
      </w:pPr>
      <w:r>
        <w:rPr>
          <w:rFonts w:ascii="Arial" w:hAnsi="Arial" w:eastAsia="Microsoft YaHei"/>
          <w:b w:val="0"/>
          <w:i w:val="0"/>
          <w:color w:val="60717D"/>
          <w:sz w:val="16"/>
        </w:rPr>
        <w:t>说明：本报告描述本次回传答卷，不代表全部养老目标基金购买者；不构成产品推荐、适当性判断或投资建议。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执行摘要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一句话结论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本次购买者样本并非“完全不了解”，而是处在“知道一些、关键边界仍不稳定”的中间状态：四道知识题全部答对仅 20.0%，购买前主动比较下滑曲线仅 3.5%；信息改进重点应从泛化产品介绍转向“如何选、配置怎样变、当前风险是什么、波动时如何理解”。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四个需要记住的数字</w:t>
      </w: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EF4F6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1F6E8C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34"/>
              </w:rPr>
              <w:t>20.0%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四题全部答对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40/200</w:t>
            </w:r>
          </w:p>
        </w:tc>
        <w:tc>
          <w:tcPr>
            <w:tcW w:type="dxa" w:w="2353"/>
            <w:shd w:fill="E8F5F1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2A9D8F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2A9D8F"/>
                <w:sz w:val="34"/>
              </w:rPr>
              <w:t>3.5%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主动比较下滑曲线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7/200</w:t>
            </w:r>
          </w:p>
        </w:tc>
        <w:tc>
          <w:tcPr>
            <w:tcW w:type="dxa" w:w="2353"/>
            <w:shd w:fill="FFF3E8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C85C1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C85C1A"/>
                <w:sz w:val="34"/>
              </w:rPr>
              <w:t>59.5%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未看或找不到曲线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119/200</w:t>
            </w:r>
          </w:p>
        </w:tc>
        <w:tc>
          <w:tcPr>
            <w:tcW w:type="dxa" w:w="2353"/>
            <w:shd w:fill="F1EAF7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7C5C99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7C5C99"/>
                <w:sz w:val="34"/>
              </w:rPr>
              <w:t>31.0%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首要信息需求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未来配置/下滑曲线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核心判断：结论、证据与含义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381"/>
        <w:gridCol w:w="3458"/>
        <w:gridCol w:w="3572"/>
      </w:tblGrid>
      <w:tr>
        <w:trPr>
          <w:tblHeader w:val="true"/>
        </w:trPr>
        <w:tc>
          <w:tcPr>
            <w:tcW w:type="dxa" w:w="238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判断</w:t>
            </w:r>
          </w:p>
        </w:tc>
        <w:tc>
          <w:tcPr>
            <w:tcW w:type="dxa" w:w="345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最关键证据</w:t>
            </w:r>
          </w:p>
        </w:tc>
        <w:tc>
          <w:tcPr>
            <w:tcW w:type="dxa" w:w="3572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对业务与研究的含义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买过不等于稳定理解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产品类型两题均答对 39.5%；四题全部答对 20.0%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产品说明应从单一术语介绍升级为跨概念、跨风险边界的理解支持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下滑曲线存在行为与自报落差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 3.5%；提示后自报影响 51.0%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不能合并为“使用率”；下一步需用材料任务或行为观察验证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触发关注与最终判断分层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触发前三为品牌、费率、表现；最终首位为风险类型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入口信息负责吸引注意，核心信息必须继续支持匹配判断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持有期解释仍有缺口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59.5% 未查看或想看但找不到；首要需求为未来配置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解释应延伸到当前配置、未来变化、调整原因和风险边界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三个优先动作</w:t>
      </w:r>
    </w:p>
    <w:p>
      <w:pPr>
        <w:pStyle w:val="ListNumber"/>
        <w:keepNext w:val="0"/>
        <w:numPr>
          <w:ilvl w:val="0"/>
          <w:numId w:val="10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购买说明分三层：类型匹配、当前与未来配置、风险边界。</w:t>
      </w:r>
    </w:p>
    <w:p>
      <w:pPr>
        <w:pStyle w:val="ListNumber"/>
        <w:keepNext w:val="0"/>
        <w:numPr>
          <w:ilvl w:val="0"/>
          <w:numId w:val="10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持有期突出当前配置、未来变化与调整原因，并在配置变化和市场波动时解释。</w:t>
      </w:r>
    </w:p>
    <w:p>
      <w:pPr>
        <w:pStyle w:val="ListNumber"/>
        <w:keepNext w:val="0"/>
        <w:numPr>
          <w:ilvl w:val="0"/>
          <w:numId w:val="10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投教优先采用年龄/退休年份示例、资产配置表、简短说明与 FAQ；IMA 只作次级入口。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一、研究目标与分析口径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1.1 研究目标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还原养老目标基金购买者最近一次购买时的触发、信息来源、比较过程和关键决策依据。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了解购买者能否识别自己所购产品属于目标日期或目标风险类型，并如何理解对应的选择逻辑。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了解购买者在购买前后是否接触、查看和使用过下滑曲线，以及对其作用和风险边界的理解。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识别购买后的持有行为、面对波动时的判断方式，以及仍需要的产品解释和陪伴信息。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1.2 样本与数据来源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本报告分析业务方于 2026 年 7 月 24 日回传的 200 份匿名问卷答卷。200 人均同意参与，并自报目前或过去持有过养老目标基金；其中目前仍持有 144 人（72.0%），已全部赎回 50 人（25.0%），不确定 6 人（3.0%）。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4989"/>
        <w:gridCol w:w="1701"/>
        <w:gridCol w:w="2721"/>
      </w:tblGrid>
      <w:tr>
        <w:trPr>
          <w:tblHeader w:val="true"/>
        </w:trPr>
        <w:tc>
          <w:tcPr>
            <w:tcW w:type="dxa" w:w="4989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样本特征</w:t>
            </w:r>
          </w:p>
        </w:tc>
        <w:tc>
          <w:tcPr>
            <w:tcW w:type="dxa" w:w="170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人数</w:t>
            </w:r>
          </w:p>
        </w:tc>
        <w:tc>
          <w:tcPr>
            <w:tcW w:type="dxa" w:w="272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比例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18—29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33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16.5%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30—39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40—49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70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35.0%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50—59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34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17.0%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基金投资经验不足 1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27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13.5%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 1—3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81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 4—6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20.0%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 6 年以上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52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26.0%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未提供抽样框、发行渠道结构或总体分布，因此本报告不加权、不作总体推断，也不使用显著性检验。年龄分群只作方向性比较，不生成正式客户标签。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1.3 数据有效性与校正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268"/>
        <w:gridCol w:w="1814"/>
        <w:gridCol w:w="5329"/>
      </w:tblGrid>
      <w:tr>
        <w:trPr>
          <w:tblHeader w:val="true"/>
        </w:trPr>
        <w:tc>
          <w:tcPr>
            <w:tcW w:type="dxa" w:w="226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181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329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硬排除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未发现未同意、明显不符合资格、无实质数据或确认重复等硬排除情形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速度复核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12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答题时长低于批次中位数的三分之一；不因单一速度信号删除，另做敏感性分析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互斥逻辑冲突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94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平台未启用互斥逻辑；互斥项与实质选项并存时，只移除互斥项并保留实质选择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字段映射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 个问题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35 个题组均可映射到问卷规格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高缺失/完全重复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均为 0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未触发排除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分析状态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ANALYSIS_READY_WITH_LIMITS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可用于内部分析，但外发前仍需人工复核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剔除 12 份速度标记后的关键指标与全部 200 份相比，绝对差异为 0.2—2.2 个百分点，主要结论稳定。平台 IP、地区、设备、浏览器 UA 等元数据未进入分析，也未在交付物中保留。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FFF3D6"/>
            <w:tcBorders>
              <w:top w:val="single" w:sz="14" w:color="B7791F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B7791F"/>
                <w:sz w:val="21"/>
              </w:rPr>
              <w:t>开放题使用边界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Q29 共 39 人作答，但出现完全相同表述的重复记录。本报告只保留轻量主题计数，不将开放题原文作为独立真实性证明，也不作为受访者逐字引语。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二、购买路径：用户如何接触、比较并决定购买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2.1 首次接触渠道与决策角色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首次接触渠道较为分散：第三方基金销售平台与银行/客户经理并列第一，均为 37/200（18.5%）；新闻、短视频或其他网络内容为 34/200（17.0%）；亲友介绍为 27/200（13.5%）；基金公司自有渠道为 25/200（12.5%）。单一渠道没有形成绝对主导。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在最终决定角色上，主要由本人决定为 68/200（34.0%）；主要听取或与客户经理/专业人员共同决定合计 69/200（34.5%）；与家人共同决定或主要听取亲友建议合计 57/200（28.5%）。这意味着信息设计既要支持个人判断，也要考虑专业人员和家庭共同决策的转述场景。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2.2 购买触发、看到的信息与主动比较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324"/>
        <w:gridCol w:w="3969"/>
        <w:gridCol w:w="3118"/>
      </w:tblGrid>
      <w:tr>
        <w:trPr>
          <w:tblHeader w:val="true"/>
        </w:trPr>
        <w:tc>
          <w:tcPr>
            <w:tcW w:type="dxa" w:w="232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前三项</w:t>
            </w:r>
          </w:p>
        </w:tc>
        <w:tc>
          <w:tcPr>
            <w:tcW w:type="dxa" w:w="311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研究解释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购买触发（多选）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品牌/团队 31.5%；费率或 Y 份额 26.0%；历史表现 25.5%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更像进入关注范围的触发器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购买前看到（多选）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基金名称/目标年份 61.0%；风险类型 53.5%；历史表现 48.5%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曝光不等于认真比较或理解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购买前主动比较（多选）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退休年份 43.5%；风险类型 40.0%；历史表现 37.5%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更接近主动判断过程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最终最重要（单选）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风险类型 20.5%；历史表现 13.0%；退休年份 11.0%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单一关键判断中风险匹配居首</w:t>
            </w:r>
          </w:p>
        </w:tc>
      </w:tr>
    </w:tbl>
    <w:p>
      <w:pPr>
        <w:spacing w:after="4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1" name="Picture 1" descr="三栏排序图。购买触发前三为品牌或团队31.5%、费率或Y份额26.0%、历史表现25.5%；主动比较前三为退休年份43.5%、风险类型40.0%、历史表现37.5%；最终最重要前三为风险类型20.5%、历史表现13.0%、退休年份11.0%。" title="图 1　购买触发、主动比较与最终判断的前三项；Q6/Q8 为多选，Q9 为单选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cision_path_v1.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1　购买触发、主动比较与最终判断的前三项；Q6/Q8 为多选，Q9 为单选（n=200）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研究回答（RQ-001 / RQ-004）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购买路径存在“两层结构”：品牌、费率和历史表现更容易触发关注；进入比较后，退休年份和风险类型更接近用户主动判断标准。后续产品信息不宜只围绕吸引点击的入口因素，还要帮助用户完成类型与个人情况的匹配判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三、产品类型认知：买过不等于理解稳定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3.1 主观认知与客观知识题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用户对“目标日期型/目标风险型”的主观熟悉程度并不高：仅 35/200（17.5%）认为自己比较了解并能向别人解释；66/200（33.0%）表示大概知道但说不清楚；49/200（24.5%）听说过但不了解区别；其余为以前未听说或不确定。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客观知识题结果同样显示理解并不稳定。目标日期含义答对 60.0%，目标风险含义答对 61.5%，但两题同时答对仅 39.5%；再加入下滑曲线含义与风险边界两题后，四题全部答对仅 20.0%。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7"/>
            <wp:docPr id="2" name="Picture 2" descr="横向条形图。四道单项知识题正确率为60.0%至63.5%，产品类型两题均答对39.5%，下滑曲线两题均答对43.0%，四题全部答对20.0%。" title="图 2　单项正确率与组合掌握率必须分开解释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knowledge_v1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2　单项正确率与组合掌握率必须分开解释（n=200）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研究回答（RQ-002）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本次购买者样本并非完全不了解产品，而是对单个概念有一定识别、但跨概念的稳定理解不足。报告因此分别呈现“听说过、主观觉得了解、知识题答对”，不把其中任何一个口径替代另一个。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四、下滑曲线：主动比较弱，提示后自报使用高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4.1 知晓、查看、使用与理解必须分开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494"/>
        <w:gridCol w:w="2381"/>
        <w:gridCol w:w="4535"/>
      </w:tblGrid>
      <w:tr>
        <w:trPr>
          <w:tblHeader w:val="true"/>
        </w:trPr>
        <w:tc>
          <w:tcPr>
            <w:tcW w:type="dxa" w:w="249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38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53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听说过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125/200（62.5%）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至少听说过，但不代表看过或理解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购买前看过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88/200（44.0%）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包括大致看过或认真看过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持有期看过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60/200（30.0%）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至少查看过一次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购买前主动比较过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7/200（3.5%）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自然购买比较中的主动使用非常低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提示后自报影响过决策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102/200（51.0%）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直接询问时的回忆性自报，不能与主动比较率合并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两道相关知识题均答对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86/200（43.0%）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作为理解口径，与看过和自报使用分开</w:t>
            </w:r>
          </w:p>
        </w:tc>
      </w:tr>
    </w:tbl>
    <w:p>
      <w:pPr>
        <w:spacing w:after="4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0078"/>
            <wp:docPr id="3" name="Picture 3" descr="横向条形图。听说过下滑曲线62.5%，购买前看过44.0%，持有期看过30.0%，主动比较过3.5%；提示后自报影响决策51.0%，两道相关知识题均答对43.0%。" title="图 3　自然接触、主动行为、提示后自报与知识理解使用不同口径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lide_v1.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3　自然接触、主动行为、提示后自报与知识理解使用不同口径（n=200）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持有期间，85/200（42.5%）从未查看下滑曲线，34/200（17.0%）想看但不知道在哪里看，合计 119/200（59.5%）。这说明下滑曲线既存在认知问题，也存在信息可发现性问题。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FFF3D6"/>
            <w:tcBorders>
              <w:top w:val="single" w:sz="14" w:color="B7791F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B7791F"/>
                <w:sz w:val="21"/>
              </w:rPr>
              <w:t>研究回答（RQ-003）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HYP-002 得到部分支持，但存在明显口径矛盾：主动比较率只有 3.5%，提示后自报影响决策却达到 51.0%。更稳妥的解释是，下滑曲线并非多数用户在自然购买过程中主动调用的信息，但在被提示后，一部分人会把它纳入事后回忆或宽泛的决策解释。后续应通过材料理解任务或行为观察验证，而不是继续追问“有没有用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五、持有行为：波动时先找信息，长期陪伴仍有缺口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5.1 持有与调整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经互斥项校正后，99/200（49.5%）表示一直持有、没有调整；71/200（35.5%）曾定投或追加；部分赎回与全部赎回均为 32/200（16.0%）；16/200（8.0%）曾转换为其他基金或养老产品。因该题为多选，比例之和可超过 100%。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面对较大净值波动时，61/200（30.5%）会先查询信息或咨询他人再决定是否操作，46/200（23.0%）继续持有且没有操作，22/200（11.0%）追加，28/200（14.0%）部分或全部赎回。信息解释在行为发生前具有明显的决策支持位置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5.2 波动理由与配置查看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在经历过波动的适用人群中（n=157），把产品视为长期养老投资、愿意继续持有与理解净值波动可能正常均为 69/157（43.9%）；同时，58/157（36.9%）担心继续亏损，27/157（17.2%）不清楚为什么下跌。长期定位与短期焦虑可以同时存在。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对当前资产配置变化的查看也不稳定：偶尔查看 29.0%，主要在市场波动较大时查看 24.0%，定期查看 14.0%；从未查看或想看但找不到入口合计 30.0%。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研究回答（RQ-005）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持有者并非只关心收益数字。波动时，很多人先寻找解释再决定是否操作；因此持有期内容需要回答“为什么变、现在风险多大、未来怎样变”，同时避免把解释材料写成具体的加仓、持有或赎回建议。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六、信息需求与投资者教育建议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6.1 用户最希望补充什么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最希望补充的信息前三位为：未来配置如何变化/下滑曲线 62/200（31.0%）、当前资产配置和风险水平 52/200（26.0%）、如何根据退休年份或风险类型选择 51/200（25.5%）。持有期不确定性则集中在未来配置变化 27.5%、当前风险 26.0% 和调整配置的原因 22.5%。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67503"/>
            <wp:docPr id="4" name="Picture 4" descr="三栏排序图。优先内容首位为未来配置或下滑曲线31.0%；偏好形式首位为结合年龄或退休年份举例30.0%；希望时点首位为第一次了解产品时31.5%。内容、形式和时点均为偏好信号，不代表材料有效。" title="图 4　投资者教育的优先内容、偏好形式与希望时点（多选，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ducation_v1.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7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4　投资者教育的优先内容、偏好形式与希望时点（多选，n=200）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6.2 建议的投教内容框架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814"/>
        <w:gridCol w:w="2665"/>
        <w:gridCol w:w="3231"/>
        <w:gridCol w:w="1701"/>
      </w:tblGrid>
      <w:tr>
        <w:trPr>
          <w:tblHeader w:val="true"/>
        </w:trPr>
        <w:tc>
          <w:tcPr>
            <w:tcW w:type="dxa" w:w="181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266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需要解决的问题</w:t>
            </w:r>
          </w:p>
        </w:tc>
        <w:tc>
          <w:tcPr>
            <w:tcW w:type="dxa" w:w="323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建议内容</w:t>
            </w:r>
          </w:p>
        </w:tc>
        <w:tc>
          <w:tcPr>
            <w:tcW w:type="dxa" w:w="170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A. 我该选哪类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目标日期型与目标风险型如何匹配个人情况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一段简明区别说明 + 年龄/退休年份示例 + 2 道理解题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不替用户做适当性判断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B. 基金会怎样变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下滑曲线、当前配置与未来配置路径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资产配置表 + 简化下滑曲线 + 调整原因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明确配置路径不等于收益路径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C. 当前风险是什么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降低高波动资产是否意味着没有风险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单独的风险边界说明 + 市场波动场景问答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不承诺收益或本金安全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D. 持有中发生什么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调整、波动、追加与赎回规则如何理解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配置调整通知 + FAQ + 可找到的规则入口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不推荐具体操作时点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E. 账户与份额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Y 份额和个人养老金账户规则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只呈现经金融事实审核的规则说明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上线前继续做事实与合规复核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6.3 建议的形式与触达时点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形式上，年龄/退休年份示例（30.0%）、资产配置表（24.5%）、一句话说明（24.0%）居前，说明投教应把抽象术语转换为具体个人情境和可视化配置。时点上，首次了解产品（31.5%）、基金调整资产配置时（26.5%）和市场波动较大时（24.5%）居前，表明投教需要贯穿购买前与持有期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6.4 IMA 知识库的合适位置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本次样本中，自行搜索知识库的形式偏好为 17/200（8.5%），低于示例、表格、简短说明和 FAQ。因此 IMA 更适合放在核心解释之后，作为“如果想进一步了解金融常识，可继续搜索”的次级入口，而不是替代问卷内的必要解释。</w:t>
      </w:r>
    </w:p>
    <w:p>
      <w:pPr>
        <w:keepNext w:val="0"/>
        <w:spacing w:before="0" w:after="100" w:lineRule="auto" w:line="300"/>
      </w:pPr>
      <w:r>
        <w:rPr>
          <w:rFonts w:ascii="Arial" w:hAnsi="Arial" w:eastAsia="Microsoft YaHei"/>
          <w:b/>
          <w:i w:val="0"/>
          <w:color w:val="20313F"/>
          <w:sz w:val="21"/>
        </w:rPr>
        <w:t>可保留的桥梁：</w:t>
      </w:r>
      <w:hyperlink r:id="rId17">
        <w:r>
          <w:rPr>
            <w:rFonts w:eastAsia="Microsoft YaHei"/>
            <w:color w:val="1F6E8C"/>
            <w:u w:val="single"/>
          </w:rPr>
          <w:t>易方达基金 IMA 知识库（了解更多）</w:t>
        </w:r>
      </w:hyperlink>
      <w:r>
        <w:rPr>
          <w:rFonts w:ascii="Arial" w:hAnsi="Arial" w:eastAsia="Microsoft YaHei"/>
          <w:b w:val="0"/>
          <w:i w:val="0"/>
          <w:color w:val="20313F"/>
          <w:sz w:val="21"/>
        </w:rPr>
        <w:t>。当前工作流不启用 IMA 自动检索，不追踪点击或阅读时长。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6.5 如何验证投教是否有效</w:t>
      </w:r>
    </w:p>
    <w:p>
      <w:pPr>
        <w:pStyle w:val="ListNumber"/>
        <w:keepNext w:val="0"/>
        <w:numPr>
          <w:ilvl w:val="0"/>
          <w:numId w:val="11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材料上线前：让用户阅读原版与改版材料，使用同口径知识题比较目标日期/目标风险、下滑曲线和风险边界的理解差异。</w:t>
      </w:r>
    </w:p>
    <w:p>
      <w:pPr>
        <w:pStyle w:val="ListNumber"/>
        <w:keepNext w:val="0"/>
        <w:numPr>
          <w:ilvl w:val="0"/>
          <w:numId w:val="11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材料上线后：关注关键误解率、信息是否能找到、用户能否用自己的话正确解释；点击、停留或表示喜欢只作为过程信号。</w:t>
      </w:r>
    </w:p>
    <w:p>
      <w:pPr>
        <w:pStyle w:val="ListNumber"/>
        <w:keepNext w:val="0"/>
        <w:numPr>
          <w:ilvl w:val="0"/>
          <w:numId w:val="11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年龄分群只用于原型优先级：例如 18—29 岁更偏好短视频，50—59 岁更偏好年龄示例和资产配置表；正式上线前仍需做材料测试。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研究回答（RQ-006）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投资者教育的主线应从“普及更多术语”转为“支持具体判断”：首次了解时帮助选类型，购买页说明配置与风险，配置调整和市场波动时解释变化，最后再通过 IMA 等知识库承接深入学习。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七、年龄分群：只作方向性设计线索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5" name="Picture 5" descr="热力图。四个年龄组在产品类型知识、下滑曲线知识、短视频偏好、年龄或退休年份示例偏好和资产配置表偏好上存在描述性差异。未进行显著性检验。" title="图 5　年龄组的认知与形式偏好仅作描述性比较，不用于客户打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ge_heatmap_v1.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5　年龄组的认知与形式偏好仅作描述性比较，不用于客户打标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794"/>
        <w:gridCol w:w="2041"/>
        <w:gridCol w:w="2098"/>
        <w:gridCol w:w="2721"/>
      </w:tblGrid>
      <w:tr>
        <w:trPr>
          <w:tblHeader w:val="true"/>
        </w:trPr>
        <w:tc>
          <w:tcPr>
            <w:tcW w:type="dxa" w:w="1757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年龄组</w:t>
            </w:r>
          </w:p>
        </w:tc>
        <w:tc>
          <w:tcPr>
            <w:tcW w:type="dxa" w:w="79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204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产品类型两题均答对</w:t>
            </w:r>
          </w:p>
        </w:tc>
        <w:tc>
          <w:tcPr>
            <w:tcW w:type="dxa" w:w="209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下滑曲线两题均答对</w:t>
            </w:r>
          </w:p>
        </w:tc>
        <w:tc>
          <w:tcPr>
            <w:tcW w:type="dxa" w:w="272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更突出的方向性线索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18—29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27.3%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27.3%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短视频偏好 42.4%；选择逻辑需求 33.3%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30—39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41.3%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54.0%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下滑曲线需求 33.3%；当前配置/风险 30.2%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40—49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70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48.6%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40.0%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下滑曲线需求 37.1%；Y 份额规则 20.0%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50—59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34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29.4%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44.1%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年龄示例 41.2%；资产配置表 32.4%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上述差异没有经过显著性检验，且样本来源未知。它们可以帮助下一轮材料设计选择不同原型，但不能写成稳定的人群特征，也不能用于客户打标。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八、假设检验结论</w:t>
      </w:r>
    </w:p>
    <w:tbl>
      <w:tblPr>
        <w:tblW w:type="dxa" w:w="9468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134"/>
        <w:gridCol w:w="1814"/>
        <w:gridCol w:w="3685"/>
        <w:gridCol w:w="2835"/>
      </w:tblGrid>
      <w:tr>
        <w:trPr>
          <w:tblHeader w:val="true"/>
        </w:trPr>
        <w:tc>
          <w:tcPr>
            <w:tcW w:type="dxa" w:w="113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181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68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type="dxa" w:w="283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解释边界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Q17/Q18 同时答对 79/200（39.5%）；单题正确率分别为 60.0% 和 61.5%。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知识题正确率只描述本次样本，不等于全部购买者认知水平。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部分支持，存在矛盾证据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购买前主动把下滑曲线纳入比较仅 7/200（3.5%），但直接询问时有 102/200（51.0%）称其影响过决策。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不同题目提示强度和回忆方式不同，不能合并为单一使用率。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HYP-003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在主动比较口径下不支持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主动比较中，退休年份 43.5%、风险类型 40.0%，均高于历史业绩 37.5%；最终最重要因素也是风险类型居首（20.5%）。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购买触发仍更多出现品牌/团队（31.5%）、费率/Y 份额（26.0%）和历史表现（25.5%），说明触发与最终判断并非同一层。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HYP-004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持有期不确定性前三为未来配置变化 27.5%、当前风险 26.0%、配置调整原因 22.5%；最希望补充的内容首位是下滑曲线（31.0%）。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多选比例描述需求频次，不代表内容有效性或业务优先级已经获批。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九、发现—洞察—建议链路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9.1 购买者对养老目标基金存在“知道一些、但关键边界不稳定”的中间状态；单纯增加术语曝光不足以替代理解验证。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证据来源：FINDING-OTF-001 购买经历并未转化为稳定的产品类型与风险边界理解；FINDING-OTF-002 下滑曲线在主动比较中弱，但直接提示后自报使用并不低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其他可能解释：知识题本身的难度和题干理解会影响正确率；本次样本来源未知，不能代表市场总体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建议 REC-OTF-001｜HIGH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在购买说明中采用“先判断类型与匹配逻辑—再看当前配置与未来变化—最后明确风险边界”的三层信息顺序。 验证方式：以改版前后同口径知识题比较理解结果，并记录阅读负担。</w:t>
            </w:r>
          </w:p>
        </w:tc>
      </w:tr>
    </w:tbl>
    <w:p>
      <w:pPr>
        <w:spacing w:after="20"/>
      </w:pP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建议 REC-OTF-003｜HIGH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投教优先解释目标日期/目标风险的选择逻辑、下滑曲线、当前风险与市场波动边界，采用年龄/退休年份示例、资产配置表和简短问答组合。 验证方式：使用教育前后同口径理解题或材料版本对比，验证是否减少误解；不能只看点击率。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9.2 吸引购买的入口信息与支撑最终判断的信息不同：品牌、费率和历史表现更像触发器，风险类型和退休年份更接近主动判断标准。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证据来源：FINDING-OTF-003 购买触发与最终判断依据分成两层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其他可能解释：回忆偏差可能使回答者用当前理解重构过去决策；多选触发与单选最重要因素的题型不同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建议 REC-OTF-001｜HIGH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在购买说明中采用“先判断类型与匹配逻辑—再看当前配置与未来变化—最后明确风险边界”的三层信息顺序。 验证方式：以改版前后同口径知识题比较理解结果，并记录阅读负担。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9.3 投教不应只发生在购买前；配置变化和市场波动是持有人重新理解产品机制的关键时点。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证据来源：FINDING-OTF-004 持有期的信息缺口集中在当前风险、未来配置和调整原因；FINDING-OTF-005 投教更适合从具体情境和可视化解释切入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其他可能解释：表达偏好不等于真实理解提升；未测试具体材料，无法判断不同形式的实际效果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建议 REC-OTF-002｜HIGH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在持有页面提供可找到的当前配置、未来配置变化和调整原因说明，并在市场波动或配置调整时主动提示查看。 验证方式：先做小范围可用性测试，确认用户能找到并正确解释信息，再评估长期使用。</w:t>
            </w:r>
          </w:p>
        </w:tc>
      </w:tr>
    </w:tbl>
    <w:p>
      <w:pPr>
        <w:spacing w:after="20"/>
      </w:pP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建议 REC-OTF-003｜HIGH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投教优先解释目标日期/目标风险的选择逻辑、下滑曲线、当前风险与市场波动边界，采用年龄/退休年份示例、资产配置表和简短问答组合。 验证方式：使用教育前后同口径理解题或材料版本对比，验证是否减少误解；不能只看点击率。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十、限制与后续建议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样本来源和发行渠道结构未知，不能代表养老目标基金市场总体，也不能用于估算市场比例。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平台未启用四道多选题的互斥逻辑，已按预定义规则校正，但仍使数据集处于带限制可分析状态。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12 份偏快答卷未因单一时长信号删除；敏感性分析支持主要结论稳定。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开放回答存在完全相同表述，只用于主题计数，不用于逐字引用或证明真实经历。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本研究是一次横截面自报问卷，无法证明信息偏好一定带来理解或行为改变。</w:t>
      </w:r>
    </w:p>
    <w:p>
      <w:pPr>
        <w:pStyle w:val="ListBullet"/>
        <w:keepNext w:val="0"/>
        <w:spacing w:before="0" w:after="4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年龄差异仅为描述性方向；不进行事后新增分群，也不形成客户画像标签。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建议的下一步</w:t>
      </w:r>
    </w:p>
    <w:p>
      <w:pPr>
        <w:pStyle w:val="ListNumber"/>
        <w:keepNext w:val="0"/>
        <w:numPr>
          <w:ilvl w:val="0"/>
          <w:numId w:val="12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由研究人员和业务/合规共同复核本报告，确认互斥项校正规则和金融表达后再外发。</w:t>
      </w:r>
    </w:p>
    <w:p>
      <w:pPr>
        <w:pStyle w:val="ListNumber"/>
        <w:keepNext w:val="0"/>
        <w:numPr>
          <w:ilvl w:val="0"/>
          <w:numId w:val="12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选择一个最小投教原型：优先制作“下滑曲线 + 当前/未来配置 + 风险边界”的一页材料。</w:t>
      </w:r>
    </w:p>
    <w:p>
      <w:pPr>
        <w:pStyle w:val="ListNumber"/>
        <w:keepNext w:val="0"/>
        <w:numPr>
          <w:ilvl w:val="0"/>
          <w:numId w:val="12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设计材料对比或阅读前后测，使用本次知识题口径验证理解改善，不以点击率作为主要成功指标。</w:t>
      </w:r>
    </w:p>
    <w:p>
      <w:pPr>
        <w:pStyle w:val="ListNumber"/>
        <w:keepNext w:val="0"/>
        <w:numPr>
          <w:ilvl w:val="0"/>
          <w:numId w:val="12"/>
        </w:numPr>
        <w:spacing w:before="0" w:after="60" w:lineRule="auto" w:line="30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下一轮发行时在问卷平台启用互斥逻辑和选项上限，并保留结构化字段回传，以减少人工校正。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A｜核心口径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3969"/>
        <w:gridCol w:w="3685"/>
      </w:tblGrid>
      <w:tr>
        <w:trPr>
          <w:tblHeader w:val="true"/>
        </w:trPr>
        <w:tc>
          <w:tcPr>
            <w:tcW w:type="dxa" w:w="1757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口径</w:t>
            </w:r>
          </w:p>
        </w:tc>
        <w:tc>
          <w:tcPr>
            <w:tcW w:type="dxa" w:w="3969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368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听说过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回答者自报至少知道该术语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不能替代实际查看或理解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看过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回答者自报接触过相关信息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不能替代主动比较或正确理解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主动比较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购买前将该信息作为比较因素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不能替代最终最重要因素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自报影响决策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在直接提示后回忆其影响购买、类型或持有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不能与主动比较率合并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知识理解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按预定义答案判断知识题是否答对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不能推断真实投资能力或适当性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信息偏好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多选题中表达希望的内容、形式或时点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不能证明材料有效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B｜敏感性分析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3515"/>
        <w:gridCol w:w="1928"/>
        <w:gridCol w:w="2268"/>
        <w:gridCol w:w="1701"/>
      </w:tblGrid>
      <w:tr>
        <w:trPr>
          <w:tblHeader w:val="true"/>
        </w:trPr>
        <w:tc>
          <w:tcPr>
            <w:tcW w:type="dxa" w:w="351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92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全部 200 份</w:t>
            </w:r>
          </w:p>
        </w:tc>
        <w:tc>
          <w:tcPr>
            <w:tcW w:type="dxa" w:w="226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剔除 12 份速度标记</w:t>
            </w:r>
          </w:p>
        </w:tc>
        <w:tc>
          <w:tcPr>
            <w:tcW w:type="dxa" w:w="170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差异（百分点）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Q17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62.2%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Q18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60.6%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Q19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63.3%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Q20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62.0%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61.7%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比较退休年份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43.1%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比较风险类型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41.0%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希望了解下滑曲线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31.4%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C｜文件与可追溯信息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381"/>
        <w:gridCol w:w="7030"/>
      </w:tblGrid>
      <w:tr>
        <w:trPr>
          <w:tblHeader w:val="true"/>
        </w:trPr>
        <w:tc>
          <w:tcPr>
            <w:tcW w:type="dxa" w:w="238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来源文件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FOF问卷回答_200人.csv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来源文件 SHA-256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a5d531ac3fac82e284014c13558dce55868df817d67121b0fe61ce1804d36b4f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分析产物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analysis-results.v0.1.0.json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配套工作簿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养老目标基金购买者问卷分析_200份答卷.xlsx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个人数据处理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未在报告或工作簿中使用平台 IP、地区、设备与 UA 字段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发布状态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内部最终分析稿；正式 Gate 2、逐条人工复核与 Gate 3/4 批准尚未形成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0717D"/>
        <w:sz w:val="17"/>
      </w:rPr>
      <w:t xml:space="preserve">第 </w:t>
    </w:r>
    <w:fldSimple w:instr="PAGE">
      <w:r>
        <w:rPr>
          <w:rFonts w:eastAsia="Microsoft YaHei"/>
          <w:sz w:val="17"/>
          <w:color w:val="60717D"/>
        </w:rPr>
      </w:r>
    </w:fldSimple>
    <w:r>
      <w:rPr>
        <w:rFonts w:ascii="Arial" w:hAnsi="Arial" w:eastAsia="Microsoft YaHei"/>
        <w:b w:val="0"/>
        <w:i w:val="0"/>
        <w:color w:val="60717D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i w:val="0"/>
        <w:color w:val="60717D"/>
        <w:sz w:val="16"/>
      </w:rPr>
      <w:t>养老目标基金购买者研究｜内部研究报告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Microsoft YaHei"/>
      <w:color w:val="2031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6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ind w:left="680" w:hanging="198"/>
      <w:contextualSpacing/>
    </w:pPr>
    <w:rPr>
      <w:rFonts w:ascii="Arial" w:hAnsi="Arial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8" w:hanging="238"/>
      <w:contextualSpacing/>
    </w:pPr>
    <w:rPr>
      <w:rFonts w:ascii="Arial" w:hAnsi="Arial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rPr>
      <w:rFonts w:ascii="Microsoft YaHei" w:hAnsi="Microsoft YaHei" w:eastAsia="Microsoft YaHei"/>
      <w:color w:val="6071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ima.qq.com/wiki/?shareId=3f82c28e1844208f0d4489f0ef3057c012f070cdce772a8ee050212c899234fc" TargetMode="External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养老目标基金购买者调研最终报告 v1.0</dc:title>
  <dc:subject>购买路径、产品认知、下滑曲线、持有行为与投资者教育需求</dc:subject>
  <dc:creator>AI 辅助用户研究工作流</dc:creator>
  <cp:keywords>养老目标基金, FOF, 用户研究, 问卷, 投资者教育</cp:keywords>
  <dc:description>最终版 v1.0；数据和结论口径不变；外发前需人工发布审核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