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160" w:after="140" w:lineRule="auto" w:line="240"/>
      </w:pPr>
      <w:r>
        <w:rPr>
          <w:rFonts w:ascii="Arial" w:hAnsi="Arial" w:eastAsia="Microsoft YaHei"/>
          <w:b/>
          <w:i w:val="0"/>
          <w:color w:val="B7791F"/>
          <w:sz w:val="21"/>
        </w:rPr>
        <w:t>CHAPTER 06  |  分群分析</w:t>
      </w:r>
    </w:p>
    <w:p>
      <w:pPr>
        <w:keepNext w:val="0"/>
        <w:keepLines w:val="0"/>
        <w:spacing w:before="0" w:after="40" w:lineRule="auto" w:line="240"/>
      </w:pPr>
      <w:r>
        <w:rPr>
          <w:rFonts w:ascii="Arial" w:hAnsi="Arial" w:eastAsia="Microsoft YaHei"/>
          <w:b/>
          <w:i w:val="0"/>
          <w:color w:val="183B56"/>
          <w:sz w:val="50"/>
        </w:rPr>
        <w:t>年龄与投资经验</w:t>
      </w:r>
    </w:p>
    <w:p>
      <w:pPr>
        <w:keepNext w:val="0"/>
        <w:keepLines w:val="0"/>
        <w:spacing w:before="0" w:after="280" w:lineRule="auto" w:line="240"/>
      </w:pPr>
      <w:r>
        <w:rPr>
          <w:rFonts w:ascii="Arial" w:hAnsi="Arial" w:eastAsia="Microsoft YaHei"/>
          <w:b/>
          <w:i w:val="0"/>
          <w:color w:val="2878A6"/>
          <w:sz w:val="32"/>
        </w:rPr>
        <w:t>认知差异存在方向，但尚未形成稳定分层</w:t>
      </w:r>
    </w:p>
    <w:p>
      <w:pPr>
        <w:keepNext w:val="0"/>
        <w:keepLines w:val="0"/>
        <w:spacing w:before="0" w:after="280" w:lineRule="auto" w:line="300"/>
        <w:jc w:val="both"/>
      </w:pPr>
      <w:r>
        <w:rPr>
          <w:rFonts w:ascii="Arial" w:hAnsi="Arial" w:eastAsia="Microsoft YaHei"/>
          <w:b w:val="0"/>
          <w:i w:val="0"/>
          <w:color w:val="20313F"/>
          <w:sz w:val="23"/>
        </w:rPr>
        <w:t>本章重点考察年龄和基金投资经验是否影响投资者对养老目标基金的理解、购买判断和持有期行为。分析结果显示，年龄差异并非线性变化；投资经验有助于知识积累，但无法自动形成完整的产品判断。</w:t>
      </w:r>
    </w:p>
    <w:tbl>
      <w:tblPr>
        <w:tblW w:type="dxa" w:w="9360"/>
        <w:tblLayout w:type="fixed"/>
        <w:tblLook w:firstColumn="1" w:firstRow="1" w:lastColumn="0" w:lastRow="0" w:noHBand="0" w:noVBand="1" w:val="04A0"/>
        <w:jc w:val="center"/>
        <w:tblInd w:w="100" w:type="dxa"/>
      </w:tblPr>
      <w:tblGrid>
        <w:gridCol w:w="2340"/>
        <w:gridCol w:w="2340"/>
        <w:gridCol w:w="2340"/>
        <w:gridCol w:w="2340"/>
      </w:tblGrid>
      <w:tr>
        <w:trPr>
          <w:tblHeader w:val="true"/>
        </w:trPr>
        <w:tc>
          <w:tcPr>
            <w:tcW w:type="dxa" w:w="2340"/>
            <w:shd w:fill="EEF4F6"/>
            <w:tcBorders>
              <w:top w:val="single" w:sz="5" w:color="DCE5EA"/>
              <w:left w:val="single" w:sz="5" w:color="DCE5EA"/>
              <w:bottom w:val="single" w:sz="5" w:color="DCE5EA"/>
              <w:right w:val="single" w:sz="5" w:color="DCE5EA"/>
              <w:insideH w:val="single" w:sz="5" w:color="DCE5EA"/>
              <w:insideV w:val="single" w:sz="5" w:color="DCE5EA"/>
            </w:tcBorders>
            <w:tcMar>
              <w:top w:w="140" w:type="dxa"/>
              <w:bottom w:w="140" w:type="dxa"/>
              <w:start w:w="100" w:type="dxa"/>
              <w:end w:w="100" w:type="dxa"/>
            </w:tcMar>
            <w:vAlign w:val="center"/>
          </w:tcPr>
          <w:p>
            <w:pPr>
              <w:keepNext w:val="0"/>
              <w:keepLines w:val="0"/>
              <w:spacing w:before="0" w:after="40" w:lineRule="auto" w:line="240"/>
              <w:jc w:val="center"/>
            </w:pPr>
            <w:r/>
            <w:r>
              <w:rPr>
                <w:rFonts w:ascii="Arial" w:hAnsi="Arial" w:eastAsia="Microsoft YaHei"/>
                <w:b/>
                <w:i w:val="0"/>
                <w:color w:val="183B56"/>
                <w:sz w:val="28"/>
              </w:rPr>
              <w:t>200人</w:t>
            </w:r>
          </w:p>
          <w:p>
            <w:pPr>
              <w:keepNext w:val="0"/>
              <w:keepLines w:val="0"/>
              <w:spacing w:before="0" w:after="0" w:lineRule="auto" w:line="240"/>
              <w:jc w:val="center"/>
            </w:pPr>
            <w:r>
              <w:rPr>
                <w:rFonts w:ascii="Arial" w:hAnsi="Arial" w:eastAsia="Microsoft YaHei"/>
                <w:b w:val="0"/>
                <w:i w:val="0"/>
                <w:color w:val="60717D"/>
                <w:sz w:val="17"/>
              </w:rPr>
              <w:t>有效样本</w:t>
            </w:r>
          </w:p>
        </w:tc>
        <w:tc>
          <w:tcPr>
            <w:tcW w:type="dxa" w:w="2340"/>
            <w:shd w:fill="E8F4F1"/>
            <w:tcBorders>
              <w:top w:val="single" w:sz="5" w:color="DCE5EA"/>
              <w:left w:val="single" w:sz="5" w:color="DCE5EA"/>
              <w:bottom w:val="single" w:sz="5" w:color="DCE5EA"/>
              <w:right w:val="single" w:sz="5" w:color="DCE5EA"/>
              <w:insideH w:val="single" w:sz="5" w:color="DCE5EA"/>
              <w:insideV w:val="single" w:sz="5" w:color="DCE5EA"/>
            </w:tcBorders>
            <w:tcMar>
              <w:top w:w="140" w:type="dxa"/>
              <w:bottom w:w="140" w:type="dxa"/>
              <w:start w:w="100" w:type="dxa"/>
              <w:end w:w="100" w:type="dxa"/>
            </w:tcMar>
            <w:vAlign w:val="center"/>
          </w:tcPr>
          <w:p>
            <w:pPr>
              <w:keepNext w:val="0"/>
              <w:keepLines w:val="0"/>
              <w:spacing w:before="0" w:after="40" w:lineRule="auto" w:line="240"/>
              <w:jc w:val="center"/>
            </w:pPr>
            <w:r/>
            <w:r>
              <w:rPr>
                <w:rFonts w:ascii="Arial" w:hAnsi="Arial" w:eastAsia="Microsoft YaHei"/>
                <w:b/>
                <w:i w:val="0"/>
                <w:color w:val="183B56"/>
                <w:sz w:val="28"/>
              </w:rPr>
              <w:t>66.5%</w:t>
            </w:r>
          </w:p>
          <w:p>
            <w:pPr>
              <w:keepNext w:val="0"/>
              <w:keepLines w:val="0"/>
              <w:spacing w:before="0" w:after="0" w:lineRule="auto" w:line="240"/>
              <w:jc w:val="center"/>
            </w:pPr>
            <w:r>
              <w:rPr>
                <w:rFonts w:ascii="Arial" w:hAnsi="Arial" w:eastAsia="Microsoft YaHei"/>
                <w:b w:val="0"/>
                <w:i w:val="0"/>
                <w:color w:val="60717D"/>
                <w:sz w:val="17"/>
              </w:rPr>
              <w:t>30～49岁</w:t>
            </w:r>
          </w:p>
        </w:tc>
        <w:tc>
          <w:tcPr>
            <w:tcW w:type="dxa" w:w="2340"/>
            <w:shd w:fill="EEF4F6"/>
            <w:tcBorders>
              <w:top w:val="single" w:sz="5" w:color="DCE5EA"/>
              <w:left w:val="single" w:sz="5" w:color="DCE5EA"/>
              <w:bottom w:val="single" w:sz="5" w:color="DCE5EA"/>
              <w:right w:val="single" w:sz="5" w:color="DCE5EA"/>
              <w:insideH w:val="single" w:sz="5" w:color="DCE5EA"/>
              <w:insideV w:val="single" w:sz="5" w:color="DCE5EA"/>
            </w:tcBorders>
            <w:tcMar>
              <w:top w:w="140" w:type="dxa"/>
              <w:bottom w:w="140" w:type="dxa"/>
              <w:start w:w="100" w:type="dxa"/>
              <w:end w:w="100" w:type="dxa"/>
            </w:tcMar>
            <w:vAlign w:val="center"/>
          </w:tcPr>
          <w:p>
            <w:pPr>
              <w:keepNext w:val="0"/>
              <w:keepLines w:val="0"/>
              <w:spacing w:before="0" w:after="40" w:lineRule="auto" w:line="240"/>
              <w:jc w:val="center"/>
            </w:pPr>
            <w:r/>
            <w:r>
              <w:rPr>
                <w:rFonts w:ascii="Arial" w:hAnsi="Arial" w:eastAsia="Microsoft YaHei"/>
                <w:b/>
                <w:i w:val="0"/>
                <w:color w:val="183B56"/>
                <w:sz w:val="28"/>
              </w:rPr>
              <w:t>40.5%</w:t>
            </w:r>
          </w:p>
          <w:p>
            <w:pPr>
              <w:keepNext w:val="0"/>
              <w:keepLines w:val="0"/>
              <w:spacing w:before="0" w:after="0" w:lineRule="auto" w:line="240"/>
              <w:jc w:val="center"/>
            </w:pPr>
            <w:r>
              <w:rPr>
                <w:rFonts w:ascii="Arial" w:hAnsi="Arial" w:eastAsia="Microsoft YaHei"/>
                <w:b w:val="0"/>
                <w:i w:val="0"/>
                <w:color w:val="60717D"/>
                <w:sz w:val="17"/>
              </w:rPr>
              <w:t>1～3年经验</w:t>
            </w:r>
          </w:p>
        </w:tc>
        <w:tc>
          <w:tcPr>
            <w:tcW w:type="dxa" w:w="2340"/>
            <w:shd w:fill="E8F4F1"/>
            <w:tcBorders>
              <w:top w:val="single" w:sz="5" w:color="DCE5EA"/>
              <w:left w:val="single" w:sz="5" w:color="DCE5EA"/>
              <w:bottom w:val="single" w:sz="5" w:color="DCE5EA"/>
              <w:right w:val="single" w:sz="5" w:color="DCE5EA"/>
              <w:insideH w:val="single" w:sz="5" w:color="DCE5EA"/>
              <w:insideV w:val="single" w:sz="5" w:color="DCE5EA"/>
            </w:tcBorders>
            <w:tcMar>
              <w:top w:w="140" w:type="dxa"/>
              <w:bottom w:w="140" w:type="dxa"/>
              <w:start w:w="100" w:type="dxa"/>
              <w:end w:w="100" w:type="dxa"/>
            </w:tcMar>
            <w:vAlign w:val="center"/>
          </w:tcPr>
          <w:p>
            <w:pPr>
              <w:keepNext w:val="0"/>
              <w:keepLines w:val="0"/>
              <w:spacing w:before="0" w:after="40" w:lineRule="auto" w:line="240"/>
              <w:jc w:val="center"/>
            </w:pPr>
            <w:r/>
            <w:r>
              <w:rPr>
                <w:rFonts w:ascii="Arial" w:hAnsi="Arial" w:eastAsia="Microsoft YaHei"/>
                <w:b/>
                <w:i w:val="0"/>
                <w:color w:val="183B56"/>
                <w:sz w:val="28"/>
              </w:rPr>
              <w:t>50组</w:t>
            </w:r>
          </w:p>
          <w:p>
            <w:pPr>
              <w:keepNext w:val="0"/>
              <w:keepLines w:val="0"/>
              <w:spacing w:before="0" w:after="0" w:lineRule="auto" w:line="240"/>
              <w:jc w:val="center"/>
            </w:pPr>
            <w:r>
              <w:rPr>
                <w:rFonts w:ascii="Arial" w:hAnsi="Arial" w:eastAsia="Microsoft YaHei"/>
                <w:b w:val="0"/>
                <w:i w:val="0"/>
                <w:color w:val="60717D"/>
                <w:sz w:val="17"/>
              </w:rPr>
              <w:t>预设分群比较</w:t>
            </w:r>
          </w:p>
        </w:tc>
      </w:tr>
    </w:tbl>
    <w:p>
      <w:pPr>
        <w:keepNext w:val="0"/>
        <w:keepLines w:val="0"/>
        <w:spacing w:before="0" w:after="80" w:lineRule="auto" w:line="240"/>
      </w:pPr>
    </w:p>
    <w:p>
      <w:pPr>
        <w:shd w:fill="FFF3D6"/>
        <w:keepNext w:val="0"/>
        <w:keepLines/>
        <w:pBdr>
          <w:left w:val="single" w:sz="18" w:space="8" w:color="B7791F"/>
        </w:pBdr>
        <w:spacing w:before="80" w:after="200" w:lineRule="auto" w:line="293"/>
        <w:ind w:left="180" w:right="180"/>
      </w:pPr>
      <w:r>
        <w:rPr>
          <w:rFonts w:ascii="Arial" w:hAnsi="Arial" w:eastAsia="Microsoft YaHei"/>
          <w:b/>
          <w:i w:val="0"/>
          <w:color w:val="B7791F"/>
          <w:sz w:val="20"/>
        </w:rPr>
        <w:t>本章核心判断</w:t>
        <w:br/>
      </w:r>
      <w:r>
        <w:rPr>
          <w:rFonts w:ascii="Arial" w:hAnsi="Arial" w:eastAsia="Microsoft YaHei"/>
          <w:b w:val="0"/>
          <w:i w:val="0"/>
          <w:color w:val="20313F"/>
          <w:sz w:val="22"/>
        </w:rPr>
        <w:t>年龄与产品认知不是简单的“年龄越大、理解越充分”；投资经验与基础知识呈积累方向，但经验较长者仍存在较大的知识和信息缺口。当前分群结果适合用于设计差异化材料和下一轮研究，不适合直接生成客户标签。</w:t>
      </w:r>
    </w:p>
    <w:p>
      <w:pPr>
        <w:keepNext w:val="0"/>
        <w:keepLines w:val="0"/>
        <w:spacing w:before="0" w:after="40" w:lineRule="auto" w:line="240"/>
      </w:pPr>
    </w:p>
    <w:p>
      <w:pPr>
        <w:pStyle w:val="Heading1"/>
        <w:keepNext/>
        <w:keepLines w:val="0"/>
        <w:spacing w:before="320" w:after="160" w:lineRule="auto" w:line="240"/>
      </w:pPr>
      <w:r>
        <w:rPr>
          <w:rFonts w:ascii="Arial" w:hAnsi="Arial" w:eastAsia="Microsoft YaHei"/>
          <w:b/>
          <w:i w:val="0"/>
          <w:color w:val="183B56"/>
          <w:sz w:val="32"/>
        </w:rPr>
        <w:t>6.1 年龄差异：40～49岁认知表现相对较好，但并非年龄越大理解越充分</w:t>
      </w:r>
    </w:p>
    <w:p>
      <w:pPr>
        <w:keepNext w:val="0"/>
        <w:keepLines w:val="0"/>
        <w:spacing w:before="0" w:after="140" w:lineRule="auto" w:line="288"/>
        <w:jc w:val="both"/>
      </w:pPr>
      <w:r>
        <w:rPr>
          <w:rFonts w:ascii="Arial" w:hAnsi="Arial" w:eastAsia="Microsoft YaHei"/>
          <w:b w:val="0"/>
          <w:i w:val="0"/>
          <w:color w:val="20313F"/>
          <w:sz w:val="22"/>
        </w:rPr>
        <w:t>本轮年龄样本包括18～29岁33人、30～39岁63人、40～49岁70人和50～59岁34人。基础产品认知呈现“中间年龄段较高、两端年龄段较低”的方向，其中40～49岁表现相对较好。</w:t>
      </w:r>
    </w:p>
    <w:p>
      <w:pPr>
        <w:keepNext/>
        <w:keepLines w:val="0"/>
        <w:spacing w:before="120" w:after="80" w:lineRule="auto" w:line="240"/>
        <w:jc w:val="center"/>
      </w:pPr>
      <w:r>
        <w:drawing>
          <wp:inline xmlns:a="http://schemas.openxmlformats.org/drawingml/2006/main" xmlns:pic="http://schemas.openxmlformats.org/drawingml/2006/picture">
            <wp:extent cx="5742432" cy="3230118"/>
            <wp:docPr id="1" name="Picture 1" title="图6-1  年龄分组：产品认知与信息使用的方向性差异" descr="左图比较四个年龄段在产品类型题和四道核心知识题上的正确率；右图比较购买前看过下滑曲线与主动用于比较的比例。40至49岁知识题表现较高，但所有年龄段主动比较比例均很低。"/>
            <wp:cNvGraphicFramePr>
              <a:graphicFrameLocks noChangeAspect="1"/>
            </wp:cNvGraphicFramePr>
            <a:graphic>
              <a:graphicData uri="http://schemas.openxmlformats.org/drawingml/2006/picture">
                <pic:pic>
                  <pic:nvPicPr>
                    <pic:cNvPr id="0" name="fig6-1_age_cognition.png"/>
                    <pic:cNvPicPr/>
                  </pic:nvPicPr>
                  <pic:blipFill>
                    <a:blip r:embed="rId13"/>
                    <a:stretch>
                      <a:fillRect/>
                    </a:stretch>
                  </pic:blipFill>
                  <pic:spPr>
                    <a:xfrm>
                      <a:off x="0" y="0"/>
                      <a:ext cx="5742432" cy="3230118"/>
                    </a:xfrm>
                    <a:prstGeom prst="rect"/>
                  </pic:spPr>
                </pic:pic>
              </a:graphicData>
            </a:graphic>
          </wp:inline>
        </w:drawing>
      </w:r>
    </w:p>
    <w:p>
      <w:pPr>
        <w:pStyle w:val="ReportCaption"/>
        <w:keepNext w:val="0"/>
        <w:keepLines/>
        <w:spacing w:before="0" w:after="140" w:lineRule="auto" w:line="240"/>
        <w:jc w:val="center"/>
      </w:pPr>
      <w:r>
        <w:rPr>
          <w:rFonts w:ascii="Arial" w:hAnsi="Arial" w:eastAsia="Microsoft YaHei"/>
          <w:b w:val="0"/>
          <w:i w:val="0"/>
          <w:color w:val="60717D"/>
          <w:sz w:val="17"/>
        </w:rPr>
        <w:t>图6-1  年龄分组：产品认知与信息使用的方向性差异</w:t>
      </w:r>
    </w:p>
    <w:p>
      <w:pPr>
        <w:keepNext/>
        <w:keepLines w:val="0"/>
        <w:spacing w:before="100" w:after="80" w:lineRule="auto" w:line="240"/>
      </w:pPr>
      <w:r>
        <w:rPr>
          <w:rFonts w:ascii="Arial" w:hAnsi="Arial" w:eastAsia="Microsoft YaHei"/>
          <w:b/>
          <w:i w:val="0"/>
          <w:color w:val="183B56"/>
          <w:sz w:val="19"/>
        </w:rPr>
        <w:t>表6-1  不同年龄段的核心认知、信息使用与学习需求</w:t>
      </w:r>
    </w:p>
    <w:tbl>
      <w:tblPr>
        <w:tblW w:type="dxa" w:w="9360"/>
        <w:tblLayout w:type="fixed"/>
        <w:tblLook w:firstColumn="1" w:firstRow="1" w:lastColumn="0" w:lastRow="0" w:noHBand="0" w:noVBand="1" w:val="04A0"/>
        <w:jc w:val="center"/>
        <w:tblInd w:w="120" w:type="dxa"/>
      </w:tblPr>
      <w:tblGrid>
        <w:gridCol w:w="2880"/>
        <w:gridCol w:w="1620"/>
        <w:gridCol w:w="1620"/>
        <w:gridCol w:w="1620"/>
        <w:gridCol w:w="1620"/>
      </w:tblGrid>
      <w:tr>
        <w:trPr>
          <w:tblHeader w:val="true"/>
        </w:trP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观察指标</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18～29岁</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30～39岁</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40～49岁</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50～59岁</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left"/>
            </w:pPr>
            <w:r/>
            <w:r>
              <w:rPr>
                <w:rFonts w:ascii="Arial" w:hAnsi="Arial" w:eastAsia="Microsoft YaHei"/>
                <w:b/>
                <w:i w:val="0"/>
                <w:color w:val="20313F"/>
                <w:sz w:val="17"/>
              </w:rPr>
              <w:t>四道核心知识题全部答对</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9.1%</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23.8%</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CEDE5"/>
          </w:tcPr>
          <w:p>
            <w:pPr>
              <w:keepNext w:val="0"/>
              <w:keepLines w:val="0"/>
              <w:spacing w:before="0" w:after="0" w:lineRule="auto" w:line="264"/>
              <w:jc w:val="center"/>
            </w:pPr>
            <w:r>
              <w:rPr>
                <w:b/>
                <w:color w:val="C85C1A"/>
              </w:rPr>
            </w:r>
            <w:r>
              <w:rPr>
                <w:rFonts w:ascii="Arial" w:hAnsi="Arial" w:eastAsia="Microsoft YaHei"/>
                <w:b/>
                <w:i w:val="0"/>
                <w:color w:val="C85C1A"/>
                <w:sz w:val="17"/>
              </w:rPr>
              <w:t>25.7%</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11.8%</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left"/>
            </w:pPr>
            <w:r/>
            <w:r>
              <w:rPr>
                <w:rFonts w:ascii="Arial" w:hAnsi="Arial" w:eastAsia="Microsoft YaHei"/>
                <w:b/>
                <w:i w:val="0"/>
                <w:color w:val="20313F"/>
                <w:sz w:val="17"/>
              </w:rPr>
              <w:t>两类产品设计思路均答对</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27.3%</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41.3%</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CEDE5"/>
          </w:tcPr>
          <w:p>
            <w:pPr>
              <w:keepNext w:val="0"/>
              <w:keepLines w:val="0"/>
              <w:spacing w:before="0" w:after="0" w:lineRule="auto" w:line="264"/>
              <w:jc w:val="center"/>
            </w:pPr>
            <w:r>
              <w:rPr>
                <w:b/>
                <w:color w:val="C85C1A"/>
              </w:rPr>
            </w:r>
            <w:r>
              <w:rPr>
                <w:rFonts w:ascii="Arial" w:hAnsi="Arial" w:eastAsia="Microsoft YaHei"/>
                <w:b/>
                <w:i w:val="0"/>
                <w:color w:val="C85C1A"/>
                <w:sz w:val="17"/>
              </w:rPr>
              <w:t>48.6%</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29.4%</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left"/>
            </w:pPr>
            <w:r/>
            <w:r>
              <w:rPr>
                <w:rFonts w:ascii="Arial" w:hAnsi="Arial" w:eastAsia="Microsoft YaHei"/>
                <w:b/>
                <w:i w:val="0"/>
                <w:color w:val="20313F"/>
                <w:sz w:val="17"/>
              </w:rPr>
              <w:t>购买前看过下滑曲线</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39.4%</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44.4%</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44.3%</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47.1%</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left"/>
            </w:pPr>
            <w:r/>
            <w:r>
              <w:rPr>
                <w:rFonts w:ascii="Arial" w:hAnsi="Arial" w:eastAsia="Microsoft YaHei"/>
                <w:b/>
                <w:i w:val="0"/>
                <w:color w:val="20313F"/>
                <w:sz w:val="17"/>
              </w:rPr>
              <w:t>购买前主动比较下滑曲线</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3.0%</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1.6%</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7.1%</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0.0%</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left"/>
            </w:pPr>
            <w:r/>
            <w:r>
              <w:rPr>
                <w:rFonts w:ascii="Arial" w:hAnsi="Arial" w:eastAsia="Microsoft YaHei"/>
                <w:b/>
                <w:i w:val="0"/>
                <w:color w:val="20313F"/>
                <w:sz w:val="17"/>
              </w:rPr>
              <w:t>购买后存在信息触达缺口</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60.6%</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52.4%</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60.0%</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CEDE5"/>
          </w:tcPr>
          <w:p>
            <w:pPr>
              <w:keepNext w:val="0"/>
              <w:keepLines w:val="0"/>
              <w:spacing w:before="0" w:after="0" w:lineRule="auto" w:line="264"/>
              <w:jc w:val="center"/>
            </w:pPr>
            <w:r>
              <w:rPr>
                <w:b/>
                <w:color w:val="C85C1A"/>
              </w:rPr>
            </w:r>
            <w:r>
              <w:rPr>
                <w:rFonts w:ascii="Arial" w:hAnsi="Arial" w:eastAsia="Microsoft YaHei"/>
                <w:b/>
                <w:i w:val="0"/>
                <w:color w:val="C85C1A"/>
                <w:sz w:val="17"/>
              </w:rPr>
              <w:t>70.6%</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left"/>
            </w:pPr>
            <w:r/>
            <w:r>
              <w:rPr>
                <w:rFonts w:ascii="Arial" w:hAnsi="Arial" w:eastAsia="Microsoft YaHei"/>
                <w:b/>
                <w:i w:val="0"/>
                <w:color w:val="20313F"/>
                <w:sz w:val="17"/>
              </w:rPr>
              <w:t>希望了解未来配置变化</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30.3%</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33.3%</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CEDE5"/>
          </w:tcPr>
          <w:p>
            <w:pPr>
              <w:keepNext w:val="0"/>
              <w:keepLines w:val="0"/>
              <w:spacing w:before="0" w:after="0" w:lineRule="auto" w:line="264"/>
              <w:jc w:val="center"/>
            </w:pPr>
            <w:r>
              <w:rPr>
                <w:b/>
                <w:color w:val="C85C1A"/>
              </w:rPr>
            </w:r>
            <w:r>
              <w:rPr>
                <w:rFonts w:ascii="Arial" w:hAnsi="Arial" w:eastAsia="Microsoft YaHei"/>
                <w:b/>
                <w:i w:val="0"/>
                <w:color w:val="C85C1A"/>
                <w:sz w:val="17"/>
              </w:rPr>
              <w:t>37.1%</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14.7%</w:t>
            </w:r>
          </w:p>
        </w:tc>
      </w:tr>
    </w:tbl>
    <w:p>
      <w:pPr>
        <w:keepNext w:val="0"/>
        <w:keepLines w:val="0"/>
        <w:spacing w:before="80" w:after="140" w:lineRule="auto" w:line="240"/>
      </w:pPr>
      <w:r>
        <w:rPr>
          <w:rFonts w:ascii="Arial" w:hAnsi="Arial" w:eastAsia="Microsoft YaHei"/>
          <w:b w:val="0"/>
          <w:i w:val="0"/>
          <w:color w:val="60717D"/>
          <w:sz w:val="16"/>
        </w:rPr>
        <w:t>数据来源：FOF问卷回答_200人.csv；各组样本量见正文。</w:t>
      </w:r>
    </w:p>
    <w:p>
      <w:pPr>
        <w:pStyle w:val="Heading2"/>
        <w:keepNext/>
        <w:keepLines w:val="0"/>
        <w:spacing w:before="240" w:after="120" w:lineRule="auto" w:line="240"/>
      </w:pPr>
      <w:r>
        <w:rPr>
          <w:rFonts w:ascii="Arial" w:hAnsi="Arial" w:eastAsia="Microsoft YaHei"/>
          <w:b/>
          <w:i w:val="0"/>
          <w:color w:val="2878A6"/>
          <w:sz w:val="26"/>
        </w:rPr>
        <w:t>年龄差异的主要含义</w:t>
      </w:r>
    </w:p>
    <w:p>
      <w:pPr>
        <w:keepNext w:val="0"/>
        <w:keepLines w:val="0"/>
        <w:spacing w:before="0" w:after="140" w:lineRule="auto" w:line="288"/>
        <w:jc w:val="both"/>
      </w:pPr>
      <w:r>
        <w:rPr>
          <w:rFonts w:ascii="Arial" w:hAnsi="Arial" w:eastAsia="Microsoft YaHei"/>
          <w:b w:val="0"/>
          <w:i w:val="0"/>
          <w:color w:val="20313F"/>
          <w:sz w:val="22"/>
        </w:rPr>
        <w:t>40～49岁投资者中，</w:t>
      </w:r>
      <w:r>
        <w:rPr>
          <w:rFonts w:ascii="Arial" w:hAnsi="Arial" w:eastAsia="Microsoft YaHei"/>
          <w:b/>
          <w:i w:val="0"/>
          <w:color w:val="183B56"/>
          <w:sz w:val="22"/>
        </w:rPr>
        <w:t>48.6%</w:t>
      </w:r>
      <w:r>
        <w:rPr>
          <w:rFonts w:ascii="Arial" w:hAnsi="Arial" w:eastAsia="Microsoft YaHei"/>
          <w:b w:val="0"/>
          <w:i w:val="0"/>
          <w:color w:val="20313F"/>
          <w:sz w:val="22"/>
        </w:rPr>
        <w:t>能够同时答对目标日期型和目标风险型的设计思路，高于18～29岁的</w:t>
      </w:r>
      <w:r>
        <w:rPr>
          <w:rFonts w:ascii="Arial" w:hAnsi="Arial" w:eastAsia="Microsoft YaHei"/>
          <w:b/>
          <w:i w:val="0"/>
          <w:color w:val="183B56"/>
          <w:sz w:val="22"/>
        </w:rPr>
        <w:t>27.3%</w:t>
      </w:r>
      <w:r>
        <w:rPr>
          <w:rFonts w:ascii="Arial" w:hAnsi="Arial" w:eastAsia="Microsoft YaHei"/>
          <w:b w:val="0"/>
          <w:i w:val="0"/>
          <w:color w:val="20313F"/>
          <w:sz w:val="22"/>
        </w:rPr>
        <w:t>和50～59岁的</w:t>
      </w:r>
      <w:r>
        <w:rPr>
          <w:rFonts w:ascii="Arial" w:hAnsi="Arial" w:eastAsia="Microsoft YaHei"/>
          <w:b/>
          <w:i w:val="0"/>
          <w:color w:val="183B56"/>
          <w:sz w:val="22"/>
        </w:rPr>
        <w:t>29.4%</w:t>
      </w:r>
      <w:r>
        <w:rPr>
          <w:rFonts w:ascii="Arial" w:hAnsi="Arial" w:eastAsia="Microsoft YaHei"/>
          <w:b w:val="0"/>
          <w:i w:val="0"/>
          <w:color w:val="20313F"/>
          <w:sz w:val="22"/>
        </w:rPr>
        <w:t>。四道核心知识题全部答对的比例也以40～49岁最高，但仍只有</w:t>
      </w:r>
      <w:r>
        <w:rPr>
          <w:rFonts w:ascii="Arial" w:hAnsi="Arial" w:eastAsia="Microsoft YaHei"/>
          <w:b/>
          <w:i w:val="0"/>
          <w:color w:val="183B56"/>
          <w:sz w:val="22"/>
        </w:rPr>
        <w:t>25.7%</w:t>
      </w:r>
      <w:r>
        <w:rPr>
          <w:rFonts w:ascii="Arial" w:hAnsi="Arial" w:eastAsia="Microsoft YaHei"/>
          <w:b w:val="0"/>
          <w:i w:val="0"/>
          <w:color w:val="20313F"/>
          <w:sz w:val="22"/>
        </w:rPr>
        <w:t>。这说明该年龄段的基础认知相对较好，却还没有达到可以默认其充分理解产品的程度。</w:t>
      </w:r>
    </w:p>
    <w:p>
      <w:pPr>
        <w:keepNext w:val="0"/>
        <w:keepLines w:val="0"/>
        <w:spacing w:before="0" w:after="140" w:lineRule="auto" w:line="288"/>
        <w:jc w:val="both"/>
      </w:pPr>
      <w:r>
        <w:rPr>
          <w:rFonts w:ascii="Arial" w:hAnsi="Arial" w:eastAsia="Microsoft YaHei"/>
          <w:b w:val="0"/>
          <w:i w:val="0"/>
          <w:color w:val="20313F"/>
          <w:sz w:val="22"/>
        </w:rPr>
        <w:t>年龄两端的表现都相对较低，因此不能将结果概括为“年龄越大越懂养老基金”。40～49岁表现较高，可能与养老议题的现实相关性、既往投资接触和样本构成共同有关。本次调查没有控制职业、收入、投资金额等变量，暂时不能把差异直接归因于年龄本身。</w:t>
      </w:r>
    </w:p>
    <w:p>
      <w:pPr>
        <w:keepNext w:val="0"/>
        <w:keepLines w:val="0"/>
        <w:spacing w:before="0" w:after="140" w:lineRule="auto" w:line="288"/>
        <w:jc w:val="both"/>
      </w:pPr>
      <w:r>
        <w:rPr>
          <w:rFonts w:ascii="Arial" w:hAnsi="Arial" w:eastAsia="Microsoft YaHei"/>
          <w:b w:val="0"/>
          <w:i w:val="0"/>
          <w:color w:val="20313F"/>
          <w:sz w:val="22"/>
        </w:rPr>
        <w:t>各年龄段购买前看过下滑曲线的比例都在</w:t>
      </w:r>
      <w:r>
        <w:rPr>
          <w:rFonts w:ascii="Arial" w:hAnsi="Arial" w:eastAsia="Microsoft YaHei"/>
          <w:b/>
          <w:i w:val="0"/>
          <w:color w:val="183B56"/>
          <w:sz w:val="22"/>
        </w:rPr>
        <w:t>39.4%</w:t>
      </w:r>
      <w:r>
        <w:rPr>
          <w:rFonts w:ascii="Arial" w:hAnsi="Arial" w:eastAsia="Microsoft YaHei"/>
          <w:b w:val="0"/>
          <w:i w:val="0"/>
          <w:color w:val="20313F"/>
          <w:sz w:val="22"/>
        </w:rPr>
        <w:t>～</w:t>
      </w:r>
      <w:r>
        <w:rPr>
          <w:rFonts w:ascii="Arial" w:hAnsi="Arial" w:eastAsia="Microsoft YaHei"/>
          <w:b/>
          <w:i w:val="0"/>
          <w:color w:val="183B56"/>
          <w:sz w:val="22"/>
        </w:rPr>
        <w:t>47.1%</w:t>
      </w:r>
      <w:r>
        <w:rPr>
          <w:rFonts w:ascii="Arial" w:hAnsi="Arial" w:eastAsia="Microsoft YaHei"/>
          <w:b w:val="0"/>
          <w:i w:val="0"/>
          <w:color w:val="20313F"/>
          <w:sz w:val="22"/>
        </w:rPr>
        <w:t>之间，但主动将其用于产品比较的比例只有</w:t>
      </w:r>
      <w:r>
        <w:rPr>
          <w:rFonts w:ascii="Arial" w:hAnsi="Arial" w:eastAsia="Microsoft YaHei"/>
          <w:b/>
          <w:i w:val="0"/>
          <w:color w:val="183B56"/>
          <w:sz w:val="22"/>
        </w:rPr>
        <w:t>0%</w:t>
      </w:r>
      <w:r>
        <w:rPr>
          <w:rFonts w:ascii="Arial" w:hAnsi="Arial" w:eastAsia="Microsoft YaHei"/>
          <w:b w:val="0"/>
          <w:i w:val="0"/>
          <w:color w:val="20313F"/>
          <w:sz w:val="22"/>
        </w:rPr>
        <w:t>～</w:t>
      </w:r>
      <w:r>
        <w:rPr>
          <w:rFonts w:ascii="Arial" w:hAnsi="Arial" w:eastAsia="Microsoft YaHei"/>
          <w:b/>
          <w:i w:val="0"/>
          <w:color w:val="183B56"/>
          <w:sz w:val="22"/>
        </w:rPr>
        <w:t>7.1%</w:t>
      </w:r>
      <w:r>
        <w:rPr>
          <w:rFonts w:ascii="Arial" w:hAnsi="Arial" w:eastAsia="Microsoft YaHei"/>
          <w:b w:val="0"/>
          <w:i w:val="0"/>
          <w:color w:val="20313F"/>
          <w:sz w:val="22"/>
        </w:rPr>
        <w:t>。年龄对信息接触的影响并不突出，真正需要解决的是“看过以后是否理解，以及是否会用于选择”。</w:t>
      </w:r>
    </w:p>
    <w:p>
      <w:pPr>
        <w:pStyle w:val="Heading1"/>
        <w:keepNext/>
        <w:keepLines w:val="0"/>
        <w:spacing w:before="320" w:after="160" w:lineRule="auto" w:line="240"/>
      </w:pPr>
      <w:r>
        <w:rPr>
          <w:rFonts w:ascii="Arial" w:hAnsi="Arial" w:eastAsia="Microsoft YaHei"/>
          <w:b/>
          <w:i w:val="0"/>
          <w:color w:val="183B56"/>
          <w:sz w:val="32"/>
        </w:rPr>
        <w:t>6.2 不同年龄段的内容需求与表达形式</w:t>
      </w:r>
    </w:p>
    <w:p>
      <w:pPr>
        <w:keepNext/>
        <w:keepLines w:val="0"/>
        <w:spacing w:before="120" w:after="80" w:lineRule="auto" w:line="240"/>
        <w:jc w:val="center"/>
      </w:pPr>
      <w:r>
        <w:drawing>
          <wp:inline xmlns:a="http://schemas.openxmlformats.org/drawingml/2006/main" xmlns:pic="http://schemas.openxmlformats.org/drawingml/2006/picture">
            <wp:extent cx="5742432" cy="3062630"/>
            <wp:docPr id="2" name="Picture 2" title="图6-2  不同年龄段偏好的养老目标基金内容形式" descr="热力图比较四个年龄段对六种内容形式的选择比例。18至29岁更偏好短视频，50至59岁更偏好结合年龄或退休年份举例、资产配置表和一句话说明。"/>
            <wp:cNvGraphicFramePr>
              <a:graphicFrameLocks noChangeAspect="1"/>
            </wp:cNvGraphicFramePr>
            <a:graphic>
              <a:graphicData uri="http://schemas.openxmlformats.org/drawingml/2006/picture">
                <pic:pic>
                  <pic:nvPicPr>
                    <pic:cNvPr id="0" name="fig6-2_age_format_heatmap.png"/>
                    <pic:cNvPicPr/>
                  </pic:nvPicPr>
                  <pic:blipFill>
                    <a:blip r:embed="rId14"/>
                    <a:stretch>
                      <a:fillRect/>
                    </a:stretch>
                  </pic:blipFill>
                  <pic:spPr>
                    <a:xfrm>
                      <a:off x="0" y="0"/>
                      <a:ext cx="5742432" cy="3062630"/>
                    </a:xfrm>
                    <a:prstGeom prst="rect"/>
                  </pic:spPr>
                </pic:pic>
              </a:graphicData>
            </a:graphic>
          </wp:inline>
        </w:drawing>
      </w:r>
    </w:p>
    <w:p>
      <w:pPr>
        <w:pStyle w:val="ReportCaption"/>
        <w:keepNext w:val="0"/>
        <w:keepLines/>
        <w:spacing w:before="0" w:after="140" w:lineRule="auto" w:line="240"/>
        <w:jc w:val="center"/>
      </w:pPr>
      <w:r>
        <w:rPr>
          <w:rFonts w:ascii="Arial" w:hAnsi="Arial" w:eastAsia="Microsoft YaHei"/>
          <w:b w:val="0"/>
          <w:i w:val="0"/>
          <w:color w:val="60717D"/>
          <w:sz w:val="17"/>
        </w:rPr>
        <w:t>图6-2  不同年龄段偏好的养老目标基金内容形式</w:t>
      </w:r>
    </w:p>
    <w:p>
      <w:pPr>
        <w:keepNext w:val="0"/>
        <w:keepLines w:val="0"/>
        <w:spacing w:before="0" w:after="140" w:lineRule="auto" w:line="288"/>
        <w:jc w:val="both"/>
      </w:pPr>
      <w:r>
        <w:rPr>
          <w:rFonts w:ascii="Arial" w:hAnsi="Arial" w:eastAsia="Microsoft YaHei"/>
          <w:b w:val="0"/>
          <w:i w:val="0"/>
          <w:color w:val="20313F"/>
          <w:sz w:val="22"/>
        </w:rPr>
        <w:t>相比基础认知，年龄组之间更具业务价值的差别出现在内容关注点和表达形式。分群材料不宜只改变字体大小或篇幅，而应调整问题顺序、案例背景和信息呈现方式。</w:t>
      </w:r>
    </w:p>
    <w:p>
      <w:pPr>
        <w:pStyle w:val="Heading2"/>
        <w:keepNext/>
        <w:keepLines w:val="0"/>
        <w:spacing w:before="240" w:after="120" w:lineRule="auto" w:line="240"/>
      </w:pPr>
      <w:r>
        <w:rPr>
          <w:rFonts w:ascii="Arial" w:hAnsi="Arial" w:eastAsia="Microsoft YaHei"/>
          <w:b/>
          <w:i w:val="0"/>
          <w:color w:val="2878A6"/>
          <w:sz w:val="26"/>
        </w:rPr>
        <w:t>各年龄段的重点研究方向</w:t>
      </w:r>
    </w:p>
    <w:p>
      <w:pPr>
        <w:pStyle w:val="Heading3"/>
        <w:keepNext/>
        <w:keepLines w:val="0"/>
        <w:spacing w:before="160" w:after="80" w:lineRule="auto" w:line="240"/>
      </w:pPr>
      <w:r>
        <w:rPr>
          <w:rFonts w:ascii="Arial" w:hAnsi="Arial" w:eastAsia="Microsoft YaHei"/>
          <w:b/>
          <w:i w:val="0"/>
          <w:color w:val="183B56"/>
          <w:sz w:val="24"/>
        </w:rPr>
        <w:t>18～29岁：先建立养老议题与个人的关联</w:t>
      </w:r>
    </w:p>
    <w:p>
      <w:pPr>
        <w:keepNext w:val="0"/>
        <w:keepLines/>
        <w:spacing w:before="0" w:after="140" w:lineRule="auto" w:line="288"/>
        <w:jc w:val="both"/>
      </w:pPr>
      <w:r>
        <w:rPr>
          <w:rFonts w:ascii="Arial" w:hAnsi="Arial" w:eastAsia="Microsoft YaHei"/>
          <w:b w:val="0"/>
          <w:i w:val="0"/>
          <w:color w:val="20313F"/>
          <w:sz w:val="22"/>
        </w:rPr>
        <w:t>该组四道核心知识题全部答对的比例为</w:t>
      </w:r>
      <w:r>
        <w:rPr>
          <w:rFonts w:ascii="Arial" w:hAnsi="Arial" w:eastAsia="Microsoft YaHei"/>
          <w:b/>
          <w:i w:val="0"/>
          <w:color w:val="183B56"/>
          <w:sz w:val="22"/>
        </w:rPr>
        <w:t>9.1%</w:t>
      </w:r>
      <w:r>
        <w:rPr>
          <w:rFonts w:ascii="Arial" w:hAnsi="Arial" w:eastAsia="Microsoft YaHei"/>
          <w:b w:val="0"/>
          <w:i w:val="0"/>
          <w:color w:val="20313F"/>
          <w:sz w:val="22"/>
        </w:rPr>
        <w:t>，两类产品设计思路均答对的比例为</w:t>
      </w:r>
      <w:r>
        <w:rPr>
          <w:rFonts w:ascii="Arial" w:hAnsi="Arial" w:eastAsia="Microsoft YaHei"/>
          <w:b/>
          <w:i w:val="0"/>
          <w:color w:val="183B56"/>
          <w:sz w:val="22"/>
        </w:rPr>
        <w:t>27.3%</w:t>
      </w:r>
      <w:r>
        <w:rPr>
          <w:rFonts w:ascii="Arial" w:hAnsi="Arial" w:eastAsia="Microsoft YaHei"/>
          <w:b w:val="0"/>
          <w:i w:val="0"/>
          <w:color w:val="20313F"/>
          <w:sz w:val="22"/>
        </w:rPr>
        <w:t>。其主要需求是怎样根据退休年份或风险类型选择产品</w:t>
      </w:r>
      <w:r>
        <w:rPr>
          <w:rFonts w:ascii="Arial" w:hAnsi="Arial" w:eastAsia="Microsoft YaHei"/>
          <w:b/>
          <w:i w:val="0"/>
          <w:color w:val="183B56"/>
          <w:sz w:val="22"/>
        </w:rPr>
        <w:t>33.3%</w:t>
      </w:r>
      <w:r>
        <w:rPr>
          <w:rFonts w:ascii="Arial" w:hAnsi="Arial" w:eastAsia="Microsoft YaHei"/>
          <w:b w:val="0"/>
          <w:i w:val="0"/>
          <w:color w:val="20313F"/>
          <w:sz w:val="22"/>
        </w:rPr>
        <w:t>、两类产品的简单区别</w:t>
      </w:r>
      <w:r>
        <w:rPr>
          <w:rFonts w:ascii="Arial" w:hAnsi="Arial" w:eastAsia="Microsoft YaHei"/>
          <w:b/>
          <w:i w:val="0"/>
          <w:color w:val="183B56"/>
          <w:sz w:val="22"/>
        </w:rPr>
        <w:t>30.3%</w:t>
      </w:r>
      <w:r>
        <w:rPr>
          <w:rFonts w:ascii="Arial" w:hAnsi="Arial" w:eastAsia="Microsoft YaHei"/>
          <w:b w:val="0"/>
          <w:i w:val="0"/>
          <w:color w:val="20313F"/>
          <w:sz w:val="22"/>
        </w:rPr>
        <w:t>、未来配置如何变化</w:t>
      </w:r>
      <w:r>
        <w:rPr>
          <w:rFonts w:ascii="Arial" w:hAnsi="Arial" w:eastAsia="Microsoft YaHei"/>
          <w:b/>
          <w:i w:val="0"/>
          <w:color w:val="183B56"/>
          <w:sz w:val="22"/>
        </w:rPr>
        <w:t>30.3%</w:t>
      </w:r>
      <w:r>
        <w:rPr>
          <w:rFonts w:ascii="Arial" w:hAnsi="Arial" w:eastAsia="Microsoft YaHei"/>
          <w:b w:val="0"/>
          <w:i w:val="0"/>
          <w:color w:val="20313F"/>
          <w:sz w:val="22"/>
        </w:rPr>
        <w:t>。形式上更偏好1～3分钟短视频</w:t>
      </w:r>
      <w:r>
        <w:rPr>
          <w:rFonts w:ascii="Arial" w:hAnsi="Arial" w:eastAsia="Microsoft YaHei"/>
          <w:b/>
          <w:i w:val="0"/>
          <w:color w:val="183B56"/>
          <w:sz w:val="22"/>
        </w:rPr>
        <w:t>42.4%</w:t>
      </w:r>
      <w:r>
        <w:rPr>
          <w:rFonts w:ascii="Arial" w:hAnsi="Arial" w:eastAsia="Microsoft YaHei"/>
          <w:b w:val="0"/>
          <w:i w:val="0"/>
          <w:color w:val="20313F"/>
          <w:sz w:val="22"/>
        </w:rPr>
        <w:t>和结合年龄或退休年份举例</w:t>
      </w:r>
      <w:r>
        <w:rPr>
          <w:rFonts w:ascii="Arial" w:hAnsi="Arial" w:eastAsia="Microsoft YaHei"/>
          <w:b/>
          <w:i w:val="0"/>
          <w:color w:val="183B56"/>
          <w:sz w:val="22"/>
        </w:rPr>
        <w:t>33.3%</w:t>
      </w:r>
      <w:r>
        <w:rPr>
          <w:rFonts w:ascii="Arial" w:hAnsi="Arial" w:eastAsia="Microsoft YaHei"/>
          <w:b w:val="0"/>
          <w:i w:val="0"/>
          <w:color w:val="20313F"/>
          <w:sz w:val="22"/>
        </w:rPr>
        <w:t>。下一轮可测试“短视频+早期养老规划案例”能否提高理解。</w:t>
      </w:r>
    </w:p>
    <w:p>
      <w:pPr>
        <w:pStyle w:val="Heading3"/>
        <w:keepNext/>
        <w:keepLines w:val="0"/>
        <w:spacing w:before="160" w:after="80" w:lineRule="auto" w:line="240"/>
      </w:pPr>
      <w:r>
        <w:rPr>
          <w:rFonts w:ascii="Arial" w:hAnsi="Arial" w:eastAsia="Microsoft YaHei"/>
          <w:b/>
          <w:i w:val="0"/>
          <w:color w:val="183B56"/>
          <w:sz w:val="24"/>
        </w:rPr>
        <w:t>30～39岁：从知道产品转向建立判断框架</w:t>
      </w:r>
    </w:p>
    <w:p>
      <w:pPr>
        <w:keepNext w:val="0"/>
        <w:keepLines/>
        <w:spacing w:before="0" w:after="140" w:lineRule="auto" w:line="288"/>
        <w:jc w:val="both"/>
      </w:pPr>
      <w:r>
        <w:rPr>
          <w:rFonts w:ascii="Arial" w:hAnsi="Arial" w:eastAsia="Microsoft YaHei"/>
          <w:b w:val="0"/>
          <w:i w:val="0"/>
          <w:color w:val="20313F"/>
          <w:sz w:val="22"/>
        </w:rPr>
        <w:t>该组两类产品设计思路均答对的比例为</w:t>
      </w:r>
      <w:r>
        <w:rPr>
          <w:rFonts w:ascii="Arial" w:hAnsi="Arial" w:eastAsia="Microsoft YaHei"/>
          <w:b/>
          <w:i w:val="0"/>
          <w:color w:val="183B56"/>
          <w:sz w:val="22"/>
        </w:rPr>
        <w:t>41.3%</w:t>
      </w:r>
      <w:r>
        <w:rPr>
          <w:rFonts w:ascii="Arial" w:hAnsi="Arial" w:eastAsia="Microsoft YaHei"/>
          <w:b w:val="0"/>
          <w:i w:val="0"/>
          <w:color w:val="20313F"/>
          <w:sz w:val="22"/>
        </w:rPr>
        <w:t>，但四题全部答对仍只有</w:t>
      </w:r>
      <w:r>
        <w:rPr>
          <w:rFonts w:ascii="Arial" w:hAnsi="Arial" w:eastAsia="Microsoft YaHei"/>
          <w:b/>
          <w:i w:val="0"/>
          <w:color w:val="183B56"/>
          <w:sz w:val="22"/>
        </w:rPr>
        <w:t>23.8%</w:t>
      </w:r>
      <w:r>
        <w:rPr>
          <w:rFonts w:ascii="Arial" w:hAnsi="Arial" w:eastAsia="Microsoft YaHei"/>
          <w:b w:val="0"/>
          <w:i w:val="0"/>
          <w:color w:val="20313F"/>
          <w:sz w:val="22"/>
        </w:rPr>
        <w:t>。其更关注未来配置变化</w:t>
      </w:r>
      <w:r>
        <w:rPr>
          <w:rFonts w:ascii="Arial" w:hAnsi="Arial" w:eastAsia="Microsoft YaHei"/>
          <w:b/>
          <w:i w:val="0"/>
          <w:color w:val="183B56"/>
          <w:sz w:val="22"/>
        </w:rPr>
        <w:t>33.3%</w:t>
      </w:r>
      <w:r>
        <w:rPr>
          <w:rFonts w:ascii="Arial" w:hAnsi="Arial" w:eastAsia="Microsoft YaHei"/>
          <w:b w:val="0"/>
          <w:i w:val="0"/>
          <w:color w:val="20313F"/>
          <w:sz w:val="22"/>
        </w:rPr>
        <w:t>、当前资产配置和风险水平</w:t>
      </w:r>
      <w:r>
        <w:rPr>
          <w:rFonts w:ascii="Arial" w:hAnsi="Arial" w:eastAsia="Microsoft YaHei"/>
          <w:b/>
          <w:i w:val="0"/>
          <w:color w:val="183B56"/>
          <w:sz w:val="22"/>
        </w:rPr>
        <w:t>30.2%</w:t>
      </w:r>
      <w:r>
        <w:rPr>
          <w:rFonts w:ascii="Arial" w:hAnsi="Arial" w:eastAsia="Microsoft YaHei"/>
          <w:b w:val="0"/>
          <w:i w:val="0"/>
          <w:color w:val="20313F"/>
          <w:sz w:val="22"/>
        </w:rPr>
        <w:t>、为什么要调整资产配置</w:t>
      </w:r>
      <w:r>
        <w:rPr>
          <w:rFonts w:ascii="Arial" w:hAnsi="Arial" w:eastAsia="Microsoft YaHei"/>
          <w:b/>
          <w:i w:val="0"/>
          <w:color w:val="183B56"/>
          <w:sz w:val="22"/>
        </w:rPr>
        <w:t>27.0%</w:t>
      </w:r>
      <w:r>
        <w:rPr>
          <w:rFonts w:ascii="Arial" w:hAnsi="Arial" w:eastAsia="Microsoft YaHei"/>
          <w:b w:val="0"/>
          <w:i w:val="0"/>
          <w:color w:val="20313F"/>
          <w:sz w:val="22"/>
        </w:rPr>
        <w:t>。研究材料应串联“当前配置、变化原因和未来风险”，帮助形成完整判断链路。</w:t>
      </w:r>
    </w:p>
    <w:p>
      <w:pPr>
        <w:pStyle w:val="Heading3"/>
        <w:keepNext/>
        <w:keepLines w:val="0"/>
        <w:spacing w:before="160" w:after="80" w:lineRule="auto" w:line="240"/>
      </w:pPr>
      <w:r>
        <w:rPr>
          <w:rFonts w:ascii="Arial" w:hAnsi="Arial" w:eastAsia="Microsoft YaHei"/>
          <w:b/>
          <w:i w:val="0"/>
          <w:color w:val="183B56"/>
          <w:sz w:val="24"/>
        </w:rPr>
        <w:t>40～49岁：从基础理解转向产品比较和持有管理</w:t>
      </w:r>
    </w:p>
    <w:p>
      <w:pPr>
        <w:keepNext w:val="0"/>
        <w:keepLines/>
        <w:spacing w:before="0" w:after="140" w:lineRule="auto" w:line="288"/>
        <w:jc w:val="both"/>
      </w:pPr>
      <w:r>
        <w:rPr>
          <w:rFonts w:ascii="Arial" w:hAnsi="Arial" w:eastAsia="Microsoft YaHei"/>
          <w:b w:val="0"/>
          <w:i w:val="0"/>
          <w:color w:val="20313F"/>
          <w:sz w:val="22"/>
        </w:rPr>
        <w:t>该组知识题表现相对较好，但主动比较下滑曲线的比例仍只有</w:t>
      </w:r>
      <w:r>
        <w:rPr>
          <w:rFonts w:ascii="Arial" w:hAnsi="Arial" w:eastAsia="Microsoft YaHei"/>
          <w:b/>
          <w:i w:val="0"/>
          <w:color w:val="183B56"/>
          <w:sz w:val="22"/>
        </w:rPr>
        <w:t>7.1%</w:t>
      </w:r>
      <w:r>
        <w:rPr>
          <w:rFonts w:ascii="Arial" w:hAnsi="Arial" w:eastAsia="Microsoft YaHei"/>
          <w:b w:val="0"/>
          <w:i w:val="0"/>
          <w:color w:val="20313F"/>
          <w:sz w:val="22"/>
        </w:rPr>
        <w:t>，购买后信息触达缺口为</w:t>
      </w:r>
      <w:r>
        <w:rPr>
          <w:rFonts w:ascii="Arial" w:hAnsi="Arial" w:eastAsia="Microsoft YaHei"/>
          <w:b/>
          <w:i w:val="0"/>
          <w:color w:val="183B56"/>
          <w:sz w:val="22"/>
        </w:rPr>
        <w:t>60.0%</w:t>
      </w:r>
      <w:r>
        <w:rPr>
          <w:rFonts w:ascii="Arial" w:hAnsi="Arial" w:eastAsia="Microsoft YaHei"/>
          <w:b w:val="0"/>
          <w:i w:val="0"/>
          <w:color w:val="20313F"/>
          <w:sz w:val="22"/>
        </w:rPr>
        <w:t>。其关注未来配置变化</w:t>
      </w:r>
      <w:r>
        <w:rPr>
          <w:rFonts w:ascii="Arial" w:hAnsi="Arial" w:eastAsia="Microsoft YaHei"/>
          <w:b/>
          <w:i w:val="0"/>
          <w:color w:val="183B56"/>
          <w:sz w:val="22"/>
        </w:rPr>
        <w:t>37.1%</w:t>
      </w:r>
      <w:r>
        <w:rPr>
          <w:rFonts w:ascii="Arial" w:hAnsi="Arial" w:eastAsia="Microsoft YaHei"/>
          <w:b w:val="0"/>
          <w:i w:val="0"/>
          <w:color w:val="20313F"/>
          <w:sz w:val="22"/>
        </w:rPr>
        <w:t>、怎样根据退休年份或风险类型选择</w:t>
      </w:r>
      <w:r>
        <w:rPr>
          <w:rFonts w:ascii="Arial" w:hAnsi="Arial" w:eastAsia="Microsoft YaHei"/>
          <w:b/>
          <w:i w:val="0"/>
          <w:color w:val="183B56"/>
          <w:sz w:val="22"/>
        </w:rPr>
        <w:t>31.4%</w:t>
      </w:r>
      <w:r>
        <w:rPr>
          <w:rFonts w:ascii="Arial" w:hAnsi="Arial" w:eastAsia="Microsoft YaHei"/>
          <w:b w:val="0"/>
          <w:i w:val="0"/>
          <w:color w:val="20313F"/>
          <w:sz w:val="22"/>
        </w:rPr>
        <w:t>、当前配置和风险</w:t>
      </w:r>
      <w:r>
        <w:rPr>
          <w:rFonts w:ascii="Arial" w:hAnsi="Arial" w:eastAsia="Microsoft YaHei"/>
          <w:b/>
          <w:i w:val="0"/>
          <w:color w:val="183B56"/>
          <w:sz w:val="22"/>
        </w:rPr>
        <w:t>25.7%</w:t>
      </w:r>
      <w:r>
        <w:rPr>
          <w:rFonts w:ascii="Arial" w:hAnsi="Arial" w:eastAsia="Microsoft YaHei"/>
          <w:b w:val="0"/>
          <w:i w:val="0"/>
          <w:color w:val="20313F"/>
          <w:sz w:val="22"/>
        </w:rPr>
        <w:t>。可进一步测试资产配置表、产品比较卡和市场波动情境说明。</w:t>
      </w:r>
    </w:p>
    <w:p>
      <w:pPr>
        <w:pStyle w:val="Heading3"/>
        <w:keepNext/>
        <w:keepLines w:val="0"/>
        <w:spacing w:before="160" w:after="80" w:lineRule="auto" w:line="240"/>
      </w:pPr>
      <w:r>
        <w:rPr>
          <w:rFonts w:ascii="Arial" w:hAnsi="Arial" w:eastAsia="Microsoft YaHei"/>
          <w:b/>
          <w:i w:val="0"/>
          <w:color w:val="183B56"/>
          <w:sz w:val="24"/>
        </w:rPr>
        <w:t>50～59岁：突出当前配置、账户规则和实际使用</w:t>
      </w:r>
    </w:p>
    <w:p>
      <w:pPr>
        <w:keepNext w:val="0"/>
        <w:keepLines/>
        <w:spacing w:before="0" w:after="140" w:lineRule="auto" w:line="288"/>
        <w:jc w:val="both"/>
      </w:pPr>
      <w:r>
        <w:rPr>
          <w:rFonts w:ascii="Arial" w:hAnsi="Arial" w:eastAsia="Microsoft YaHei"/>
          <w:b w:val="0"/>
          <w:i w:val="0"/>
          <w:color w:val="20313F"/>
          <w:sz w:val="22"/>
        </w:rPr>
        <w:t>该组希望了解未来配置变化的比例只有</w:t>
      </w:r>
      <w:r>
        <w:rPr>
          <w:rFonts w:ascii="Arial" w:hAnsi="Arial" w:eastAsia="Microsoft YaHei"/>
          <w:b/>
          <w:i w:val="0"/>
          <w:color w:val="183B56"/>
          <w:sz w:val="22"/>
        </w:rPr>
        <w:t>14.7%</w:t>
      </w:r>
      <w:r>
        <w:rPr>
          <w:rFonts w:ascii="Arial" w:hAnsi="Arial" w:eastAsia="Microsoft YaHei"/>
          <w:b w:val="0"/>
          <w:i w:val="0"/>
          <w:color w:val="20313F"/>
          <w:sz w:val="22"/>
        </w:rPr>
        <w:t>，但对当前配置和风险、Y份额费率与账户规则、与其他养老产品的差别三项需求均为</w:t>
      </w:r>
      <w:r>
        <w:rPr>
          <w:rFonts w:ascii="Arial" w:hAnsi="Arial" w:eastAsia="Microsoft YaHei"/>
          <w:b/>
          <w:i w:val="0"/>
          <w:color w:val="183B56"/>
          <w:sz w:val="22"/>
        </w:rPr>
        <w:t>26.5%</w:t>
      </w:r>
      <w:r>
        <w:rPr>
          <w:rFonts w:ascii="Arial" w:hAnsi="Arial" w:eastAsia="Microsoft YaHei"/>
          <w:b w:val="0"/>
          <w:i w:val="0"/>
          <w:color w:val="20313F"/>
          <w:sz w:val="22"/>
        </w:rPr>
        <w:t>。形式上更偏好结合年龄或退休年份举例</w:t>
      </w:r>
      <w:r>
        <w:rPr>
          <w:rFonts w:ascii="Arial" w:hAnsi="Arial" w:eastAsia="Microsoft YaHei"/>
          <w:b/>
          <w:i w:val="0"/>
          <w:color w:val="183B56"/>
          <w:sz w:val="22"/>
        </w:rPr>
        <w:t>41.2%</w:t>
      </w:r>
      <w:r>
        <w:rPr>
          <w:rFonts w:ascii="Arial" w:hAnsi="Arial" w:eastAsia="Microsoft YaHei"/>
          <w:b w:val="0"/>
          <w:i w:val="0"/>
          <w:color w:val="20313F"/>
          <w:sz w:val="22"/>
        </w:rPr>
        <w:t>、资产配置表</w:t>
      </w:r>
      <w:r>
        <w:rPr>
          <w:rFonts w:ascii="Arial" w:hAnsi="Arial" w:eastAsia="Microsoft YaHei"/>
          <w:b/>
          <w:i w:val="0"/>
          <w:color w:val="183B56"/>
          <w:sz w:val="22"/>
        </w:rPr>
        <w:t>32.4%</w:t>
      </w:r>
      <w:r>
        <w:rPr>
          <w:rFonts w:ascii="Arial" w:hAnsi="Arial" w:eastAsia="Microsoft YaHei"/>
          <w:b w:val="0"/>
          <w:i w:val="0"/>
          <w:color w:val="20313F"/>
          <w:sz w:val="22"/>
        </w:rPr>
        <w:t>和一句话说明</w:t>
      </w:r>
      <w:r>
        <w:rPr>
          <w:rFonts w:ascii="Arial" w:hAnsi="Arial" w:eastAsia="Microsoft YaHei"/>
          <w:b/>
          <w:i w:val="0"/>
          <w:color w:val="183B56"/>
          <w:sz w:val="22"/>
        </w:rPr>
        <w:t>29.4%</w:t>
      </w:r>
      <w:r>
        <w:rPr>
          <w:rFonts w:ascii="Arial" w:hAnsi="Arial" w:eastAsia="Microsoft YaHei"/>
          <w:b w:val="0"/>
          <w:i w:val="0"/>
          <w:color w:val="20313F"/>
          <w:sz w:val="22"/>
        </w:rPr>
        <w:t>，选择短视频的比例只有</w:t>
      </w:r>
      <w:r>
        <w:rPr>
          <w:rFonts w:ascii="Arial" w:hAnsi="Arial" w:eastAsia="Microsoft YaHei"/>
          <w:b/>
          <w:i w:val="0"/>
          <w:color w:val="183B56"/>
          <w:sz w:val="22"/>
        </w:rPr>
        <w:t>5.9%</w:t>
      </w:r>
      <w:r>
        <w:rPr>
          <w:rFonts w:ascii="Arial" w:hAnsi="Arial" w:eastAsia="Microsoft YaHei"/>
          <w:b w:val="0"/>
          <w:i w:val="0"/>
          <w:color w:val="20313F"/>
          <w:sz w:val="22"/>
        </w:rPr>
        <w:t>。较低的未来配置选择率更可能反映关注重点变化，不能解释为“不需要信息”。</w:t>
      </w:r>
    </w:p>
    <w:p>
      <w:pPr>
        <w:pStyle w:val="Heading1"/>
        <w:keepNext/>
        <w:keepLines w:val="0"/>
        <w:spacing w:before="320" w:after="160" w:lineRule="auto" w:line="240"/>
      </w:pPr>
      <w:r>
        <w:rPr>
          <w:rFonts w:ascii="Arial" w:hAnsi="Arial" w:eastAsia="Microsoft YaHei"/>
          <w:b/>
          <w:i w:val="0"/>
          <w:color w:val="183B56"/>
          <w:sz w:val="32"/>
        </w:rPr>
        <w:t>6.3 投资经验差异：经验能够积累知识，但不能自动形成完整判断</w:t>
      </w:r>
    </w:p>
    <w:p>
      <w:pPr>
        <w:keepNext w:val="0"/>
        <w:keepLines w:val="0"/>
        <w:spacing w:before="0" w:after="140" w:lineRule="auto" w:line="288"/>
        <w:jc w:val="both"/>
      </w:pPr>
      <w:r>
        <w:rPr>
          <w:rFonts w:ascii="Arial" w:hAnsi="Arial" w:eastAsia="Microsoft YaHei"/>
          <w:b w:val="0"/>
          <w:i w:val="0"/>
          <w:color w:val="20313F"/>
          <w:sz w:val="22"/>
        </w:rPr>
        <w:t>本轮样本中，不足1年投资经验27人，1～3年81人，4～6年40人，6年以上52人。与年龄相比，投资经验和基础产品知识呈现出更清晰的递增方向。</w:t>
      </w:r>
    </w:p>
    <w:p>
      <w:pPr>
        <w:keepNext/>
        <w:keepLines w:val="0"/>
        <w:spacing w:before="120" w:after="80" w:lineRule="auto" w:line="240"/>
        <w:jc w:val="center"/>
      </w:pPr>
      <w:r>
        <w:drawing>
          <wp:inline xmlns:a="http://schemas.openxmlformats.org/drawingml/2006/main" xmlns:pic="http://schemas.openxmlformats.org/drawingml/2006/picture">
            <wp:extent cx="5742432" cy="3230118"/>
            <wp:docPr id="3" name="Picture 3" title="图6-3  投资经验分组：知识积累与持有期信息缺口" descr="左图展示基金投资经验增加时，两类产品设计思路均答对和四道核心知识题全部答对的比例；右图展示购买后信息触达缺口和购买前主动比较下滑曲线的比例。"/>
            <wp:cNvGraphicFramePr>
              <a:graphicFrameLocks noChangeAspect="1"/>
            </wp:cNvGraphicFramePr>
            <a:graphic>
              <a:graphicData uri="http://schemas.openxmlformats.org/drawingml/2006/picture">
                <pic:pic>
                  <pic:nvPicPr>
                    <pic:cNvPr id="0" name="fig6-3_experience_cognition.png"/>
                    <pic:cNvPicPr/>
                  </pic:nvPicPr>
                  <pic:blipFill>
                    <a:blip r:embed="rId15"/>
                    <a:stretch>
                      <a:fillRect/>
                    </a:stretch>
                  </pic:blipFill>
                  <pic:spPr>
                    <a:xfrm>
                      <a:off x="0" y="0"/>
                      <a:ext cx="5742432" cy="3230118"/>
                    </a:xfrm>
                    <a:prstGeom prst="rect"/>
                  </pic:spPr>
                </pic:pic>
              </a:graphicData>
            </a:graphic>
          </wp:inline>
        </w:drawing>
      </w:r>
    </w:p>
    <w:p>
      <w:pPr>
        <w:pStyle w:val="ReportCaption"/>
        <w:keepNext w:val="0"/>
        <w:keepLines/>
        <w:spacing w:before="0" w:after="140" w:lineRule="auto" w:line="240"/>
        <w:jc w:val="center"/>
      </w:pPr>
      <w:r>
        <w:rPr>
          <w:rFonts w:ascii="Arial" w:hAnsi="Arial" w:eastAsia="Microsoft YaHei"/>
          <w:b w:val="0"/>
          <w:i w:val="0"/>
          <w:color w:val="60717D"/>
          <w:sz w:val="17"/>
        </w:rPr>
        <w:t>图6-3  投资经验分组：知识积累与持有期信息缺口</w:t>
      </w:r>
    </w:p>
    <w:p>
      <w:pPr>
        <w:keepNext/>
        <w:keepLines w:val="0"/>
        <w:spacing w:before="100" w:after="80" w:lineRule="auto" w:line="240"/>
      </w:pPr>
      <w:r>
        <w:rPr>
          <w:rFonts w:ascii="Arial" w:hAnsi="Arial" w:eastAsia="Microsoft YaHei"/>
          <w:b/>
          <w:i w:val="0"/>
          <w:color w:val="183B56"/>
          <w:sz w:val="19"/>
        </w:rPr>
        <w:t>表6-2  不同投资经验人群的核心认知与信息使用</w:t>
      </w:r>
    </w:p>
    <w:tbl>
      <w:tblPr>
        <w:tblW w:type="dxa" w:w="9360"/>
        <w:tblLayout w:type="fixed"/>
        <w:tblLook w:firstColumn="1" w:firstRow="1" w:lastColumn="0" w:lastRow="0" w:noHBand="0" w:noVBand="1" w:val="04A0"/>
        <w:jc w:val="center"/>
        <w:tblInd w:w="120" w:type="dxa"/>
      </w:tblPr>
      <w:tblGrid>
        <w:gridCol w:w="2880"/>
        <w:gridCol w:w="1620"/>
        <w:gridCol w:w="1620"/>
        <w:gridCol w:w="1620"/>
        <w:gridCol w:w="1620"/>
      </w:tblGrid>
      <w:tr>
        <w:trPr>
          <w:tblHeader w:val="true"/>
        </w:trP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观察指标</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不足1年</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1～3年</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4～6年</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6年以上</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left"/>
            </w:pPr>
            <w:r/>
            <w:r>
              <w:rPr>
                <w:rFonts w:ascii="Arial" w:hAnsi="Arial" w:eastAsia="Microsoft YaHei"/>
                <w:b/>
                <w:i w:val="0"/>
                <w:color w:val="20313F"/>
                <w:sz w:val="17"/>
              </w:rPr>
              <w:t>四道核心知识题全部答对</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11.1%</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19.8%</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20.0%</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CEDE5"/>
          </w:tcPr>
          <w:p>
            <w:pPr>
              <w:keepNext w:val="0"/>
              <w:keepLines w:val="0"/>
              <w:spacing w:before="0" w:after="0" w:lineRule="auto" w:line="264"/>
              <w:jc w:val="center"/>
            </w:pPr>
            <w:r>
              <w:rPr>
                <w:b/>
                <w:color w:val="C85C1A"/>
              </w:rPr>
            </w:r>
            <w:r>
              <w:rPr>
                <w:rFonts w:ascii="Arial" w:hAnsi="Arial" w:eastAsia="Microsoft YaHei"/>
                <w:b/>
                <w:i w:val="0"/>
                <w:color w:val="C85C1A"/>
                <w:sz w:val="17"/>
              </w:rPr>
              <w:t>25.0%</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left"/>
            </w:pPr>
            <w:r/>
            <w:r>
              <w:rPr>
                <w:rFonts w:ascii="Arial" w:hAnsi="Arial" w:eastAsia="Microsoft YaHei"/>
                <w:b/>
                <w:i w:val="0"/>
                <w:color w:val="20313F"/>
                <w:sz w:val="17"/>
              </w:rPr>
              <w:t>两类产品设计思路均答对</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25.9%</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35.8%</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45.0%</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CEDE5"/>
          </w:tcPr>
          <w:p>
            <w:pPr>
              <w:keepNext w:val="0"/>
              <w:keepLines w:val="0"/>
              <w:spacing w:before="0" w:after="0" w:lineRule="auto" w:line="264"/>
              <w:jc w:val="center"/>
            </w:pPr>
            <w:r>
              <w:rPr>
                <w:b/>
                <w:color w:val="C85C1A"/>
              </w:rPr>
            </w:r>
            <w:r>
              <w:rPr>
                <w:rFonts w:ascii="Arial" w:hAnsi="Arial" w:eastAsia="Microsoft YaHei"/>
                <w:b/>
                <w:i w:val="0"/>
                <w:color w:val="C85C1A"/>
                <w:sz w:val="17"/>
              </w:rPr>
              <w:t>48.1%</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left"/>
            </w:pPr>
            <w:r/>
            <w:r>
              <w:rPr>
                <w:rFonts w:ascii="Arial" w:hAnsi="Arial" w:eastAsia="Microsoft YaHei"/>
                <w:b/>
                <w:i w:val="0"/>
                <w:color w:val="20313F"/>
                <w:sz w:val="17"/>
              </w:rPr>
              <w:t>购买前看过下滑曲线</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51.9%</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42.0%</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42.5%</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44.2%</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left"/>
            </w:pPr>
            <w:r/>
            <w:r>
              <w:rPr>
                <w:rFonts w:ascii="Arial" w:hAnsi="Arial" w:eastAsia="Microsoft YaHei"/>
                <w:b/>
                <w:i w:val="0"/>
                <w:color w:val="20313F"/>
                <w:sz w:val="17"/>
              </w:rPr>
              <w:t>购买前主动比较下滑曲线</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0.0%</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1.2%</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2.5%</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CEDE5"/>
          </w:tcPr>
          <w:p>
            <w:pPr>
              <w:keepNext w:val="0"/>
              <w:keepLines w:val="0"/>
              <w:spacing w:before="0" w:after="0" w:lineRule="auto" w:line="264"/>
              <w:jc w:val="center"/>
            </w:pPr>
            <w:r>
              <w:rPr>
                <w:b/>
                <w:color w:val="C85C1A"/>
              </w:rPr>
            </w:r>
            <w:r>
              <w:rPr>
                <w:rFonts w:ascii="Arial" w:hAnsi="Arial" w:eastAsia="Microsoft YaHei"/>
                <w:b/>
                <w:i w:val="0"/>
                <w:color w:val="C85C1A"/>
                <w:sz w:val="17"/>
              </w:rPr>
              <w:t>9.6%</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left"/>
            </w:pPr>
            <w:r/>
            <w:r>
              <w:rPr>
                <w:rFonts w:ascii="Arial" w:hAnsi="Arial" w:eastAsia="Microsoft YaHei"/>
                <w:b/>
                <w:i w:val="0"/>
                <w:color w:val="20313F"/>
                <w:sz w:val="17"/>
              </w:rPr>
              <w:t>购买前信息比较清楚</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25.9%</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25.9%</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30.0%</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34.6%</w:t>
            </w:r>
          </w:p>
        </w:tc>
      </w:tr>
      <w:tr>
        <w:tc>
          <w:tcPr>
            <w:tcW w:type="dxa" w:w="288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left"/>
            </w:pPr>
            <w:r/>
            <w:r>
              <w:rPr>
                <w:rFonts w:ascii="Arial" w:hAnsi="Arial" w:eastAsia="Microsoft YaHei"/>
                <w:b/>
                <w:i w:val="0"/>
                <w:color w:val="20313F"/>
                <w:sz w:val="17"/>
              </w:rPr>
              <w:t>购买后存在信息触达缺口</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55.6%</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63.0%</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CEDE5"/>
          </w:tcPr>
          <w:p>
            <w:pPr>
              <w:keepNext w:val="0"/>
              <w:keepLines w:val="0"/>
              <w:spacing w:before="0" w:after="0" w:lineRule="auto" w:line="264"/>
              <w:jc w:val="center"/>
            </w:pPr>
            <w:r>
              <w:rPr>
                <w:b/>
                <w:color w:val="C85C1A"/>
              </w:rPr>
            </w:r>
            <w:r>
              <w:rPr>
                <w:rFonts w:ascii="Arial" w:hAnsi="Arial" w:eastAsia="Microsoft YaHei"/>
                <w:b/>
                <w:i w:val="0"/>
                <w:color w:val="C85C1A"/>
                <w:sz w:val="17"/>
              </w:rPr>
              <w:t>70.0%</w:t>
            </w:r>
          </w:p>
        </w:tc>
        <w:tc>
          <w:tcPr>
            <w:tcW w:type="dxa" w:w="162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48.1%</w:t>
            </w:r>
          </w:p>
        </w:tc>
      </w:tr>
    </w:tbl>
    <w:p>
      <w:pPr>
        <w:keepNext w:val="0"/>
        <w:keepLines w:val="0"/>
        <w:spacing w:before="80" w:after="140" w:lineRule="auto" w:line="240"/>
      </w:pPr>
      <w:r>
        <w:rPr>
          <w:rFonts w:ascii="Arial" w:hAnsi="Arial" w:eastAsia="Microsoft YaHei"/>
          <w:b w:val="0"/>
          <w:i w:val="0"/>
          <w:color w:val="60717D"/>
          <w:sz w:val="16"/>
        </w:rPr>
        <w:t>数据来源：FOF问卷回答_200人.csv；各组样本量见正文。</w:t>
      </w:r>
    </w:p>
    <w:p>
      <w:pPr>
        <w:pStyle w:val="Heading2"/>
        <w:keepNext/>
        <w:keepLines w:val="0"/>
        <w:spacing w:before="240" w:after="120" w:lineRule="auto" w:line="240"/>
      </w:pPr>
      <w:r>
        <w:rPr>
          <w:rFonts w:ascii="Arial" w:hAnsi="Arial" w:eastAsia="Microsoft YaHei"/>
          <w:b/>
          <w:i w:val="0"/>
          <w:color w:val="2878A6"/>
          <w:sz w:val="26"/>
        </w:rPr>
        <w:t>投资经验带来了什么，又没有带来什么</w:t>
      </w:r>
    </w:p>
    <w:p>
      <w:pPr>
        <w:keepNext w:val="0"/>
        <w:keepLines w:val="0"/>
        <w:spacing w:before="0" w:after="140" w:lineRule="auto" w:line="288"/>
        <w:jc w:val="both"/>
      </w:pPr>
      <w:r>
        <w:rPr>
          <w:rFonts w:ascii="Arial" w:hAnsi="Arial" w:eastAsia="Microsoft YaHei"/>
          <w:b w:val="0"/>
          <w:i w:val="0"/>
          <w:color w:val="20313F"/>
          <w:sz w:val="22"/>
        </w:rPr>
        <w:t>能够同时答对两类产品设计思路的比例，从不足1年的</w:t>
      </w:r>
      <w:r>
        <w:rPr>
          <w:rFonts w:ascii="Arial" w:hAnsi="Arial" w:eastAsia="Microsoft YaHei"/>
          <w:b/>
          <w:i w:val="0"/>
          <w:color w:val="183B56"/>
          <w:sz w:val="22"/>
        </w:rPr>
        <w:t>25.9%</w:t>
      </w:r>
      <w:r>
        <w:rPr>
          <w:rFonts w:ascii="Arial" w:hAnsi="Arial" w:eastAsia="Microsoft YaHei"/>
          <w:b w:val="0"/>
          <w:i w:val="0"/>
          <w:color w:val="20313F"/>
          <w:sz w:val="22"/>
        </w:rPr>
        <w:t>逐步上升至6年以上的</w:t>
      </w:r>
      <w:r>
        <w:rPr>
          <w:rFonts w:ascii="Arial" w:hAnsi="Arial" w:eastAsia="Microsoft YaHei"/>
          <w:b/>
          <w:i w:val="0"/>
          <w:color w:val="183B56"/>
          <w:sz w:val="22"/>
        </w:rPr>
        <w:t>48.1%</w:t>
      </w:r>
      <w:r>
        <w:rPr>
          <w:rFonts w:ascii="Arial" w:hAnsi="Arial" w:eastAsia="Microsoft YaHei"/>
          <w:b w:val="0"/>
          <w:i w:val="0"/>
          <w:color w:val="20313F"/>
          <w:sz w:val="22"/>
        </w:rPr>
        <w:t>。这说明投资经验有助于积累术语和产品类型知识。</w:t>
      </w:r>
    </w:p>
    <w:p>
      <w:pPr>
        <w:keepNext w:val="0"/>
        <w:keepLines w:val="0"/>
        <w:spacing w:before="0" w:after="140" w:lineRule="auto" w:line="288"/>
        <w:jc w:val="both"/>
      </w:pPr>
      <w:r>
        <w:rPr>
          <w:rFonts w:ascii="Arial" w:hAnsi="Arial" w:eastAsia="Microsoft YaHei"/>
          <w:b w:val="0"/>
          <w:i w:val="0"/>
          <w:color w:val="20313F"/>
          <w:sz w:val="22"/>
        </w:rPr>
        <w:t>这种积累仍然不足。即使在6年以上投资经验人群中，也只有</w:t>
      </w:r>
      <w:r>
        <w:rPr>
          <w:rFonts w:ascii="Arial" w:hAnsi="Arial" w:eastAsia="Microsoft YaHei"/>
          <w:b/>
          <w:i w:val="0"/>
          <w:color w:val="183B56"/>
          <w:sz w:val="22"/>
        </w:rPr>
        <w:t>25.0%</w:t>
      </w:r>
      <w:r>
        <w:rPr>
          <w:rFonts w:ascii="Arial" w:hAnsi="Arial" w:eastAsia="Microsoft YaHei"/>
          <w:b w:val="0"/>
          <w:i w:val="0"/>
          <w:color w:val="20313F"/>
          <w:sz w:val="22"/>
        </w:rPr>
        <w:t>答对全部四道核心知识题，主动比较下滑曲线的比例只有</w:t>
      </w:r>
      <w:r>
        <w:rPr>
          <w:rFonts w:ascii="Arial" w:hAnsi="Arial" w:eastAsia="Microsoft YaHei"/>
          <w:b/>
          <w:i w:val="0"/>
          <w:color w:val="183B56"/>
          <w:sz w:val="22"/>
        </w:rPr>
        <w:t>9.6%</w:t>
      </w:r>
      <w:r>
        <w:rPr>
          <w:rFonts w:ascii="Arial" w:hAnsi="Arial" w:eastAsia="Microsoft YaHei"/>
          <w:b w:val="0"/>
          <w:i w:val="0"/>
          <w:color w:val="20313F"/>
          <w:sz w:val="22"/>
        </w:rPr>
        <w:t>。因此，“投资时间较长”不能直接等同于“理解养老目标基金”。</w:t>
      </w:r>
    </w:p>
    <w:p>
      <w:pPr>
        <w:keepNext w:val="0"/>
        <w:keepLines w:val="0"/>
        <w:spacing w:before="0" w:after="140" w:lineRule="auto" w:line="288"/>
        <w:jc w:val="both"/>
      </w:pPr>
      <w:r>
        <w:rPr>
          <w:rFonts w:ascii="Arial" w:hAnsi="Arial" w:eastAsia="Microsoft YaHei"/>
          <w:b w:val="0"/>
          <w:i w:val="0"/>
          <w:color w:val="20313F"/>
          <w:sz w:val="22"/>
        </w:rPr>
        <w:t>购买前看过下滑曲线的比例没有随着投资经验增加而提高，不足1年投资者反而达到</w:t>
      </w:r>
      <w:r>
        <w:rPr>
          <w:rFonts w:ascii="Arial" w:hAnsi="Arial" w:eastAsia="Microsoft YaHei"/>
          <w:b/>
          <w:i w:val="0"/>
          <w:color w:val="183B56"/>
          <w:sz w:val="22"/>
        </w:rPr>
        <w:t>51.9%</w:t>
      </w:r>
      <w:r>
        <w:rPr>
          <w:rFonts w:ascii="Arial" w:hAnsi="Arial" w:eastAsia="Microsoft YaHei"/>
          <w:b w:val="0"/>
          <w:i w:val="0"/>
          <w:color w:val="20313F"/>
          <w:sz w:val="22"/>
        </w:rPr>
        <w:t>。这一结果再次说明，接触过信息、理解信息和使用信息是三个不同层次的研究问题。</w:t>
      </w:r>
    </w:p>
    <w:p>
      <w:pPr>
        <w:keepNext w:val="0"/>
        <w:keepLines w:val="0"/>
        <w:spacing w:before="0" w:after="140" w:lineRule="auto" w:line="288"/>
        <w:jc w:val="both"/>
      </w:pPr>
      <w:r>
        <w:rPr>
          <w:rFonts w:ascii="Arial" w:hAnsi="Arial" w:eastAsia="Microsoft YaHei"/>
          <w:b w:val="0"/>
          <w:i w:val="0"/>
          <w:color w:val="20313F"/>
          <w:sz w:val="22"/>
        </w:rPr>
        <w:t>4～6年经验人群的购买后信息触达缺口达到</w:t>
      </w:r>
      <w:r>
        <w:rPr>
          <w:rFonts w:ascii="Arial" w:hAnsi="Arial" w:eastAsia="Microsoft YaHei"/>
          <w:b/>
          <w:i w:val="0"/>
          <w:color w:val="183B56"/>
          <w:sz w:val="22"/>
        </w:rPr>
        <w:t>70.0%</w:t>
      </w:r>
      <w:r>
        <w:rPr>
          <w:rFonts w:ascii="Arial" w:hAnsi="Arial" w:eastAsia="Microsoft YaHei"/>
          <w:b w:val="0"/>
          <w:i w:val="0"/>
          <w:color w:val="20313F"/>
          <w:sz w:val="22"/>
        </w:rPr>
        <w:t>，高于其他经验组。该差异尚未通过多重校正，不能直接判断为稳定规律，但值得通过补充访谈确认：他们是找不到持有期信息，还是认为现有信息不能支持判断。</w:t>
      </w:r>
    </w:p>
    <w:p>
      <w:pPr>
        <w:pStyle w:val="Heading3"/>
        <w:keepNext/>
        <w:keepLines w:val="0"/>
        <w:spacing w:before="160" w:after="80" w:lineRule="auto" w:line="240"/>
      </w:pPr>
      <w:r>
        <w:rPr>
          <w:rFonts w:ascii="Arial" w:hAnsi="Arial" w:eastAsia="Microsoft YaHei"/>
          <w:b/>
          <w:i w:val="0"/>
          <w:color w:val="183B56"/>
          <w:sz w:val="24"/>
        </w:rPr>
        <w:t>不足1年：补足基本概念和选择方法</w:t>
      </w:r>
    </w:p>
    <w:p>
      <w:pPr>
        <w:keepNext w:val="0"/>
        <w:keepLines/>
        <w:spacing w:before="0" w:after="140" w:lineRule="auto" w:line="288"/>
        <w:jc w:val="both"/>
      </w:pPr>
      <w:r>
        <w:rPr>
          <w:rFonts w:ascii="Arial" w:hAnsi="Arial" w:eastAsia="Microsoft YaHei"/>
          <w:b w:val="0"/>
          <w:i w:val="0"/>
          <w:color w:val="20313F"/>
          <w:sz w:val="22"/>
        </w:rPr>
        <w:t>该组最希望了解未来配置变化</w:t>
      </w:r>
      <w:r>
        <w:rPr>
          <w:rFonts w:ascii="Arial" w:hAnsi="Arial" w:eastAsia="Microsoft YaHei"/>
          <w:b/>
          <w:i w:val="0"/>
          <w:color w:val="183B56"/>
          <w:sz w:val="22"/>
        </w:rPr>
        <w:t>40.7%</w:t>
      </w:r>
      <w:r>
        <w:rPr>
          <w:rFonts w:ascii="Arial" w:hAnsi="Arial" w:eastAsia="Microsoft YaHei"/>
          <w:b w:val="0"/>
          <w:i w:val="0"/>
          <w:color w:val="20313F"/>
          <w:sz w:val="22"/>
        </w:rPr>
        <w:t>，两类产品区别和当前风险水平均为</w:t>
      </w:r>
      <w:r>
        <w:rPr>
          <w:rFonts w:ascii="Arial" w:hAnsi="Arial" w:eastAsia="Microsoft YaHei"/>
          <w:b/>
          <w:i w:val="0"/>
          <w:color w:val="183B56"/>
          <w:sz w:val="22"/>
        </w:rPr>
        <w:t>33.3%</w:t>
      </w:r>
      <w:r>
        <w:rPr>
          <w:rFonts w:ascii="Arial" w:hAnsi="Arial" w:eastAsia="Microsoft YaHei"/>
          <w:b w:val="0"/>
          <w:i w:val="0"/>
          <w:color w:val="20313F"/>
          <w:sz w:val="22"/>
        </w:rPr>
        <w:t>。形式上更偏好1～3分钟短视频</w:t>
      </w:r>
      <w:r>
        <w:rPr>
          <w:rFonts w:ascii="Arial" w:hAnsi="Arial" w:eastAsia="Microsoft YaHei"/>
          <w:b/>
          <w:i w:val="0"/>
          <w:color w:val="183B56"/>
          <w:sz w:val="22"/>
        </w:rPr>
        <w:t>40.7%</w:t>
      </w:r>
      <w:r>
        <w:rPr>
          <w:rFonts w:ascii="Arial" w:hAnsi="Arial" w:eastAsia="Microsoft YaHei"/>
          <w:b w:val="0"/>
          <w:i w:val="0"/>
          <w:color w:val="20313F"/>
          <w:sz w:val="22"/>
        </w:rPr>
        <w:t>和一句话说明</w:t>
      </w:r>
      <w:r>
        <w:rPr>
          <w:rFonts w:ascii="Arial" w:hAnsi="Arial" w:eastAsia="Microsoft YaHei"/>
          <w:b/>
          <w:i w:val="0"/>
          <w:color w:val="183B56"/>
          <w:sz w:val="22"/>
        </w:rPr>
        <w:t>37.0%</w:t>
      </w:r>
      <w:r>
        <w:rPr>
          <w:rFonts w:ascii="Arial" w:hAnsi="Arial" w:eastAsia="Microsoft YaHei"/>
          <w:b w:val="0"/>
          <w:i w:val="0"/>
          <w:color w:val="20313F"/>
          <w:sz w:val="22"/>
        </w:rPr>
        <w:t>。材料宜采用“一个概念、一个例子、一个结论”的结构。</w:t>
      </w:r>
    </w:p>
    <w:p>
      <w:pPr>
        <w:pStyle w:val="Heading3"/>
        <w:keepNext/>
        <w:keepLines w:val="0"/>
        <w:spacing w:before="160" w:after="80" w:lineRule="auto" w:line="240"/>
      </w:pPr>
      <w:r>
        <w:rPr>
          <w:rFonts w:ascii="Arial" w:hAnsi="Arial" w:eastAsia="Microsoft YaHei"/>
          <w:b/>
          <w:i w:val="0"/>
          <w:color w:val="183B56"/>
          <w:sz w:val="24"/>
        </w:rPr>
        <w:t>1～3年：建立结构化的产品判断框架</w:t>
      </w:r>
    </w:p>
    <w:p>
      <w:pPr>
        <w:keepNext w:val="0"/>
        <w:keepLines/>
        <w:spacing w:before="0" w:after="140" w:lineRule="auto" w:line="288"/>
        <w:jc w:val="both"/>
      </w:pPr>
      <w:r>
        <w:rPr>
          <w:rFonts w:ascii="Arial" w:hAnsi="Arial" w:eastAsia="Microsoft YaHei"/>
          <w:b w:val="0"/>
          <w:i w:val="0"/>
          <w:color w:val="20313F"/>
          <w:sz w:val="22"/>
        </w:rPr>
        <w:t>该组关注怎样根据退休年份或风险类型选择</w:t>
      </w:r>
      <w:r>
        <w:rPr>
          <w:rFonts w:ascii="Arial" w:hAnsi="Arial" w:eastAsia="Microsoft YaHei"/>
          <w:b/>
          <w:i w:val="0"/>
          <w:color w:val="183B56"/>
          <w:sz w:val="22"/>
        </w:rPr>
        <w:t>29.6%</w:t>
      </w:r>
      <w:r>
        <w:rPr>
          <w:rFonts w:ascii="Arial" w:hAnsi="Arial" w:eastAsia="Microsoft YaHei"/>
          <w:b w:val="0"/>
          <w:i w:val="0"/>
          <w:color w:val="20313F"/>
          <w:sz w:val="22"/>
        </w:rPr>
        <w:t>、未来配置变化</w:t>
      </w:r>
      <w:r>
        <w:rPr>
          <w:rFonts w:ascii="Arial" w:hAnsi="Arial" w:eastAsia="Microsoft YaHei"/>
          <w:b/>
          <w:i w:val="0"/>
          <w:color w:val="183B56"/>
          <w:sz w:val="22"/>
        </w:rPr>
        <w:t>28.4%</w:t>
      </w:r>
      <w:r>
        <w:rPr>
          <w:rFonts w:ascii="Arial" w:hAnsi="Arial" w:eastAsia="Microsoft YaHei"/>
          <w:b w:val="0"/>
          <w:i w:val="0"/>
          <w:color w:val="20313F"/>
          <w:sz w:val="22"/>
        </w:rPr>
        <w:t>、当前风险水平</w:t>
      </w:r>
      <w:r>
        <w:rPr>
          <w:rFonts w:ascii="Arial" w:hAnsi="Arial" w:eastAsia="Microsoft YaHei"/>
          <w:b/>
          <w:i w:val="0"/>
          <w:color w:val="183B56"/>
          <w:sz w:val="22"/>
        </w:rPr>
        <w:t>27.2%</w:t>
      </w:r>
      <w:r>
        <w:rPr>
          <w:rFonts w:ascii="Arial" w:hAnsi="Arial" w:eastAsia="Microsoft YaHei"/>
          <w:b w:val="0"/>
          <w:i w:val="0"/>
          <w:color w:val="20313F"/>
          <w:sz w:val="22"/>
        </w:rPr>
        <w:t>。研究重点应从“是否知道”转向“能否比较、能否解释自己的选择”。</w:t>
      </w:r>
    </w:p>
    <w:p>
      <w:pPr>
        <w:pStyle w:val="Heading3"/>
        <w:keepNext/>
        <w:keepLines w:val="0"/>
        <w:spacing w:before="160" w:after="80" w:lineRule="auto" w:line="240"/>
      </w:pPr>
      <w:r>
        <w:rPr>
          <w:rFonts w:ascii="Arial" w:hAnsi="Arial" w:eastAsia="Microsoft YaHei"/>
          <w:b/>
          <w:i w:val="0"/>
          <w:color w:val="183B56"/>
          <w:sz w:val="24"/>
        </w:rPr>
        <w:t>4～6年：重点复核持有期信息缺口</w:t>
      </w:r>
    </w:p>
    <w:p>
      <w:pPr>
        <w:keepNext w:val="0"/>
        <w:keepLines/>
        <w:spacing w:before="0" w:after="140" w:lineRule="auto" w:line="288"/>
        <w:jc w:val="both"/>
      </w:pPr>
      <w:r>
        <w:rPr>
          <w:rFonts w:ascii="Arial" w:hAnsi="Arial" w:eastAsia="Microsoft YaHei"/>
          <w:b w:val="0"/>
          <w:i w:val="0"/>
          <w:color w:val="20313F"/>
          <w:sz w:val="22"/>
        </w:rPr>
        <w:t>该组希望了解未来配置变化的比例为</w:t>
      </w:r>
      <w:r>
        <w:rPr>
          <w:rFonts w:ascii="Arial" w:hAnsi="Arial" w:eastAsia="Microsoft YaHei"/>
          <w:b/>
          <w:i w:val="0"/>
          <w:color w:val="183B56"/>
          <w:sz w:val="22"/>
        </w:rPr>
        <w:t>40.0%</w:t>
      </w:r>
      <w:r>
        <w:rPr>
          <w:rFonts w:ascii="Arial" w:hAnsi="Arial" w:eastAsia="Microsoft YaHei"/>
          <w:b w:val="0"/>
          <w:i w:val="0"/>
          <w:color w:val="20313F"/>
          <w:sz w:val="22"/>
        </w:rPr>
        <w:t>，购买后信息触达缺口为</w:t>
      </w:r>
      <w:r>
        <w:rPr>
          <w:rFonts w:ascii="Arial" w:hAnsi="Arial" w:eastAsia="Microsoft YaHei"/>
          <w:b/>
          <w:i w:val="0"/>
          <w:color w:val="183B56"/>
          <w:sz w:val="22"/>
        </w:rPr>
        <w:t>70.0%</w:t>
      </w:r>
      <w:r>
        <w:rPr>
          <w:rFonts w:ascii="Arial" w:hAnsi="Arial" w:eastAsia="Microsoft YaHei"/>
          <w:b w:val="0"/>
          <w:i w:val="0"/>
          <w:color w:val="20313F"/>
          <w:sz w:val="22"/>
        </w:rPr>
        <w:t>。下一轮应优先测试配置变化说明、调仓原因解释和持有期提醒是否能够改善判断。</w:t>
      </w:r>
    </w:p>
    <w:p>
      <w:pPr>
        <w:pStyle w:val="Heading3"/>
        <w:keepNext/>
        <w:keepLines w:val="0"/>
        <w:spacing w:before="160" w:after="80" w:lineRule="auto" w:line="240"/>
      </w:pPr>
      <w:r>
        <w:rPr>
          <w:rFonts w:ascii="Arial" w:hAnsi="Arial" w:eastAsia="Microsoft YaHei"/>
          <w:b/>
          <w:i w:val="0"/>
          <w:color w:val="183B56"/>
          <w:sz w:val="24"/>
        </w:rPr>
        <w:t>6年以上：提高信息效率，同时保留必要概念提示</w:t>
      </w:r>
    </w:p>
    <w:p>
      <w:pPr>
        <w:keepNext w:val="0"/>
        <w:keepLines/>
        <w:spacing w:before="0" w:after="140" w:lineRule="auto" w:line="288"/>
        <w:jc w:val="both"/>
      </w:pPr>
      <w:r>
        <w:rPr>
          <w:rFonts w:ascii="Arial" w:hAnsi="Arial" w:eastAsia="Microsoft YaHei"/>
          <w:b w:val="0"/>
          <w:i w:val="0"/>
          <w:color w:val="20313F"/>
          <w:sz w:val="22"/>
        </w:rPr>
        <w:t>该组主要关注当前配置和风险</w:t>
      </w:r>
      <w:r>
        <w:rPr>
          <w:rFonts w:ascii="Arial" w:hAnsi="Arial" w:eastAsia="Microsoft YaHei"/>
          <w:b/>
          <w:i w:val="0"/>
          <w:color w:val="183B56"/>
          <w:sz w:val="22"/>
        </w:rPr>
        <w:t>26.9%</w:t>
      </w:r>
      <w:r>
        <w:rPr>
          <w:rFonts w:ascii="Arial" w:hAnsi="Arial" w:eastAsia="Microsoft YaHei"/>
          <w:b w:val="0"/>
          <w:i w:val="0"/>
          <w:color w:val="20313F"/>
          <w:sz w:val="22"/>
        </w:rPr>
        <w:t>、Y份额费率和账户规则</w:t>
      </w:r>
      <w:r>
        <w:rPr>
          <w:rFonts w:ascii="Arial" w:hAnsi="Arial" w:eastAsia="Microsoft YaHei"/>
          <w:b/>
          <w:i w:val="0"/>
          <w:color w:val="183B56"/>
          <w:sz w:val="22"/>
        </w:rPr>
        <w:t>25.0%</w:t>
      </w:r>
      <w:r>
        <w:rPr>
          <w:rFonts w:ascii="Arial" w:hAnsi="Arial" w:eastAsia="Microsoft YaHei"/>
          <w:b w:val="0"/>
          <w:i w:val="0"/>
          <w:color w:val="20313F"/>
          <w:sz w:val="22"/>
        </w:rPr>
        <w:t>；未来配置、调整原因和市场下跌表现均为</w:t>
      </w:r>
      <w:r>
        <w:rPr>
          <w:rFonts w:ascii="Arial" w:hAnsi="Arial" w:eastAsia="Microsoft YaHei"/>
          <w:b/>
          <w:i w:val="0"/>
          <w:color w:val="183B56"/>
          <w:sz w:val="22"/>
        </w:rPr>
        <w:t>23.1%</w:t>
      </w:r>
      <w:r>
        <w:rPr>
          <w:rFonts w:ascii="Arial" w:hAnsi="Arial" w:eastAsia="Microsoft YaHei"/>
          <w:b w:val="0"/>
          <w:i w:val="0"/>
          <w:color w:val="20313F"/>
          <w:sz w:val="22"/>
        </w:rPr>
        <w:t>。材料可以更加数据化和简洁，但不能假设其已经掌握养老目标基金的特有机制。</w:t>
      </w:r>
    </w:p>
    <w:p>
      <w:pPr>
        <w:pStyle w:val="Heading1"/>
        <w:keepNext/>
        <w:keepLines w:val="0"/>
        <w:spacing w:before="320" w:after="160" w:lineRule="auto" w:line="240"/>
      </w:pPr>
      <w:r>
        <w:rPr>
          <w:rFonts w:ascii="Arial" w:hAnsi="Arial" w:eastAsia="Microsoft YaHei"/>
          <w:b/>
          <w:i w:val="0"/>
          <w:color w:val="183B56"/>
          <w:sz w:val="32"/>
        </w:rPr>
        <w:t>6.4 年龄和经验需要分别研究，不能合并为单一标签</w:t>
      </w:r>
    </w:p>
    <w:p>
      <w:pPr>
        <w:keepNext w:val="0"/>
        <w:keepLines w:val="0"/>
        <w:spacing w:before="0" w:after="140" w:lineRule="auto" w:line="288"/>
        <w:jc w:val="both"/>
      </w:pPr>
      <w:r>
        <w:rPr>
          <w:rFonts w:ascii="Arial" w:hAnsi="Arial" w:eastAsia="Microsoft YaHei"/>
          <w:b w:val="0"/>
          <w:i w:val="0"/>
          <w:color w:val="20313F"/>
          <w:sz w:val="22"/>
        </w:rPr>
        <w:t>年龄更多反映退休距离、养老议题的现实相关性和内容形式偏好；投资经验更多影响术语基础、信息阅读习惯和产品比较能力。两者可能相关，但不能相互替代。</w:t>
      </w:r>
    </w:p>
    <w:p>
      <w:pPr>
        <w:keepNext w:val="0"/>
        <w:keepLines w:val="0"/>
        <w:spacing w:before="0" w:after="140" w:lineRule="auto" w:line="288"/>
        <w:jc w:val="both"/>
      </w:pPr>
      <w:r>
        <w:rPr>
          <w:rFonts w:ascii="Arial" w:hAnsi="Arial" w:eastAsia="Microsoft YaHei"/>
          <w:b w:val="0"/>
          <w:i w:val="0"/>
          <w:color w:val="20313F"/>
          <w:sz w:val="22"/>
        </w:rPr>
        <w:t>年龄较大的投资者不一定拥有更丰富的基金投资经验；投资经验较长的投资者，也不一定熟悉目标年份、目标风险和下滑曲线等养老目标基金特有机制。后续工作流应将年龄和投资经验保留为两个独立分析字段。</w:t>
      </w:r>
    </w:p>
    <w:p>
      <w:pPr>
        <w:keepNext/>
        <w:keepLines w:val="0"/>
        <w:spacing w:before="100" w:after="80" w:lineRule="auto" w:line="240"/>
      </w:pPr>
      <w:r>
        <w:rPr>
          <w:rFonts w:ascii="Arial" w:hAnsi="Arial" w:eastAsia="Microsoft YaHei"/>
          <w:b/>
          <w:i w:val="0"/>
          <w:color w:val="183B56"/>
          <w:sz w:val="19"/>
        </w:rPr>
        <w:t>表6-3  年龄与投资经验分群的后续研究用途</w:t>
      </w:r>
    </w:p>
    <w:tbl>
      <w:tblPr>
        <w:tblW w:type="dxa" w:w="9360"/>
        <w:tblLayout w:type="fixed"/>
        <w:tblLook w:firstColumn="1" w:firstRow="1" w:lastColumn="0" w:lastRow="0" w:noHBand="0" w:noVBand="1" w:val="04A0"/>
        <w:jc w:val="center"/>
        <w:tblInd w:w="120" w:type="dxa"/>
      </w:tblPr>
      <w:tblGrid>
        <w:gridCol w:w="1800"/>
        <w:gridCol w:w="3500"/>
        <w:gridCol w:w="4060"/>
      </w:tblGrid>
      <w:tr>
        <w:trPr>
          <w:tblHeader w:val="true"/>
        </w:trPr>
        <w:tc>
          <w:tcPr>
            <w:tcW w:type="dxa" w:w="180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分群变量</w:t>
            </w:r>
          </w:p>
        </w:tc>
        <w:tc>
          <w:tcPr>
            <w:tcW w:type="dxa" w:w="350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主要回答的问题</w:t>
            </w:r>
          </w:p>
        </w:tc>
        <w:tc>
          <w:tcPr>
            <w:tcW w:type="dxa" w:w="406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183B56"/>
          </w:tcPr>
          <w:p>
            <w:pPr>
              <w:keepNext w:val="0"/>
              <w:keepLines w:val="0"/>
              <w:spacing w:before="0" w:after="0" w:lineRule="auto" w:line="264"/>
              <w:jc w:val="center"/>
            </w:pPr>
            <w:r/>
            <w:r>
              <w:rPr>
                <w:rFonts w:ascii="Arial" w:hAnsi="Arial" w:eastAsia="Microsoft YaHei"/>
                <w:b/>
                <w:i w:val="0"/>
                <w:color w:val="FFFFFF"/>
                <w:sz w:val="17"/>
              </w:rPr>
              <w:t>适合用于</w:t>
            </w:r>
          </w:p>
        </w:tc>
      </w:tr>
      <w:tr>
        <w:tc>
          <w:tcPr>
            <w:tcW w:type="dxa" w:w="180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left"/>
            </w:pPr>
            <w:r/>
            <w:r>
              <w:rPr>
                <w:rFonts w:ascii="Arial" w:hAnsi="Arial" w:eastAsia="Microsoft YaHei"/>
                <w:b/>
                <w:i w:val="0"/>
                <w:color w:val="20313F"/>
                <w:sz w:val="17"/>
              </w:rPr>
              <w:t>年龄</w:t>
            </w:r>
          </w:p>
        </w:tc>
        <w:tc>
          <w:tcPr>
            <w:tcW w:type="dxa" w:w="350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养老议题与个人有多相关；更容易接受哪种表达方式</w:t>
            </w:r>
          </w:p>
        </w:tc>
        <w:tc>
          <w:tcPr>
            <w:tcW w:type="dxa" w:w="406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案例背景、内容形式、触达场景设计</w:t>
            </w:r>
          </w:p>
        </w:tc>
      </w:tr>
      <w:tr>
        <w:tc>
          <w:tcPr>
            <w:tcW w:type="dxa" w:w="180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left"/>
            </w:pPr>
            <w:r/>
            <w:r>
              <w:rPr>
                <w:rFonts w:ascii="Arial" w:hAnsi="Arial" w:eastAsia="Microsoft YaHei"/>
                <w:b/>
                <w:i w:val="0"/>
                <w:color w:val="20313F"/>
                <w:sz w:val="17"/>
              </w:rPr>
              <w:t>投资经验</w:t>
            </w:r>
          </w:p>
        </w:tc>
        <w:tc>
          <w:tcPr>
            <w:tcW w:type="dxa" w:w="350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具备多少基础概念；能否比较产品并解释选择</w:t>
            </w:r>
          </w:p>
        </w:tc>
        <w:tc>
          <w:tcPr>
            <w:tcW w:type="dxa" w:w="406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shd w:fill="F3F6F7"/>
          </w:tcPr>
          <w:p>
            <w:pPr>
              <w:keepNext w:val="0"/>
              <w:keepLines w:val="0"/>
              <w:spacing w:before="0" w:after="0" w:lineRule="auto" w:line="264"/>
              <w:jc w:val="center"/>
            </w:pPr>
            <w:r/>
            <w:r>
              <w:rPr>
                <w:rFonts w:ascii="Arial" w:hAnsi="Arial" w:eastAsia="Microsoft YaHei"/>
                <w:b w:val="0"/>
                <w:i w:val="0"/>
                <w:color w:val="20313F"/>
                <w:sz w:val="17"/>
              </w:rPr>
              <w:t>材料难度、问题深度、信息层级设计</w:t>
            </w:r>
          </w:p>
        </w:tc>
      </w:tr>
      <w:tr>
        <w:tc>
          <w:tcPr>
            <w:tcW w:type="dxa" w:w="180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left"/>
            </w:pPr>
            <w:r/>
            <w:r>
              <w:rPr>
                <w:rFonts w:ascii="Arial" w:hAnsi="Arial" w:eastAsia="Microsoft YaHei"/>
                <w:b/>
                <w:i w:val="0"/>
                <w:color w:val="20313F"/>
                <w:sz w:val="17"/>
              </w:rPr>
              <w:t>年龄×经验</w:t>
            </w:r>
          </w:p>
        </w:tc>
        <w:tc>
          <w:tcPr>
            <w:tcW w:type="dxa" w:w="350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同年龄不同经验、同经验不同年龄是否存在进一步差异</w:t>
            </w:r>
          </w:p>
        </w:tc>
        <w:tc>
          <w:tcPr>
            <w:tcW w:type="dxa" w:w="4060"/>
            <w:vAlign w:val="center"/>
            <w:tcMar>
              <w:top w:w="80" w:type="dxa"/>
              <w:bottom w:w="80" w:type="dxa"/>
              <w:start w:w="120" w:type="dxa"/>
              <w:end w:w="120" w:type="dxa"/>
            </w:tcMar>
            <w:tcBorders>
              <w:top w:val="single" w:sz="5" w:color="DCE5EA"/>
              <w:left w:val="single" w:sz="5" w:color="DCE5EA"/>
              <w:bottom w:val="single" w:sz="5" w:color="DCE5EA"/>
              <w:right w:val="single" w:sz="5" w:color="DCE5EA"/>
              <w:insideH w:val="single" w:sz="5" w:color="DCE5EA"/>
              <w:insideV w:val="single" w:sz="5" w:color="DCE5EA"/>
            </w:tcBorders>
          </w:tcPr>
          <w:p>
            <w:pPr>
              <w:keepNext w:val="0"/>
              <w:keepLines w:val="0"/>
              <w:spacing w:before="0" w:after="0" w:lineRule="auto" w:line="264"/>
              <w:jc w:val="center"/>
            </w:pPr>
            <w:r/>
            <w:r>
              <w:rPr>
                <w:rFonts w:ascii="Arial" w:hAnsi="Arial" w:eastAsia="Microsoft YaHei"/>
                <w:b w:val="0"/>
                <w:i w:val="0"/>
                <w:color w:val="20313F"/>
                <w:sz w:val="17"/>
              </w:rPr>
              <w:t>扩大样本后进行交叉分析，不用于本轮定论</w:t>
            </w:r>
          </w:p>
        </w:tc>
      </w:tr>
    </w:tbl>
    <w:p>
      <w:pPr>
        <w:keepNext w:val="0"/>
        <w:keepLines w:val="0"/>
        <w:spacing w:before="80" w:after="140" w:lineRule="auto" w:line="240"/>
      </w:pPr>
      <w:r>
        <w:rPr>
          <w:rFonts w:ascii="Arial" w:hAnsi="Arial" w:eastAsia="Microsoft YaHei"/>
          <w:b w:val="0"/>
          <w:i w:val="0"/>
          <w:color w:val="60717D"/>
          <w:sz w:val="16"/>
        </w:rPr>
        <w:t>数据来源：FOF问卷回答_200人.csv；各组样本量见正文。</w:t>
      </w:r>
    </w:p>
    <w:p>
      <w:pPr>
        <w:pStyle w:val="Heading2"/>
        <w:keepNext/>
        <w:keepLines w:val="0"/>
        <w:spacing w:before="240" w:after="120" w:lineRule="auto" w:line="240"/>
      </w:pPr>
      <w:r>
        <w:rPr>
          <w:rFonts w:ascii="Arial" w:hAnsi="Arial" w:eastAsia="Microsoft YaHei"/>
          <w:b/>
          <w:i w:val="0"/>
          <w:color w:val="2878A6"/>
          <w:sz w:val="26"/>
        </w:rPr>
        <w:t>对下一轮调研和投资者教育的建议</w:t>
      </w:r>
    </w:p>
    <w:p>
      <w:pPr>
        <w:keepNext w:val="0"/>
        <w:keepLines/>
        <w:spacing w:before="80" w:after="140" w:lineRule="auto" w:line="283"/>
      </w:pPr>
      <w:r>
        <w:rPr>
          <w:rFonts w:ascii="Arial" w:hAnsi="Arial" w:eastAsia="Microsoft YaHei"/>
          <w:b/>
          <w:i w:val="0"/>
          <w:color w:val="2878A6"/>
          <w:sz w:val="21"/>
        </w:rPr>
        <w:t xml:space="preserve">01  材料版本测试  </w:t>
      </w:r>
      <w:r>
        <w:rPr>
          <w:rFonts w:ascii="Arial" w:hAnsi="Arial" w:eastAsia="Microsoft YaHei"/>
          <w:b w:val="0"/>
          <w:i w:val="0"/>
          <w:color w:val="20313F"/>
          <w:sz w:val="21"/>
        </w:rPr>
        <w:t>围绕同一知识点制作短视频、退休年份案例和资产配置表三个版本，分别比较理解正确率，而不只询问主观偏好。</w:t>
      </w:r>
    </w:p>
    <w:p>
      <w:pPr>
        <w:keepNext w:val="0"/>
        <w:keepLines/>
        <w:spacing w:before="80" w:after="140" w:lineRule="auto" w:line="283"/>
      </w:pPr>
      <w:r>
        <w:rPr>
          <w:rFonts w:ascii="Arial" w:hAnsi="Arial" w:eastAsia="Microsoft YaHei"/>
          <w:b/>
          <w:i w:val="0"/>
          <w:color w:val="2878A6"/>
          <w:sz w:val="21"/>
        </w:rPr>
        <w:t xml:space="preserve">02  分层问题设计  </w:t>
      </w:r>
      <w:r>
        <w:rPr>
          <w:rFonts w:ascii="Arial" w:hAnsi="Arial" w:eastAsia="Microsoft YaHei"/>
          <w:b w:val="0"/>
          <w:i w:val="0"/>
          <w:color w:val="20313F"/>
          <w:sz w:val="21"/>
        </w:rPr>
        <w:t>对新手测试基本概念和选择方法；对中高经验人群增加产品比较、配置变化和持有判断问题。</w:t>
      </w:r>
    </w:p>
    <w:p>
      <w:pPr>
        <w:keepNext w:val="0"/>
        <w:keepLines/>
        <w:spacing w:before="80" w:after="140" w:lineRule="auto" w:line="283"/>
      </w:pPr>
      <w:r>
        <w:rPr>
          <w:rFonts w:ascii="Arial" w:hAnsi="Arial" w:eastAsia="Microsoft YaHei"/>
          <w:b/>
          <w:i w:val="0"/>
          <w:color w:val="2878A6"/>
          <w:sz w:val="21"/>
        </w:rPr>
        <w:t xml:space="preserve">03  分开测量三个层次  </w:t>
      </w:r>
      <w:r>
        <w:rPr>
          <w:rFonts w:ascii="Arial" w:hAnsi="Arial" w:eastAsia="Microsoft YaHei"/>
          <w:b w:val="0"/>
          <w:i w:val="0"/>
          <w:color w:val="20313F"/>
          <w:sz w:val="21"/>
        </w:rPr>
        <w:t>分别记录是否接触信息、是否理解信息、是否会用信息作出判断，避免继续用“看过”代替“看懂”。</w:t>
      </w:r>
    </w:p>
    <w:p>
      <w:pPr>
        <w:keepNext w:val="0"/>
        <w:keepLines/>
        <w:spacing w:before="80" w:after="140" w:lineRule="auto" w:line="283"/>
      </w:pPr>
      <w:r>
        <w:rPr>
          <w:rFonts w:ascii="Arial" w:hAnsi="Arial" w:eastAsia="Microsoft YaHei"/>
          <w:b/>
          <w:i w:val="0"/>
          <w:color w:val="2878A6"/>
          <w:sz w:val="21"/>
        </w:rPr>
        <w:t xml:space="preserve">04  补充中等经验人群访谈  </w:t>
      </w:r>
      <w:r>
        <w:rPr>
          <w:rFonts w:ascii="Arial" w:hAnsi="Arial" w:eastAsia="Microsoft YaHei"/>
          <w:b w:val="0"/>
          <w:i w:val="0"/>
          <w:color w:val="20313F"/>
          <w:sz w:val="21"/>
        </w:rPr>
        <w:t>重点验证4～6年经验人群较高的信息触达缺口来自内容不足、渠道不足，还是缺少主动查看动机。</w:t>
      </w:r>
    </w:p>
    <w:p>
      <w:pPr>
        <w:shd w:fill="F3F6F7"/>
        <w:keepNext w:val="0"/>
        <w:keepLines/>
        <w:pBdr>
          <w:left w:val="single" w:sz="18" w:space="8" w:color="60717D"/>
        </w:pBdr>
        <w:spacing w:before="80" w:after="200" w:lineRule="auto" w:line="293"/>
        <w:ind w:left="180" w:right="180"/>
      </w:pPr>
      <w:r>
        <w:rPr>
          <w:rFonts w:ascii="Arial" w:hAnsi="Arial" w:eastAsia="Microsoft YaHei"/>
          <w:b/>
          <w:i w:val="0"/>
          <w:color w:val="60717D"/>
          <w:sz w:val="20"/>
        </w:rPr>
        <w:t>统计边界</w:t>
        <w:br/>
      </w:r>
      <w:r>
        <w:rPr>
          <w:rFonts w:ascii="Arial" w:hAnsi="Arial" w:eastAsia="Microsoft YaHei"/>
          <w:b w:val="0"/>
          <w:i w:val="0"/>
          <w:color w:val="20313F"/>
          <w:sz w:val="22"/>
        </w:rPr>
        <w:t>本轮共预设5类分组和10项核心指标，形成50组比较。二元结果采用Pearson卡方检验，效应量采用Cramér's V，并使用Benjamini-Hochberg方法进行FDR多重校正。校正后没有一组达到q&lt;0.05，因此本章只使用“方向性差异”和“研究线索”等表述，不将组间差异解释为稳定规律或因果关系。</w:t>
      </w:r>
    </w:p>
    <w:p>
      <w:pPr>
        <w:keepNext w:val="0"/>
        <w:keepLines w:val="0"/>
        <w:spacing w:before="0" w:after="40" w:lineRule="auto" w:line="24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eastAsia="Microsoft YaHei"/>
        <w:b w:val="0"/>
        <w:i w:val="0"/>
        <w:color w:val="60717D"/>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Rule="auto" w:line="240"/>
    </w:pPr>
    <w:r/>
    <w:r>
      <w:rPr>
        <w:rFonts w:ascii="Arial" w:hAnsi="Arial" w:eastAsia="Microsoft YaHei"/>
        <w:b/>
        <w:i w:val="0"/>
        <w:color w:val="60717D"/>
        <w:sz w:val="16"/>
      </w:rPr>
      <w:t>养老目标基金购买者调研 | 年龄与投资经验分群分析</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Microsoft YaHei"/>
      <w:color w:val="2031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Microsoft YaHe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Microsoft YaHei"/>
      <w:b/>
      <w:bCs/>
      <w:color w:val="2878A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Microsoft YaHei"/>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rPr>
      <w:rFonts w:ascii="Arial" w:hAnsi="Arial" w:eastAsia="Microsoft YaHei"/>
      <w:color w:val="6071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第六章 年龄与投资经验分群分析</dc:title>
  <dc:subject>养老目标基金购买者认知、信息使用与投资者教育</dc:subject>
  <dc:creator>用户研究工作流</dc:creator>
  <cp:keywords>养老目标基金, 用户研究, 年龄, 投资经验, 分群分析</cp:keywords>
  <dc:description>基于200份养老目标基金购买者问卷的探索性分群分析。</dc:description>
  <cp:lastModifiedBy/>
  <cp:revision>1</cp:revision>
  <dcterms:created xsi:type="dcterms:W3CDTF">2013-12-23T23:15:00Z</dcterms:created>
  <dcterms:modified xsi:type="dcterms:W3CDTF">2013-12-23T23:15:00Z</dcterms:modified>
  <cp:category/>
</cp:coreProperties>
</file>