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B85C3E"/>
          <w:sz w:val="22"/>
        </w:rPr>
        <w:t>AI 辅助用户研究 · 完整运行工作流</w:t>
      </w:r>
    </w:p>
    <w:p>
      <w:pPr>
        <w:pStyle w:val="Title"/>
        <w:jc w:val="center"/>
      </w:pPr>
      <w:r>
        <w:rPr>
          <w:rFonts w:ascii="微软雅黑" w:hAnsi="微软雅黑" w:eastAsia="微软雅黑"/>
          <w:b/>
          <w:color w:val="242421"/>
          <w:sz w:val="54"/>
        </w:rPr>
        <w:t>AI辅助用户研究工作流</w:t>
      </w:r>
    </w:p>
    <w:p>
      <w:pPr>
        <w:jc w:val="center"/>
      </w:pPr>
      <w:r>
        <w:rPr>
          <w:rFonts w:ascii="微软雅黑" w:hAnsi="微软雅黑" w:eastAsia="微软雅黑"/>
          <w:color w:val="66645F"/>
          <w:sz w:val="34"/>
        </w:rPr>
        <w:t>答辩论述稿</w:t>
      </w:r>
    </w:p>
    <w:p>
      <w:pPr>
        <w:jc w:val="center"/>
      </w:pPr>
      <w:r>
        <w:rPr>
          <w:rFonts w:ascii="微软雅黑" w:hAnsi="微软雅黑" w:eastAsia="微软雅黑"/>
          <w:color w:val="E3DACC"/>
          <w:sz w:val="22"/>
        </w:rPr>
        <w:t>━━━━━━━━━━━━━━━━━━</w:t>
      </w:r>
    </w:p>
    <w:p>
      <w:pPr>
        <w:spacing w:before="400"/>
        <w:jc w:val="center"/>
      </w:pPr>
      <w:r>
        <w:rPr>
          <w:rFonts w:ascii="宋体" w:hAnsi="宋体" w:eastAsia="宋体"/>
          <w:color w:val="66645F"/>
          <w:sz w:val="24"/>
        </w:rPr>
        <w:t>从研究需求、专家协作到真实案例的完整论述底稿</w:t>
      </w:r>
    </w:p>
    <w:p>
      <w:r>
        <w:br w:type="page"/>
      </w:r>
    </w:p>
    <w:p>
      <w:pPr>
        <w:pStyle w:val="Heading1"/>
      </w:pPr>
      <w:r>
        <w:t>使用说明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fill="F0EEE6"/>
            <w:tcMar>
              <w:top w:w="190" w:type="dxa"/>
              <w:start w:w="240" w:type="dxa"/>
              <w:bottom w:w="190" w:type="dxa"/>
              <w:end w:w="240" w:type="dxa"/>
            </w:tcMar>
          </w:tcPr>
          <w:p>
            <w:r>
              <w:rPr>
                <w:rFonts w:ascii="宋体" w:hAnsi="宋体" w:eastAsia="宋体"/>
                <w:color w:val="242421"/>
                <w:sz w:val="23"/>
              </w:rPr>
              <w:t>本稿不是逐字发言稿。第 1—20 页构成主叙事，第 21—27 页为专家能力的可选展开。可以根据汇报时长删减段落，并改写为个人表达习惯。</w:t>
            </w:r>
          </w:p>
        </w:tc>
      </w:tr>
    </w:tbl>
    <w:p>
      <w:pPr>
        <w:pStyle w:val="Heading2"/>
      </w:pPr>
      <w:r>
        <w:t>内容结构</w:t>
      </w:r>
    </w:p>
    <w:p>
      <w:pPr>
        <w:pStyle w:val="ListNumber"/>
        <w:spacing w:after="80"/>
      </w:pPr>
      <w:r>
        <w:rPr>
          <w:rFonts w:ascii="宋体" w:hAnsi="宋体" w:eastAsia="宋体"/>
          <w:color w:val="242421"/>
          <w:sz w:val="23"/>
        </w:rPr>
        <w:t>一、整套汇报要表达的核心观点</w:t>
      </w:r>
    </w:p>
    <w:p>
      <w:pPr>
        <w:pStyle w:val="ListNumber"/>
        <w:spacing w:after="80"/>
      </w:pPr>
      <w:r>
        <w:rPr>
          <w:rFonts w:ascii="宋体" w:hAnsi="宋体" w:eastAsia="宋体"/>
          <w:color w:val="242421"/>
          <w:sz w:val="23"/>
        </w:rPr>
        <w:t>二、开场与结论总览</w:t>
      </w:r>
    </w:p>
    <w:p>
      <w:pPr>
        <w:pStyle w:val="ListNumber"/>
        <w:spacing w:after="80"/>
      </w:pPr>
      <w:r>
        <w:rPr>
          <w:rFonts w:ascii="宋体" w:hAnsi="宋体" w:eastAsia="宋体"/>
          <w:color w:val="242421"/>
          <w:sz w:val="23"/>
        </w:rPr>
        <w:t>三、工作流和专家协作方式</w:t>
      </w:r>
    </w:p>
    <w:p>
      <w:pPr>
        <w:pStyle w:val="ListNumber"/>
        <w:spacing w:after="80"/>
      </w:pPr>
      <w:r>
        <w:rPr>
          <w:rFonts w:ascii="宋体" w:hAnsi="宋体" w:eastAsia="宋体"/>
          <w:color w:val="242421"/>
          <w:sz w:val="23"/>
        </w:rPr>
        <w:t>四、八个阶段如何运行</w:t>
      </w:r>
    </w:p>
    <w:p>
      <w:pPr>
        <w:pStyle w:val="ListNumber"/>
        <w:spacing w:after="80"/>
      </w:pPr>
      <w:r>
        <w:rPr>
          <w:rFonts w:ascii="宋体" w:hAnsi="宋体" w:eastAsia="宋体"/>
          <w:color w:val="242421"/>
          <w:sz w:val="23"/>
        </w:rPr>
        <w:t>五、质量、证据与迁移</w:t>
      </w:r>
    </w:p>
    <w:p>
      <w:pPr>
        <w:pStyle w:val="ListNumber"/>
        <w:spacing w:after="80"/>
      </w:pPr>
      <w:r>
        <w:rPr>
          <w:rFonts w:ascii="宋体" w:hAnsi="宋体" w:eastAsia="宋体"/>
          <w:color w:val="242421"/>
          <w:sz w:val="23"/>
        </w:rPr>
        <w:t>六、养老目标基金案例</w:t>
      </w:r>
    </w:p>
    <w:p>
      <w:pPr>
        <w:pStyle w:val="ListNumber"/>
        <w:spacing w:after="80"/>
      </w:pPr>
      <w:r>
        <w:rPr>
          <w:rFonts w:ascii="宋体" w:hAnsi="宋体" w:eastAsia="宋体"/>
          <w:color w:val="242421"/>
          <w:sz w:val="23"/>
        </w:rPr>
        <w:t>七、能力证明与结尾</w:t>
      </w:r>
    </w:p>
    <w:p>
      <w:pPr>
        <w:pStyle w:val="ListNumber"/>
        <w:spacing w:after="80"/>
      </w:pPr>
      <w:r>
        <w:rPr>
          <w:rFonts w:ascii="宋体" w:hAnsi="宋体" w:eastAsia="宋体"/>
          <w:color w:val="242421"/>
          <w:sz w:val="23"/>
        </w:rPr>
        <w:t>八、专家页的可选展开论述</w:t>
      </w:r>
    </w:p>
    <w:p>
      <w:pPr>
        <w:pStyle w:val="ListNumber"/>
        <w:spacing w:after="80"/>
      </w:pPr>
      <w:r>
        <w:rPr>
          <w:rFonts w:ascii="宋体" w:hAnsi="宋体" w:eastAsia="宋体"/>
          <w:color w:val="242421"/>
          <w:sz w:val="23"/>
        </w:rPr>
        <w:t>九、结尾可以保留的一句话</w:t>
      </w:r>
    </w:p>
    <w:p>
      <w:pPr>
        <w:spacing w:before="160" w:after="160"/>
        <w:shd w:fill="E3DACC"/>
        <w:ind w:left="142" w:right="142"/>
      </w:pPr>
      <w:r>
        <w:rPr>
          <w:rFonts w:ascii="微软雅黑" w:hAnsi="微软雅黑" w:eastAsia="微软雅黑"/>
          <w:b/>
          <w:color w:val="242421"/>
          <w:sz w:val="21"/>
        </w:rPr>
        <w:t>建议讲述顺序：先讲核心判断，再讲工作流，随后用真实案例证明，最后回到协作价值。</w:t>
      </w:r>
    </w:p>
    <w:p>
      <w:r>
        <w:br w:type="page"/>
      </w:r>
    </w:p>
    <w:p>
      <w:pPr>
        <w:pStyle w:val="Heading1"/>
        <w:pBdr>
          <w:bottom w:val="single" w:sz="12" w:space="5" w:color="E3DACC"/>
        </w:pBdr>
      </w:pPr>
      <w:r>
        <w:rPr>
          <w:rFonts w:ascii="宋体" w:hAnsi="宋体" w:eastAsia="宋体"/>
          <w:b w:val="0"/>
          <w:color w:val="B85C3E"/>
          <w:sz w:val="34"/>
        </w:rPr>
        <w:t>一、整套汇报要表达的核心观点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这个项目要解决的问题，并不是“怎样让 AI 更快地生成一份问卷”，而是怎样让 AI 真正进入用户研究工作，同时不破坏研究的专业性、证据边界和人的责任。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因此，我们最终搭建的不是一个单点工具，而是一条完整的研究生产线。它从业务需求开始，经过研究问题理解、研究方案设计、问卷或访谈设计、真实调研执行、数据分析、洞察提炼、报告表达，最后沉淀为可复用的研究资产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这条生产线有三个最重要的特点：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第一，研究过程被拆成明确阶段，每个阶段都有正式交付，避免前后环节依赖模糊的聊天记忆。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第二，不同类型的研究判断由不同专家负责。问题理解、方法选择、工具设计、质量审核、洞察分析和报告表达不再混在同一个角色里。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第三，AI 可以提高理解、生成、校验、分析和表达效率，但研究范围、真实执行、洞察是否成立以及报告能否发布，仍然由研究人员和业务负责人确认。</w:t>
      </w:r>
    </w:p>
    <w:p>
      <w:pPr>
        <w:pStyle w:val="答辩正文"/>
      </w:pPr>
      <w:r>
        <w:rPr>
          <w:rFonts w:ascii="宋体" w:hAnsi="宋体" w:eastAsia="宋体"/>
          <w:b/>
          <w:color w:val="B85C3E"/>
          <w:sz w:val="24"/>
        </w:rPr>
        <w:t>养老目标基金购买者研究是这套工作流的首个完整运行案例。它证明这套设计不仅停留在架构层面，也能够实际完成从研究需求、35 项问卷、200 份答卷，到数据分析、投资者教育建议和正式报告的完整闭环。</w:t>
      </w:r>
    </w:p>
    <w:p>
      <w:r>
        <w:br w:type="page"/>
      </w:r>
    </w:p>
    <w:p>
      <w:pPr>
        <w:pStyle w:val="Heading1"/>
        <w:pBdr>
          <w:bottom w:val="single" w:sz="12" w:space="5" w:color="E3DACC"/>
        </w:pBdr>
      </w:pPr>
      <w:r>
        <w:rPr>
          <w:rFonts w:ascii="宋体" w:hAnsi="宋体" w:eastAsia="宋体"/>
          <w:b w:val="0"/>
          <w:color w:val="B85C3E"/>
          <w:sz w:val="34"/>
        </w:rPr>
        <w:t>二、开场与结论总览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334"/>
      </w:tblGrid>
      <w:tr>
        <w:tc>
          <w:tcPr>
            <w:tcW w:type="dxa" w:w="1134"/>
            <w:vAlign w:val="center"/>
            <w:shd w:fill="B85C3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第 1 页</w:t>
            </w:r>
          </w:p>
        </w:tc>
        <w:tc>
          <w:tcPr>
            <w:tcW w:type="dxa" w:w="8334"/>
            <w:vAlign w:val="center"/>
            <w:shd w:fill="F0EEE6"/>
            <w:tcMar>
              <w:top w:w="110" w:type="dxa"/>
              <w:start w:w="200" w:type="dxa"/>
              <w:bottom w:w="110" w:type="dxa"/>
              <w:end w:w="200" w:type="dxa"/>
            </w:tcMar>
          </w:tcPr>
          <w:p>
            <w:pPr>
              <w:keepNext/>
            </w:pPr>
            <w:r>
              <w:rPr>
                <w:rFonts w:ascii="微软雅黑" w:hAnsi="微软雅黑" w:eastAsia="微软雅黑"/>
                <w:b/>
                <w:color w:val="242421"/>
                <w:sz w:val="26"/>
              </w:rPr>
              <w:t>AI 辅助用户研究工作流</w:t>
            </w:r>
          </w:p>
        </w:tc>
      </w:tr>
    </w:tbl>
    <w:p>
      <w:pPr>
        <w:spacing w:after="0" w:before="0" w:line="60" w:lineRule="exact"/>
      </w:pP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开场需要先交代项目背景。我们希望探索的不是“AI 能不能写问卷”，因为单纯生成题目并不困难。真正困难的是，AI 生成的内容是否建立在正确的研究问题上，问卷收回后是否能够分析，分析结论是否能回到真实证据，最终报告是否能支持业务判断。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所以，这个项目的重点是把 AI 放进一套完整的研究协作机制中。AI 不再只是文本生成工具，而是参与问题结构化、方案设计、质量检查、数据整理、洞察提炼和报告表达；与此同时，人仍然保留关键判断和最终责任。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334"/>
      </w:tblGrid>
      <w:tr>
        <w:tc>
          <w:tcPr>
            <w:tcW w:type="dxa" w:w="1134"/>
            <w:vAlign w:val="center"/>
            <w:shd w:fill="B85C3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第 2 页</w:t>
            </w:r>
          </w:p>
        </w:tc>
        <w:tc>
          <w:tcPr>
            <w:tcW w:type="dxa" w:w="8334"/>
            <w:vAlign w:val="center"/>
            <w:shd w:fill="F0EEE6"/>
            <w:tcMar>
              <w:top w:w="110" w:type="dxa"/>
              <w:start w:w="200" w:type="dxa"/>
              <w:bottom w:w="110" w:type="dxa"/>
              <w:end w:w="200" w:type="dxa"/>
            </w:tcMar>
          </w:tcPr>
          <w:p>
            <w:pPr>
              <w:keepNext/>
            </w:pPr>
            <w:r>
              <w:rPr>
                <w:rFonts w:ascii="微软雅黑" w:hAnsi="微软雅黑" w:eastAsia="微软雅黑"/>
                <w:b/>
                <w:color w:val="242421"/>
                <w:sz w:val="26"/>
              </w:rPr>
              <w:t>我们完成的不是“问卷生成器”</w:t>
            </w:r>
          </w:p>
        </w:tc>
      </w:tr>
    </w:tbl>
    <w:p>
      <w:pPr>
        <w:spacing w:after="0" w:before="0" w:line="60" w:lineRule="exact"/>
      </w:pP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这一页是整套汇报的结论页，可以开宗明义说明四项成果。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第一，问题变得可研究。模糊的业务现象不会直接变成问卷题目，而是先被转换为研究目的、目标人群、研究问题和可检验假设。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第二，方法变得可执行。系统不是默认生成问卷，而是先判断研究需要什么证据，再决定采用问卷、访谈还是组合研究，并同步定义样本、变量和分析方式。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第三，结论变得可追溯。报告中的数字能够回到题目、分母和筛选条件，访谈洞察能够回到具体记录，业务建议也能回到其上游证据和研究边界。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第四，流程可以迁移。更换研究课题、问卷工具、知识材料或报告形式时，核心研究路径和专家分工仍然成立。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因此，这套工作流的价值不在于某一个环节“生成得快”，而在于它把研究过程中原本分散的判断、材料和责任连接了起来。</w:t>
      </w:r>
    </w:p>
    <w:p>
      <w:r>
        <w:br w:type="page"/>
      </w:r>
    </w:p>
    <w:p>
      <w:pPr>
        <w:pStyle w:val="Heading1"/>
        <w:pBdr>
          <w:bottom w:val="single" w:sz="12" w:space="5" w:color="E3DACC"/>
        </w:pBdr>
      </w:pPr>
      <w:r>
        <w:rPr>
          <w:rFonts w:ascii="宋体" w:hAnsi="宋体" w:eastAsia="宋体"/>
          <w:b w:val="0"/>
          <w:color w:val="B85C3E"/>
          <w:sz w:val="34"/>
        </w:rPr>
        <w:t>三、工作流和专家协作方式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334"/>
      </w:tblGrid>
      <w:tr>
        <w:tc>
          <w:tcPr>
            <w:tcW w:type="dxa" w:w="1134"/>
            <w:vAlign w:val="center"/>
            <w:shd w:fill="B85C3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第 3 页</w:t>
            </w:r>
          </w:p>
        </w:tc>
        <w:tc>
          <w:tcPr>
            <w:tcW w:type="dxa" w:w="8334"/>
            <w:vAlign w:val="center"/>
            <w:shd w:fill="F0EEE6"/>
            <w:tcMar>
              <w:top w:w="110" w:type="dxa"/>
              <w:start w:w="200" w:type="dxa"/>
              <w:bottom w:w="110" w:type="dxa"/>
              <w:end w:w="200" w:type="dxa"/>
            </w:tcMar>
          </w:tcPr>
          <w:p>
            <w:pPr>
              <w:keepNext/>
            </w:pPr>
            <w:r>
              <w:rPr>
                <w:rFonts w:ascii="微软雅黑" w:hAnsi="微软雅黑" w:eastAsia="微软雅黑"/>
                <w:b/>
                <w:color w:val="242421"/>
                <w:sz w:val="26"/>
              </w:rPr>
              <w:t>一次研究如何从需求走到报告</w:t>
            </w:r>
          </w:p>
        </w:tc>
      </w:tr>
    </w:tbl>
    <w:p>
      <w:pPr>
        <w:spacing w:after="0" w:before="0" w:line="60" w:lineRule="exact"/>
      </w:pP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整条工作流分为八个阶段。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前四个阶段属于研究设计：接收研究需求、理解研究问题、设计研究方案、设计研究工具。它们共同解决“为什么研究、研究谁、需要什么证据、怎样获得证据”的问题。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第五阶段进入真实调研执行，形成问卷答卷、访谈记录和执行过程信息。第六和第七阶段负责把原始资料转化为洞察和报告。第八阶段则把任务书、研究方案、题目、变量、分析口径和报告保存下来，形成能够被后续项目复用的研究资产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这八个阶段不是机械流水线。某个环节发现问题时，可以退回最早的责任阶段修订。例如，问卷审核时发现研究问题本身存在预设答案，就不能只修改一道题，而要退回研究问题理解阶段重新确认。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334"/>
      </w:tblGrid>
      <w:tr>
        <w:tc>
          <w:tcPr>
            <w:tcW w:type="dxa" w:w="1134"/>
            <w:vAlign w:val="center"/>
            <w:shd w:fill="B85C3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第 4 页</w:t>
            </w:r>
          </w:p>
        </w:tc>
        <w:tc>
          <w:tcPr>
            <w:tcW w:type="dxa" w:w="8334"/>
            <w:vAlign w:val="center"/>
            <w:shd w:fill="F0EEE6"/>
            <w:tcMar>
              <w:top w:w="110" w:type="dxa"/>
              <w:start w:w="200" w:type="dxa"/>
              <w:bottom w:w="110" w:type="dxa"/>
              <w:end w:w="200" w:type="dxa"/>
            </w:tcMar>
          </w:tcPr>
          <w:p>
            <w:pPr>
              <w:keepNext/>
            </w:pPr>
            <w:r>
              <w:rPr>
                <w:rFonts w:ascii="微软雅黑" w:hAnsi="微软雅黑" w:eastAsia="微软雅黑"/>
                <w:b/>
                <w:color w:val="242421"/>
                <w:sz w:val="26"/>
              </w:rPr>
              <w:t>为什么要设计多个专家</w:t>
            </w:r>
          </w:p>
        </w:tc>
      </w:tr>
    </w:tbl>
    <w:p>
      <w:pPr>
        <w:spacing w:after="0" w:before="0" w:line="60" w:lineRule="exact"/>
      </w:pP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多专家协作的目的，不是为了让系统看起来更复杂，而是为了避免不同性质的判断混在一起。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研究问题理解专家负责判断“真正要研究的是什么”；研究方案设计专家负责判断“需要什么证据和方法”；问卷与访谈设计专家负责把抽象概念转化为可回答、可分析的问题；研究质量审核专家负责独立发现风险；证据与洞察专家负责从数据形成有边界的解释；研究报告表达专家负责让第一次接触课题的读者也能理解结论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研究总控与这些专家不同。它不负责生成研究结论，而是负责安排顺序、传递正确版本、记录审核状态和把任务交给合适的专家。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这里最重要的设计原则是“一种关键判断对应一个主要责任角色”。负责出题的专家不负责最终批准自己的题目，负责分析的专家也不能为了让报告更有冲击力而改变证据强度。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334"/>
      </w:tblGrid>
      <w:tr>
        <w:tc>
          <w:tcPr>
            <w:tcW w:type="dxa" w:w="1134"/>
            <w:vAlign w:val="center"/>
            <w:shd w:fill="B85C3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第 5 页</w:t>
            </w:r>
          </w:p>
        </w:tc>
        <w:tc>
          <w:tcPr>
            <w:tcW w:type="dxa" w:w="8334"/>
            <w:vAlign w:val="center"/>
            <w:shd w:fill="F0EEE6"/>
            <w:tcMar>
              <w:top w:w="110" w:type="dxa"/>
              <w:start w:w="200" w:type="dxa"/>
              <w:bottom w:w="110" w:type="dxa"/>
              <w:end w:w="200" w:type="dxa"/>
            </w:tcMar>
          </w:tcPr>
          <w:p>
            <w:pPr>
              <w:keepNext/>
            </w:pPr>
            <w:r>
              <w:rPr>
                <w:rFonts w:ascii="微软雅黑" w:hAnsi="微软雅黑" w:eastAsia="微软雅黑"/>
                <w:b/>
                <w:color w:val="242421"/>
                <w:sz w:val="26"/>
              </w:rPr>
              <w:t>四个协作原理</w:t>
            </w:r>
          </w:p>
        </w:tc>
      </w:tr>
    </w:tbl>
    <w:p>
      <w:pPr>
        <w:spacing w:after="0" w:before="0" w:line="60" w:lineRule="exact"/>
      </w:pP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整套系统主要依靠四个原理运行。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一是固定责任。每位专家只处理自己负责的研究判断，避免一个角色同时定义问题、生成题目、分析数据并审核自己。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二是固定交付。每个阶段都要形成可复核的正式结果，下一个环节读取的是已经确认的交付物，而不是完整聊天记录。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三是独立复核。质量审核专家负责指出问题、严重程度和修复条件，原责任专家负责修改，避免审核者在幕后直接改掉原有研究逻辑。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四是人工决定。AI 可以预审和提出建议，但研究什么、是否接触真实用户、结论是否成立以及报告能否发布，必须由有权限的人确认。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这四项原则共同解决了多 Agent 工作中容易出现的责任混乱、版本混用、自我审核和越权决策问题。</w:t>
      </w:r>
    </w:p>
    <w:p>
      <w:r>
        <w:br w:type="page"/>
      </w:r>
    </w:p>
    <w:p>
      <w:pPr>
        <w:pStyle w:val="Heading1"/>
        <w:pBdr>
          <w:bottom w:val="single" w:sz="12" w:space="5" w:color="E3DACC"/>
        </w:pBdr>
      </w:pPr>
      <w:r>
        <w:rPr>
          <w:rFonts w:ascii="宋体" w:hAnsi="宋体" w:eastAsia="宋体"/>
          <w:b w:val="0"/>
          <w:color w:val="B85C3E"/>
          <w:sz w:val="34"/>
        </w:rPr>
        <w:t>四、八个阶段如何运行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334"/>
      </w:tblGrid>
      <w:tr>
        <w:tc>
          <w:tcPr>
            <w:tcW w:type="dxa" w:w="1134"/>
            <w:vAlign w:val="center"/>
            <w:shd w:fill="B85C3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第 6 页</w:t>
            </w:r>
          </w:p>
        </w:tc>
        <w:tc>
          <w:tcPr>
            <w:tcW w:type="dxa" w:w="8334"/>
            <w:vAlign w:val="center"/>
            <w:shd w:fill="F0EEE6"/>
            <w:tcMar>
              <w:top w:w="110" w:type="dxa"/>
              <w:start w:w="200" w:type="dxa"/>
              <w:bottom w:w="110" w:type="dxa"/>
              <w:end w:w="200" w:type="dxa"/>
            </w:tcMar>
          </w:tcPr>
          <w:p>
            <w:pPr>
              <w:keepNext/>
            </w:pPr>
            <w:r>
              <w:rPr>
                <w:rFonts w:ascii="微软雅黑" w:hAnsi="微软雅黑" w:eastAsia="微软雅黑"/>
                <w:b/>
                <w:color w:val="242421"/>
                <w:sz w:val="26"/>
              </w:rPr>
              <w:t>接收研究需求</w:t>
            </w:r>
          </w:p>
        </w:tc>
      </w:tr>
    </w:tbl>
    <w:p>
      <w:pPr>
        <w:spacing w:after="0" w:before="0" w:line="60" w:lineRule="exact"/>
      </w:pP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第一阶段不急着生成题目，而是先把业务问题登记清楚。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业务需求可能来自新产品，也可能来自客户认知、投资行为、服务体验或专题研究。这个阶段需要保存业务背景、希望解决的问题、已有材料、时间要求和预期使用场景。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同时，还要区分哪些是已经确认的事实，哪些只是业务判断。例如“产品规模较小”可以是已知现象，但“用户不了解产品”仍然只是可能原因。如果把后者直接写进问卷，整项研究就会从一开始带有预设答案。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这一阶段形成的不是研究结论，而是一份清楚的需求记录，为后面的研究问题理解提供完整背景。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334"/>
      </w:tblGrid>
      <w:tr>
        <w:tc>
          <w:tcPr>
            <w:tcW w:type="dxa" w:w="1134"/>
            <w:vAlign w:val="center"/>
            <w:shd w:fill="B85C3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第 7 页</w:t>
            </w:r>
          </w:p>
        </w:tc>
        <w:tc>
          <w:tcPr>
            <w:tcW w:type="dxa" w:w="8334"/>
            <w:vAlign w:val="center"/>
            <w:shd w:fill="F0EEE6"/>
            <w:tcMar>
              <w:top w:w="110" w:type="dxa"/>
              <w:start w:w="200" w:type="dxa"/>
              <w:bottom w:w="110" w:type="dxa"/>
              <w:end w:w="200" w:type="dxa"/>
            </w:tcMar>
          </w:tcPr>
          <w:p>
            <w:pPr>
              <w:keepNext/>
            </w:pPr>
            <w:r>
              <w:rPr>
                <w:rFonts w:ascii="微软雅黑" w:hAnsi="微软雅黑" w:eastAsia="微软雅黑"/>
                <w:b/>
                <w:color w:val="242421"/>
                <w:sz w:val="26"/>
              </w:rPr>
              <w:t>理解研究问题</w:t>
            </w:r>
          </w:p>
        </w:tc>
      </w:tr>
    </w:tbl>
    <w:p>
      <w:pPr>
        <w:spacing w:after="0" w:before="0" w:line="60" w:lineRule="exact"/>
      </w:pP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第二阶段先回答“为什么研究”，再回答“要问什么”。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研究问题理解专家需要明确这项研究要支持谁作出什么决策、研究对象是谁、需要验证哪些判断，以及哪些内容明确不在本次研究范围内。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这里会把信息分成事实、假设、未知和待确认事项，并把业务判断改写为中性的研究问题。例如，不能直接写“为什么用户不理解养老目标基金”，因为“不理解”本身尚未被证实。更合适的问题是：“已经购买养老目标基金的投资者，对产品类型、下滑曲线和持有期变化的理解处于什么状态？”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这一阶段的交付是研究任务书。它相当于整项研究的方向基准，后面的方案、问卷、分析和报告都要能够回到这里。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334"/>
      </w:tblGrid>
      <w:tr>
        <w:tc>
          <w:tcPr>
            <w:tcW w:type="dxa" w:w="1134"/>
            <w:vAlign w:val="center"/>
            <w:shd w:fill="B85C3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第 8 页</w:t>
            </w:r>
          </w:p>
        </w:tc>
        <w:tc>
          <w:tcPr>
            <w:tcW w:type="dxa" w:w="8334"/>
            <w:vAlign w:val="center"/>
            <w:shd w:fill="F0EEE6"/>
            <w:tcMar>
              <w:top w:w="110" w:type="dxa"/>
              <w:start w:w="200" w:type="dxa"/>
              <w:bottom w:w="110" w:type="dxa"/>
              <w:end w:w="200" w:type="dxa"/>
            </w:tcMar>
          </w:tcPr>
          <w:p>
            <w:pPr>
              <w:keepNext/>
            </w:pPr>
            <w:r>
              <w:rPr>
                <w:rFonts w:ascii="微软雅黑" w:hAnsi="微软雅黑" w:eastAsia="微软雅黑"/>
                <w:b/>
                <w:color w:val="242421"/>
                <w:sz w:val="26"/>
              </w:rPr>
              <w:t>设计研究方案</w:t>
            </w:r>
          </w:p>
        </w:tc>
      </w:tr>
    </w:tbl>
    <w:p>
      <w:pPr>
        <w:spacing w:after="0" w:before="0" w:line="60" w:lineRule="exact"/>
      </w:pP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第三阶段解决的是“需要什么证据，怎样才能获得这些证据”。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如果要回答某种现象有多普遍，结构化问卷更合适；如果要理解用户为什么形成某种认识、如何作出决策，访谈通常能提供更多过程信息；如果既需要观察范围，也需要解释原因，则可以采用组合研究。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方案设计不能只列出方法名称，还要建立研究问题、所需证据、样本要求和分析方式之间的对应关系。与此同时，要在看到结果之前预设主要指标、分群方式、缺失处理和比较范围，避免数据回来后只挑选最显眼的结果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这一阶段形成研究方案，包括方法选择、目标受访者画像、分析框架、资源安排、风险和研究限制。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334"/>
      </w:tblGrid>
      <w:tr>
        <w:tc>
          <w:tcPr>
            <w:tcW w:type="dxa" w:w="1134"/>
            <w:vAlign w:val="center"/>
            <w:shd w:fill="B85C3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第 9 页</w:t>
            </w:r>
          </w:p>
        </w:tc>
        <w:tc>
          <w:tcPr>
            <w:tcW w:type="dxa" w:w="8334"/>
            <w:vAlign w:val="center"/>
            <w:shd w:fill="F0EEE6"/>
            <w:tcMar>
              <w:top w:w="110" w:type="dxa"/>
              <w:start w:w="200" w:type="dxa"/>
              <w:bottom w:w="110" w:type="dxa"/>
              <w:end w:w="200" w:type="dxa"/>
            </w:tcMar>
          </w:tcPr>
          <w:p>
            <w:pPr>
              <w:keepNext/>
            </w:pPr>
            <w:r>
              <w:rPr>
                <w:rFonts w:ascii="微软雅黑" w:hAnsi="微软雅黑" w:eastAsia="微软雅黑"/>
                <w:b/>
                <w:color w:val="242421"/>
                <w:sz w:val="26"/>
              </w:rPr>
              <w:t>设计问卷与访谈工具</w:t>
            </w:r>
          </w:p>
        </w:tc>
      </w:tr>
    </w:tbl>
    <w:p>
      <w:pPr>
        <w:spacing w:after="0" w:before="0" w:line="60" w:lineRule="exact"/>
      </w:pP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第四阶段不是单纯写题目，而是把研究问题转化为能够被分析的证据。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在问卷路径中，需要同时设计题型、选项、量表、跳转、变量、基础分群、特殊值和数据有效性规则。在访谈路径中，则要设计开放主问题、中性追问、具体事件追溯、反例追问和主持提示。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工具设计中的专业性主要体现在“测量”。例如“了解”“信任”“风险偏好”都是抽象概念，不能只用一道笼统问题进行判断。客观知识、主观了解、态度和购买意向也需要分开测量，否则容易把“听说过”误写成“真正理解”，或者把“觉得有用”误写成“愿意购买”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金融研究还需要增加事实复核。复杂概念必须以经过审核的金融事实为基础。IMA 等知识库在这里可以作为答题后的可选学习入口，但不把用户是否点击链接当成研究证据。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334"/>
      </w:tblGrid>
      <w:tr>
        <w:tc>
          <w:tcPr>
            <w:tcW w:type="dxa" w:w="1134"/>
            <w:vAlign w:val="center"/>
            <w:shd w:fill="B85C3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第 10 页</w:t>
            </w:r>
          </w:p>
        </w:tc>
        <w:tc>
          <w:tcPr>
            <w:tcW w:type="dxa" w:w="8334"/>
            <w:vAlign w:val="center"/>
            <w:shd w:fill="F0EEE6"/>
            <w:tcMar>
              <w:top w:w="110" w:type="dxa"/>
              <w:start w:w="200" w:type="dxa"/>
              <w:bottom w:w="110" w:type="dxa"/>
              <w:end w:w="200" w:type="dxa"/>
            </w:tcMar>
          </w:tcPr>
          <w:p>
            <w:pPr>
              <w:keepNext/>
            </w:pPr>
            <w:r>
              <w:rPr>
                <w:rFonts w:ascii="微软雅黑" w:hAnsi="微软雅黑" w:eastAsia="微软雅黑"/>
                <w:b/>
                <w:color w:val="242421"/>
                <w:sz w:val="26"/>
              </w:rPr>
              <w:t>执行调研</w:t>
            </w:r>
          </w:p>
        </w:tc>
      </w:tr>
    </w:tbl>
    <w:p>
      <w:pPr>
        <w:spacing w:after="0" w:before="0" w:line="60" w:lineRule="exact"/>
      </w:pP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第五阶段开始接触真实参与者。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工作流并不绑定某一个问卷平台。在线问卷工具主要承担发行、回收和导出，正式数据可以通过 Excel 或 CSV 回传；访谈则需要保留授权、记录方式、匿名化信息和实际执行偏差。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执行过程中，不仅要保存回答本身，也要保存问卷或提纲的实际版本、执行时间、样本来源和异常情况。数据回来后，需要统一字段并移除与研究无关的个人信息。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数据有效性也不能简单理解为“答错知识题就是无效答卷”。知识题答错本身可能正是研究需要观察的结果。异常时长、逻辑冲突、重复记录和高缺失应该进入复核，并根据预先定义的规则判断，而不是凭单一信号直接删除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334"/>
      </w:tblGrid>
      <w:tr>
        <w:tc>
          <w:tcPr>
            <w:tcW w:type="dxa" w:w="1134"/>
            <w:vAlign w:val="center"/>
            <w:shd w:fill="B85C3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第 11 页</w:t>
            </w:r>
          </w:p>
        </w:tc>
        <w:tc>
          <w:tcPr>
            <w:tcW w:type="dxa" w:w="8334"/>
            <w:vAlign w:val="center"/>
            <w:shd w:fill="F0EEE6"/>
            <w:tcMar>
              <w:top w:w="110" w:type="dxa"/>
              <w:start w:w="200" w:type="dxa"/>
              <w:bottom w:w="110" w:type="dxa"/>
              <w:end w:w="200" w:type="dxa"/>
            </w:tcMar>
          </w:tcPr>
          <w:p>
            <w:pPr>
              <w:keepNext/>
            </w:pPr>
            <w:r>
              <w:rPr>
                <w:rFonts w:ascii="微软雅黑" w:hAnsi="微软雅黑" w:eastAsia="微软雅黑"/>
                <w:b/>
                <w:color w:val="242421"/>
                <w:sz w:val="26"/>
              </w:rPr>
              <w:t>分析与洞察</w:t>
            </w:r>
          </w:p>
        </w:tc>
      </w:tr>
    </w:tbl>
    <w:p>
      <w:pPr>
        <w:spacing w:after="0" w:before="0" w:line="60" w:lineRule="exact"/>
      </w:pP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第六阶段的重点不是罗列百分比，而是回答研究问题。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分析首先要确认数据质量状态和研究问题与数据之间的映射。定量结果要保留分子、分母、筛选条件和分群口径；定性材料要保留来源位置、语境和反例。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随后需要区分三个层级。第一层是事实发现，即数据直接显示了什么；第二层是研究洞察，即为什么这一结果对业务重要，可能有哪些机制或其他解释；第三层是行动建议，即基于洞察可以采取什么行动，还需要验证什么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例如，“只有少部分受访者在购买前主动比较过下滑曲线”是事实发现；“下滑曲线尚未进入多数人的实际选择过程”是研究洞察；“在购买决策和持有期增加更具体的配置解释”才是行动建议。三者不能混写。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在金融研究中，报告除了回应原始课题，还应当形成独立的投资者教育建议，说明教育对象、内容重点、触达时点、表达形式和验证边界。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334"/>
      </w:tblGrid>
      <w:tr>
        <w:tc>
          <w:tcPr>
            <w:tcW w:type="dxa" w:w="1134"/>
            <w:vAlign w:val="center"/>
            <w:shd w:fill="B85C3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第 12 页</w:t>
            </w:r>
          </w:p>
        </w:tc>
        <w:tc>
          <w:tcPr>
            <w:tcW w:type="dxa" w:w="8334"/>
            <w:vAlign w:val="center"/>
            <w:shd w:fill="F0EEE6"/>
            <w:tcMar>
              <w:top w:w="110" w:type="dxa"/>
              <w:start w:w="200" w:type="dxa"/>
              <w:bottom w:w="110" w:type="dxa"/>
              <w:end w:w="200" w:type="dxa"/>
            </w:tcMar>
          </w:tcPr>
          <w:p>
            <w:pPr>
              <w:keepNext/>
            </w:pPr>
            <w:r>
              <w:rPr>
                <w:rFonts w:ascii="微软雅黑" w:hAnsi="微软雅黑" w:eastAsia="微软雅黑"/>
                <w:b/>
                <w:color w:val="242421"/>
                <w:sz w:val="26"/>
              </w:rPr>
              <w:t>生成研究报告</w:t>
            </w:r>
          </w:p>
        </w:tc>
      </w:tr>
    </w:tbl>
    <w:p>
      <w:pPr>
        <w:spacing w:after="0" w:before="0" w:line="60" w:lineRule="exact"/>
      </w:pP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第七阶段不是把分析结果压缩到一个 Word 文件里，而是为读者建立完整的理解路径。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报告开头首先要交代研究目的、研究对象和研究方向，并通过结论总览直接说明主要发现及其业务意义。读者不能在看完十几页数据之后，才知道这项研究究竟想回答什么。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正文中的每个重要段落都要先说明统计对象、问题和筛选条件，再展示数据、解释含义并说明适用边界。专业术语第一次出现时必须解释，图表标题应直接表达观点，一张图尽量只承担一个主要判断。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报告表达专家可以重组已经审核的洞察，但不能重新分析数据、创造新发现或为了叙事效果删除研究限制。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334"/>
      </w:tblGrid>
      <w:tr>
        <w:tc>
          <w:tcPr>
            <w:tcW w:type="dxa" w:w="1134"/>
            <w:vAlign w:val="center"/>
            <w:shd w:fill="B85C3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第 13 页</w:t>
            </w:r>
          </w:p>
        </w:tc>
        <w:tc>
          <w:tcPr>
            <w:tcW w:type="dxa" w:w="8334"/>
            <w:vAlign w:val="center"/>
            <w:shd w:fill="F0EEE6"/>
            <w:tcMar>
              <w:top w:w="110" w:type="dxa"/>
              <w:start w:w="200" w:type="dxa"/>
              <w:bottom w:w="110" w:type="dxa"/>
              <w:end w:w="200" w:type="dxa"/>
            </w:tcMar>
          </w:tcPr>
          <w:p>
            <w:pPr>
              <w:keepNext/>
            </w:pPr>
            <w:r>
              <w:rPr>
                <w:rFonts w:ascii="微软雅黑" w:hAnsi="微软雅黑" w:eastAsia="微软雅黑"/>
                <w:b/>
                <w:color w:val="242421"/>
                <w:sz w:val="26"/>
              </w:rPr>
              <w:t>沉淀研究资产</w:t>
            </w:r>
          </w:p>
        </w:tc>
      </w:tr>
    </w:tbl>
    <w:p>
      <w:pPr>
        <w:spacing w:after="0" w:before="0" w:line="60" w:lineRule="exact"/>
      </w:pP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第八阶段保存的不只是最终报告，还包括整项研究是怎样完成的。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需要保存研究任务书、研究方案、问卷或访谈提纲、变量口径、数据有效性规则、证据索引、洞察和最终报告，并说明课题、人群、时间、版本、限制和可复用条件。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真正能够被复用的通常是研究方法、题目结构、变量定义、分析模板和质量规则，而不是旧项目的结论。新的研究可以借鉴已有结构，但必须重新判断目标人群、业务背景和适用范围。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研究中形成的人群分组也只能作为候选研究画像，不能自动写入正式客户档案，更不能代替适当性判断和真实客户信息。</w:t>
      </w:r>
    </w:p>
    <w:p>
      <w:r>
        <w:br w:type="page"/>
      </w:r>
    </w:p>
    <w:p>
      <w:pPr>
        <w:pStyle w:val="Heading1"/>
        <w:pBdr>
          <w:bottom w:val="single" w:sz="12" w:space="5" w:color="E3DACC"/>
        </w:pBdr>
      </w:pPr>
      <w:r>
        <w:rPr>
          <w:rFonts w:ascii="宋体" w:hAnsi="宋体" w:eastAsia="宋体"/>
          <w:b w:val="0"/>
          <w:color w:val="B85C3E"/>
          <w:sz w:val="34"/>
        </w:rPr>
        <w:t>五、质量、证据与迁移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334"/>
      </w:tblGrid>
      <w:tr>
        <w:tc>
          <w:tcPr>
            <w:tcW w:type="dxa" w:w="1134"/>
            <w:vAlign w:val="center"/>
            <w:shd w:fill="B85C3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第 14 页</w:t>
            </w:r>
          </w:p>
        </w:tc>
        <w:tc>
          <w:tcPr>
            <w:tcW w:type="dxa" w:w="8334"/>
            <w:vAlign w:val="center"/>
            <w:shd w:fill="F0EEE6"/>
            <w:tcMar>
              <w:top w:w="110" w:type="dxa"/>
              <w:start w:w="200" w:type="dxa"/>
              <w:bottom w:w="110" w:type="dxa"/>
              <w:end w:w="200" w:type="dxa"/>
            </w:tcMar>
          </w:tcPr>
          <w:p>
            <w:pPr>
              <w:keepNext/>
            </w:pPr>
            <w:r>
              <w:rPr>
                <w:rFonts w:ascii="微软雅黑" w:hAnsi="微软雅黑" w:eastAsia="微软雅黑"/>
                <w:b/>
                <w:color w:val="242421"/>
                <w:sz w:val="26"/>
              </w:rPr>
              <w:t>AI 可以生成，研究责任不能交给 AI</w:t>
            </w:r>
          </w:p>
        </w:tc>
      </w:tr>
    </w:tbl>
    <w:p>
      <w:pPr>
        <w:spacing w:after="0" w:before="0" w:line="60" w:lineRule="exact"/>
      </w:pP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质量审核贯穿整个流程，但有四类决定必须由人完成。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第一，确认研究什么，包括目标、人群、范围和用途。第二，确认是否可以执行，包括方法、题目、材料、事实、隐私和样本方案。第三，确认洞察是否成立，重点检查证据支持、其他解释和适用边界。第四，确认报告是否可以发布，包括结论是否忠实、表达是否清楚、分发范围是否合适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AI 的价值在于提前暴露问题和提高审核效率，但 AI 预审不能自动构成批准。质量专家负责发现问题，原责任专家负责修订，授权人员负责最终确认。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334"/>
      </w:tblGrid>
      <w:tr>
        <w:tc>
          <w:tcPr>
            <w:tcW w:type="dxa" w:w="1134"/>
            <w:vAlign w:val="center"/>
            <w:shd w:fill="B85C3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第 15 页</w:t>
            </w:r>
          </w:p>
        </w:tc>
        <w:tc>
          <w:tcPr>
            <w:tcW w:type="dxa" w:w="8334"/>
            <w:vAlign w:val="center"/>
            <w:shd w:fill="F0EEE6"/>
            <w:tcMar>
              <w:top w:w="110" w:type="dxa"/>
              <w:start w:w="200" w:type="dxa"/>
              <w:bottom w:w="110" w:type="dxa"/>
              <w:end w:w="200" w:type="dxa"/>
            </w:tcMar>
          </w:tcPr>
          <w:p>
            <w:pPr>
              <w:keepNext/>
            </w:pPr>
            <w:r>
              <w:rPr>
                <w:rFonts w:ascii="微软雅黑" w:hAnsi="微软雅黑" w:eastAsia="微软雅黑"/>
                <w:b/>
                <w:color w:val="242421"/>
                <w:sz w:val="26"/>
              </w:rPr>
              <w:t>从原始回答到业务建议不能跳步</w:t>
            </w:r>
          </w:p>
        </w:tc>
      </w:tr>
    </w:tbl>
    <w:p>
      <w:pPr>
        <w:spacing w:after="0" w:before="0" w:line="60" w:lineRule="exact"/>
      </w:pP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这一页说明整套工作流的证据纪律。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研究首先拥有原始来源，例如问卷回答、访谈原句和观察记录。原始来源经过整理后形成带有题目、分母、筛选条件和上下文的证据单元。证据单元支持事实发现，事实发现经过机制、矛盾、反例和其他解释的讨论后，才能形成研究洞察。业务建议则必须建立在已经说明边界的洞察之上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因此，任何一个数字都能回到原始题目和计算口径，任何一种解释都说明哪些部分有直接证据、哪些部分属于合理推断，任何一项建议也不会被包装成已经批准的业务决策。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334"/>
      </w:tblGrid>
      <w:tr>
        <w:tc>
          <w:tcPr>
            <w:tcW w:type="dxa" w:w="1134"/>
            <w:vAlign w:val="center"/>
            <w:shd w:fill="B85C3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第 16 页</w:t>
            </w:r>
          </w:p>
        </w:tc>
        <w:tc>
          <w:tcPr>
            <w:tcW w:type="dxa" w:w="8334"/>
            <w:vAlign w:val="center"/>
            <w:shd w:fill="F0EEE6"/>
            <w:tcMar>
              <w:top w:w="110" w:type="dxa"/>
              <w:start w:w="200" w:type="dxa"/>
              <w:bottom w:w="110" w:type="dxa"/>
              <w:end w:w="200" w:type="dxa"/>
            </w:tcMar>
          </w:tcPr>
          <w:p>
            <w:pPr>
              <w:keepNext/>
            </w:pPr>
            <w:r>
              <w:rPr>
                <w:rFonts w:ascii="微软雅黑" w:hAnsi="微软雅黑" w:eastAsia="微软雅黑"/>
                <w:b/>
                <w:color w:val="242421"/>
                <w:sz w:val="26"/>
              </w:rPr>
              <w:t>为什么这套流程可以迁移</w:t>
            </w:r>
          </w:p>
        </w:tc>
      </w:tr>
    </w:tbl>
    <w:p>
      <w:pPr>
        <w:spacing w:after="0" w:before="0" w:line="60" w:lineRule="exact"/>
      </w:pP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可迁移的关键，是把稳定的研究方法与可替换的具体工具分开。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研究课题可以从养老金融换成指数基金、服务体验或专题访谈；执行工具可以从在线问卷换成线下访谈；知识材料可以来自产品说明、官方知识库或经过审核的金融事实资料；最终交付也可以是 Word、PDF、演示文稿或内部知识资产。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这些内容都可以变化，但需求理解、研究问题、方案设计、工具设计、执行、洞察、报告和资产沉淀这条路径保持稳定。专家分工、数据口径、证据追溯和人工审核也保持不变。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所以，迁移到新课题时，主要替换的是业务背景、目标人群和领域知识，而不是重新发明研究流程。</w:t>
      </w:r>
    </w:p>
    <w:p>
      <w:r>
        <w:br w:type="page"/>
      </w:r>
    </w:p>
    <w:p>
      <w:pPr>
        <w:pStyle w:val="Heading1"/>
        <w:pBdr>
          <w:bottom w:val="single" w:sz="12" w:space="5" w:color="E3DACC"/>
        </w:pBdr>
      </w:pPr>
      <w:r>
        <w:rPr>
          <w:rFonts w:ascii="宋体" w:hAnsi="宋体" w:eastAsia="宋体"/>
          <w:b w:val="0"/>
          <w:color w:val="B85C3E"/>
          <w:sz w:val="34"/>
        </w:rPr>
        <w:t>六、养老目标基金案例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334"/>
      </w:tblGrid>
      <w:tr>
        <w:tc>
          <w:tcPr>
            <w:tcW w:type="dxa" w:w="1134"/>
            <w:vAlign w:val="center"/>
            <w:shd w:fill="B85C3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第 17 页</w:t>
            </w:r>
          </w:p>
        </w:tc>
        <w:tc>
          <w:tcPr>
            <w:tcW w:type="dxa" w:w="8334"/>
            <w:vAlign w:val="center"/>
            <w:shd w:fill="F0EEE6"/>
            <w:tcMar>
              <w:top w:w="110" w:type="dxa"/>
              <w:start w:w="200" w:type="dxa"/>
              <w:bottom w:w="110" w:type="dxa"/>
              <w:end w:w="200" w:type="dxa"/>
            </w:tcMar>
          </w:tcPr>
          <w:p>
            <w:pPr>
              <w:keepNext/>
            </w:pPr>
            <w:r>
              <w:rPr>
                <w:rFonts w:ascii="微软雅黑" w:hAnsi="微软雅黑" w:eastAsia="微软雅黑"/>
                <w:b/>
                <w:color w:val="242421"/>
                <w:sz w:val="26"/>
              </w:rPr>
              <w:t>案例如何走完整条路径</w:t>
            </w:r>
          </w:p>
        </w:tc>
      </w:tr>
    </w:tbl>
    <w:p>
      <w:pPr>
        <w:spacing w:after="0" w:before="0" w:line="60" w:lineRule="exact"/>
      </w:pP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案例最初的业务背景是养老目标基金规模相对有限，业务方推测用户可能对产品认知不足。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在研究问题理解阶段，我们没有直接接受“个人养老金开户后没有继续购买”这一前提，因为这项研究没有足够信息证明开户、缴存和购买之间的因果关系。最终将研究对象收紧为已经购买过养老目标基金的投资者，研究他们如何认识产品类型、如何理解下滑曲线、如何作出选择以及持有后还需要什么信息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这里所说的“下滑曲线”，是指养老目标日期基金会随着目标退休日期临近，逐步调整权益类资产和较稳健资产配置的一套变化路径。它不是单纯的收益曲线，而是产品风险配置如何随时间变化的说明。</w:t>
      </w:r>
    </w:p>
    <w:p>
      <w:pPr>
        <w:pStyle w:val="答辩正文"/>
      </w:pPr>
      <w:r>
        <w:rPr>
          <w:rFonts w:ascii="宋体" w:hAnsi="宋体" w:eastAsia="宋体"/>
          <w:b/>
          <w:color w:val="B85C3E"/>
          <w:sz w:val="24"/>
        </w:rPr>
        <w:t>方案阶段选择结构化问卷，用于观察购买者认知、决策和持有行为。工具阶段形成 35 项问卷，并同步定义年龄分群、变量口径、金融事实审核和数据有效性规则。</w:t>
      </w:r>
    </w:p>
    <w:p>
      <w:pPr>
        <w:pStyle w:val="答辩正文"/>
      </w:pPr>
      <w:r>
        <w:rPr>
          <w:rFonts w:ascii="宋体" w:hAnsi="宋体" w:eastAsia="宋体"/>
          <w:b/>
          <w:color w:val="B85C3E"/>
          <w:sz w:val="24"/>
        </w:rPr>
        <w:t>问卷通过在线平台发行，最终回传 200 份真实答卷。随后完成字段映射、异常信号复核、总体分析，以及年龄和基金投资经验等探索性比较。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最后，分析结果被组织为管理层可阅读的正式报告，补充了结论总览、研究目的、样本画像、术语解释、分群结果、产品建议和投资者教育建议。整套研究资料也被保存为可追溯的案例资产。</w:t>
      </w:r>
    </w:p>
    <w:p>
      <w:pPr>
        <w:pStyle w:val="答辩正文"/>
      </w:pPr>
      <w:r>
        <w:rPr>
          <w:rFonts w:ascii="宋体" w:hAnsi="宋体" w:eastAsia="宋体"/>
          <w:b/>
          <w:color w:val="B85C3E"/>
          <w:sz w:val="24"/>
        </w:rPr>
        <w:t>需要强调的是，这 200 份答卷属于本次项目样本，不是概率抽样，因此研究结论用于理解样本内的认知和行为特征，不用于估计整个市场的总体比例。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334"/>
      </w:tblGrid>
      <w:tr>
        <w:tc>
          <w:tcPr>
            <w:tcW w:type="dxa" w:w="1134"/>
            <w:vAlign w:val="center"/>
            <w:shd w:fill="B85C3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第 18 页</w:t>
            </w:r>
          </w:p>
        </w:tc>
        <w:tc>
          <w:tcPr>
            <w:tcW w:type="dxa" w:w="8334"/>
            <w:vAlign w:val="center"/>
            <w:shd w:fill="F0EEE6"/>
            <w:tcMar>
              <w:top w:w="110" w:type="dxa"/>
              <w:start w:w="200" w:type="dxa"/>
              <w:bottom w:w="110" w:type="dxa"/>
              <w:end w:w="200" w:type="dxa"/>
            </w:tcMar>
          </w:tcPr>
          <w:p>
            <w:pPr>
              <w:keepNext/>
            </w:pPr>
            <w:r>
              <w:rPr>
                <w:rFonts w:ascii="微软雅黑" w:hAnsi="微软雅黑" w:eastAsia="微软雅黑"/>
                <w:b/>
                <w:color w:val="242421"/>
                <w:sz w:val="26"/>
              </w:rPr>
              <w:t>案例得出了什么结论</w:t>
            </w:r>
          </w:p>
        </w:tc>
      </w:tr>
    </w:tbl>
    <w:p>
      <w:pPr>
        <w:spacing w:after="0" w:before="0" w:line="60" w:lineRule="exact"/>
      </w:pPr>
    </w:p>
    <w:p>
      <w:pPr>
        <w:pStyle w:val="答辩正文"/>
      </w:pPr>
      <w:r>
        <w:rPr>
          <w:rFonts w:ascii="宋体" w:hAnsi="宋体" w:eastAsia="宋体"/>
          <w:b/>
          <w:color w:val="B85C3E"/>
          <w:sz w:val="24"/>
        </w:rPr>
        <w:t>在本次调研的购买者样本中，围绕产品类型与下滑曲线设置的四道核心知识题，全部回答正确的受访者占 20.0%。这说明购买行为并不等于已经建立完整、稳定的产品理解。</w:t>
      </w:r>
    </w:p>
    <w:p>
      <w:pPr>
        <w:pStyle w:val="答辩正文"/>
      </w:pPr>
      <w:r>
        <w:rPr>
          <w:rFonts w:ascii="宋体" w:hAnsi="宋体" w:eastAsia="宋体"/>
          <w:b/>
          <w:color w:val="B85C3E"/>
          <w:sz w:val="24"/>
        </w:rPr>
        <w:t>购买前主动比较过下滑曲线的受访者占 3.5%。这并不表示下滑曲线没有价值，而是说明这一信息尚未自然进入多数人的实际购买决策过程。</w:t>
      </w:r>
    </w:p>
    <w:p>
      <w:pPr>
        <w:pStyle w:val="答辩正文"/>
      </w:pPr>
      <w:r>
        <w:rPr>
          <w:rFonts w:ascii="宋体" w:hAnsi="宋体" w:eastAsia="宋体"/>
          <w:b/>
          <w:color w:val="B85C3E"/>
          <w:sz w:val="24"/>
        </w:rPr>
        <w:t>29.0% 的受访者认为购买前信息比较清楚，59.5% 的受访者表示购买后仍存在信息触达缺口。由此可以看到，产品解释不应只集中在首次购买之前。持有之后，用户仍然需要知道当前配置是什么、未来会怎样变化，以及为什么发生调整。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这些数据支持三个方向性判断。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第一，购买不等于理解。用户可能知道部分名词，但产品类型、风险边界和配置变化尚未形成连贯的理解。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第二，吸引注意的信息不等于支持判断的信息。品牌、费率和历史表现可以成为入口，但退休年份、风险类型和配置变化更接近养老目标基金的核心决策逻辑。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第三，投资者教育需要进入持有期。首次购买、资产配置发生变化以及市场明显波动时，都是解释产品机制的重要时点。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年龄和投资经验比较主要用于探索差异，没有形成足以支持固定客户标签的稳定证据。因此，当前更适合先解决购买者普遍存在的信息断点，再根据后续研究逐步判断是否需要分人群设计内容。</w:t>
      </w:r>
    </w:p>
    <w:p>
      <w:r>
        <w:br w:type="page"/>
      </w:r>
    </w:p>
    <w:p>
      <w:pPr>
        <w:pStyle w:val="Heading1"/>
        <w:pBdr>
          <w:bottom w:val="single" w:sz="12" w:space="5" w:color="E3DACC"/>
        </w:pBdr>
      </w:pPr>
      <w:r>
        <w:rPr>
          <w:rFonts w:ascii="宋体" w:hAnsi="宋体" w:eastAsia="宋体"/>
          <w:b w:val="0"/>
          <w:color w:val="B85C3E"/>
          <w:sz w:val="34"/>
        </w:rPr>
        <w:t>七、能力证明与结尾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334"/>
      </w:tblGrid>
      <w:tr>
        <w:tc>
          <w:tcPr>
            <w:tcW w:type="dxa" w:w="1134"/>
            <w:vAlign w:val="center"/>
            <w:shd w:fill="B85C3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第 19 页</w:t>
            </w:r>
          </w:p>
        </w:tc>
        <w:tc>
          <w:tcPr>
            <w:tcW w:type="dxa" w:w="8334"/>
            <w:vAlign w:val="center"/>
            <w:shd w:fill="F0EEE6"/>
            <w:tcMar>
              <w:top w:w="110" w:type="dxa"/>
              <w:start w:w="200" w:type="dxa"/>
              <w:bottom w:w="110" w:type="dxa"/>
              <w:end w:w="200" w:type="dxa"/>
            </w:tcMar>
          </w:tcPr>
          <w:p>
            <w:pPr>
              <w:keepNext/>
            </w:pPr>
            <w:r>
              <w:rPr>
                <w:rFonts w:ascii="微软雅黑" w:hAnsi="微软雅黑" w:eastAsia="微软雅黑"/>
                <w:b/>
                <w:color w:val="242421"/>
                <w:sz w:val="26"/>
              </w:rPr>
              <w:t>为什么可以说工作流已经连通</w:t>
            </w:r>
          </w:p>
        </w:tc>
      </w:tr>
    </w:tbl>
    <w:p>
      <w:pPr>
        <w:spacing w:after="0" w:before="0" w:line="60" w:lineRule="exact"/>
      </w:pP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这套工作流已经证明了六项能力。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它能够理解问题，不让模糊业务判断直接变成题目；能够设计研究，让方法、题目、变量、分群和分析口径共同形成；能够组织专家协作，让不同判断由不同角色负责；能够审核研究风险，控制金融事实、隐私、数据质量和证据边界；能够追溯结论，使数字和建议回到原始依据；也能够复用方法，迁移到其他课题和输出形式。</w:t>
      </w:r>
    </w:p>
    <w:p>
      <w:pPr>
        <w:pStyle w:val="答辩正文"/>
      </w:pPr>
      <w:r>
        <w:rPr>
          <w:rFonts w:ascii="宋体" w:hAnsi="宋体" w:eastAsia="宋体"/>
          <w:b/>
          <w:color w:val="B85C3E"/>
          <w:sz w:val="24"/>
        </w:rPr>
        <w:t>养老目标基金案例已经完成研究问题定义、35 项问卷、200 份答卷、数据质量处理、分群分析、产品与投教洞察以及 19 页正式报告。这说明工作流并不是只具备文档结构，而是已经完成过一次端到端运行。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334"/>
      </w:tblGrid>
      <w:tr>
        <w:tc>
          <w:tcPr>
            <w:tcW w:type="dxa" w:w="1134"/>
            <w:vAlign w:val="center"/>
            <w:shd w:fill="B85C3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第 20 页</w:t>
            </w:r>
          </w:p>
        </w:tc>
        <w:tc>
          <w:tcPr>
            <w:tcW w:type="dxa" w:w="8334"/>
            <w:vAlign w:val="center"/>
            <w:shd w:fill="F0EEE6"/>
            <w:tcMar>
              <w:top w:w="110" w:type="dxa"/>
              <w:start w:w="200" w:type="dxa"/>
              <w:bottom w:w="110" w:type="dxa"/>
              <w:end w:w="200" w:type="dxa"/>
            </w:tcMar>
          </w:tcPr>
          <w:p>
            <w:pPr>
              <w:keepNext/>
            </w:pPr>
            <w:r>
              <w:rPr>
                <w:rFonts w:ascii="微软雅黑" w:hAnsi="微软雅黑" w:eastAsia="微软雅黑"/>
                <w:b/>
                <w:color w:val="242421"/>
                <w:sz w:val="26"/>
              </w:rPr>
              <w:t>最终总结</w:t>
            </w:r>
          </w:p>
        </w:tc>
      </w:tr>
    </w:tbl>
    <w:p>
      <w:pPr>
        <w:spacing w:after="0" w:before="0" w:line="60" w:lineRule="exact"/>
      </w:pP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AI 进入研究工作后，真正改变的不是写作速度，而是研究协作方式。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路径变得清楚：每个人都知道研究当前处于哪个阶段。责任变得清楚：不同类型的判断由不同专家负责。证据变得清楚：从用户回答到业务建议保留完整的中间过程。边界也变得清楚：AI 提高效率，人保留研究和发布责任。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这套项目最终沉淀的，不是一份问卷、一个报告或者一组提示词，而是一套可以重复运行、接受审核并迁移到新课题的用户研究组织能力。</w:t>
      </w:r>
    </w:p>
    <w:p>
      <w:r>
        <w:br w:type="page"/>
      </w:r>
    </w:p>
    <w:p>
      <w:pPr>
        <w:pStyle w:val="Heading1"/>
        <w:pBdr>
          <w:bottom w:val="single" w:sz="12" w:space="5" w:color="E3DACC"/>
        </w:pBdr>
      </w:pPr>
      <w:r>
        <w:rPr>
          <w:rFonts w:ascii="宋体" w:hAnsi="宋体" w:eastAsia="宋体"/>
          <w:b w:val="0"/>
          <w:color w:val="B85C3E"/>
          <w:sz w:val="34"/>
        </w:rPr>
        <w:t>八、专家页的可选展开论述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第 21—27 页不需要在主流程中逐页讲完。它们更适合在评审追问“这些专家为什么专业”“提示词与普通角色扮演有什么区别”时展开。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334"/>
      </w:tblGrid>
      <w:tr>
        <w:tc>
          <w:tcPr>
            <w:tcW w:type="dxa" w:w="1134"/>
            <w:vAlign w:val="center"/>
            <w:shd w:fill="B85C3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第 21 页</w:t>
            </w:r>
          </w:p>
        </w:tc>
        <w:tc>
          <w:tcPr>
            <w:tcW w:type="dxa" w:w="8334"/>
            <w:vAlign w:val="center"/>
            <w:shd w:fill="F0EEE6"/>
            <w:tcMar>
              <w:top w:w="110" w:type="dxa"/>
              <w:start w:w="200" w:type="dxa"/>
              <w:bottom w:w="110" w:type="dxa"/>
              <w:end w:w="200" w:type="dxa"/>
            </w:tcMar>
          </w:tcPr>
          <w:p>
            <w:pPr>
              <w:keepNext/>
            </w:pPr>
            <w:r>
              <w:rPr>
                <w:rFonts w:ascii="微软雅黑" w:hAnsi="微软雅黑" w:eastAsia="微软雅黑"/>
                <w:b/>
                <w:color w:val="242421"/>
                <w:sz w:val="26"/>
              </w:rPr>
              <w:t>研究问题理解专家</w:t>
            </w:r>
          </w:p>
        </w:tc>
      </w:tr>
    </w:tbl>
    <w:p>
      <w:pPr>
        <w:spacing w:after="0" w:before="0" w:line="60" w:lineRule="exact"/>
      </w:pP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问题理解专家的核心能力不是改写需求，而是问题框定。它首先确认研究要支持的决策，再识别事实、假设和未知，并通过可证伪性判断什么证据会让原有假设失效。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它还会主动寻找替代解释。例如，某项产品购买量较少，原因可能是认知不足，也可能是触达有限、比较成本较高、使用场景不明确或样本覆盖不足。在这些可能性没有被研究之前，不能提前把其中一种写成结论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这位专家的工作指令重点是：保留原始业务需求、拆分事实与假设、形成中性问题、说明可回答范围，并坚持数据最小化。它的边界是不直接写问卷，也不把未经验证的业务判断写成事实。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334"/>
      </w:tblGrid>
      <w:tr>
        <w:tc>
          <w:tcPr>
            <w:tcW w:type="dxa" w:w="1134"/>
            <w:vAlign w:val="center"/>
            <w:shd w:fill="B85C3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第 22 页</w:t>
            </w:r>
          </w:p>
        </w:tc>
        <w:tc>
          <w:tcPr>
            <w:tcW w:type="dxa" w:w="8334"/>
            <w:vAlign w:val="center"/>
            <w:shd w:fill="F0EEE6"/>
            <w:tcMar>
              <w:top w:w="110" w:type="dxa"/>
              <w:start w:w="200" w:type="dxa"/>
              <w:bottom w:w="110" w:type="dxa"/>
              <w:end w:w="200" w:type="dxa"/>
            </w:tcMar>
          </w:tcPr>
          <w:p>
            <w:pPr>
              <w:keepNext/>
            </w:pPr>
            <w:r>
              <w:rPr>
                <w:rFonts w:ascii="微软雅黑" w:hAnsi="微软雅黑" w:eastAsia="微软雅黑"/>
                <w:b/>
                <w:color w:val="242421"/>
                <w:sz w:val="26"/>
              </w:rPr>
              <w:t>研究方案设计专家</w:t>
            </w:r>
          </w:p>
        </w:tc>
      </w:tr>
    </w:tbl>
    <w:p>
      <w:pPr>
        <w:spacing w:after="0" w:before="0" w:line="60" w:lineRule="exact"/>
      </w:pP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方案设计专家负责建立研究问题与证据之间的对应关系。它判断每个问题需要定量还是定性证据，需要什么样的参与者，以及怎样分析才能回答问题。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它的重要方法包括方法适配、问题与证据对齐、预分析计划和外部效度。简单来说，就是选择合适的方法、提前固定主要分析口径，并明确结论能够解释哪些人群、不能推广到哪些人群。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它的边界是不使用少量便利访谈估计总体比例，也不会为了让方案显得全面而加入没有明确用途的方法。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334"/>
      </w:tblGrid>
      <w:tr>
        <w:tc>
          <w:tcPr>
            <w:tcW w:type="dxa" w:w="1134"/>
            <w:vAlign w:val="center"/>
            <w:shd w:fill="B85C3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第 23 页</w:t>
            </w:r>
          </w:p>
        </w:tc>
        <w:tc>
          <w:tcPr>
            <w:tcW w:type="dxa" w:w="8334"/>
            <w:vAlign w:val="center"/>
            <w:shd w:fill="F0EEE6"/>
            <w:tcMar>
              <w:top w:w="110" w:type="dxa"/>
              <w:start w:w="200" w:type="dxa"/>
              <w:bottom w:w="110" w:type="dxa"/>
              <w:end w:w="200" w:type="dxa"/>
            </w:tcMar>
          </w:tcPr>
          <w:p>
            <w:pPr>
              <w:keepNext/>
            </w:pPr>
            <w:r>
              <w:rPr>
                <w:rFonts w:ascii="微软雅黑" w:hAnsi="微软雅黑" w:eastAsia="微软雅黑"/>
                <w:b/>
                <w:color w:val="242421"/>
                <w:sz w:val="26"/>
              </w:rPr>
              <w:t>问卷与访谈设计专家</w:t>
            </w:r>
          </w:p>
        </w:tc>
      </w:tr>
    </w:tbl>
    <w:p>
      <w:pPr>
        <w:spacing w:after="0" w:before="0" w:line="60" w:lineRule="exact"/>
      </w:pP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工具设计专家的专业性主要来自测量设计，而不是文案能力。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它需要把“理解”“信任”“风险偏好”等抽象概念转化为可回答的题目，这一过程称为构念操作化；随后还要检查题目是否真正测到了目标概念，也就是构念效度。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同时，它会控制认知负荷和反应偏差，避免题干过于复杂、要求用户进行不现实的回忆，或者通过诱导性措辞让用户倾向某个答案。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它的工作指令要求每道题都对应研究问题和分析用途，一题只测一个核心概念，并把知识、态度和意向分开测量。题目、变量、跳转和数据有效性规则必须同步形成。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334"/>
      </w:tblGrid>
      <w:tr>
        <w:tc>
          <w:tcPr>
            <w:tcW w:type="dxa" w:w="1134"/>
            <w:vAlign w:val="center"/>
            <w:shd w:fill="B85C3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第 24 页</w:t>
            </w:r>
          </w:p>
        </w:tc>
        <w:tc>
          <w:tcPr>
            <w:tcW w:type="dxa" w:w="8334"/>
            <w:vAlign w:val="center"/>
            <w:shd w:fill="F0EEE6"/>
            <w:tcMar>
              <w:top w:w="110" w:type="dxa"/>
              <w:start w:w="200" w:type="dxa"/>
              <w:bottom w:w="110" w:type="dxa"/>
              <w:end w:w="200" w:type="dxa"/>
            </w:tcMar>
          </w:tcPr>
          <w:p>
            <w:pPr>
              <w:keepNext/>
            </w:pPr>
            <w:r>
              <w:rPr>
                <w:rFonts w:ascii="微软雅黑" w:hAnsi="微软雅黑" w:eastAsia="微软雅黑"/>
                <w:b/>
                <w:color w:val="242421"/>
                <w:sz w:val="26"/>
              </w:rPr>
              <w:t>研究质量审核专家</w:t>
            </w:r>
          </w:p>
        </w:tc>
      </w:tr>
    </w:tbl>
    <w:p>
      <w:pPr>
        <w:spacing w:after="0" w:before="0" w:line="60" w:lineRule="exact"/>
      </w:pP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质量审核专家必须独立于原内容生成者。它不是帮助原作者“润色得更好”，而是主动寻找可能削弱研究结论的问题。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审核时会检查研究语义、方法、金融事实、隐私、证据边界和首次阅读可理解性，并按照严重程度区分必须阻断、需要修复、轻微调整和应当披露的问题。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“测量污染”也是重要检查项。例如，题目顺序、解释材料或带有倾向性的表述，可能在用户回答前先改变其认知，从而使结果不再反映用户原有状态。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质量专家只能提出问题和通过条件，不能批准自己审核的内容，也不能因为格式正确就忽略方法风险。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334"/>
      </w:tblGrid>
      <w:tr>
        <w:tc>
          <w:tcPr>
            <w:tcW w:type="dxa" w:w="1134"/>
            <w:vAlign w:val="center"/>
            <w:shd w:fill="B85C3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第 25 页</w:t>
            </w:r>
          </w:p>
        </w:tc>
        <w:tc>
          <w:tcPr>
            <w:tcW w:type="dxa" w:w="8334"/>
            <w:vAlign w:val="center"/>
            <w:shd w:fill="F0EEE6"/>
            <w:tcMar>
              <w:top w:w="110" w:type="dxa"/>
              <w:start w:w="200" w:type="dxa"/>
              <w:bottom w:w="110" w:type="dxa"/>
              <w:end w:w="200" w:type="dxa"/>
            </w:tcMar>
          </w:tcPr>
          <w:p>
            <w:pPr>
              <w:keepNext/>
            </w:pPr>
            <w:r>
              <w:rPr>
                <w:rFonts w:ascii="微软雅黑" w:hAnsi="微软雅黑" w:eastAsia="微软雅黑"/>
                <w:b/>
                <w:color w:val="242421"/>
                <w:sz w:val="26"/>
              </w:rPr>
              <w:t>证据与洞察专家</w:t>
            </w:r>
          </w:p>
        </w:tc>
      </w:tr>
    </w:tbl>
    <w:p>
      <w:pPr>
        <w:spacing w:after="0" w:before="0" w:line="60" w:lineRule="exact"/>
      </w:pP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洞察专家负责建立证据链。它先确认数据质量，再形成事实发现，然后讨论原因、机制、矛盾和替代解释，最后提出有边界的建议。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其中，负例分析要求保留不符合主要趋势的案例，避免只展示支持原观点的数据；三角互证则比较不同题目、不同人群或不同研究方法是否相互支持。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不确定性表达意味着，结论必须说明抽样方式、样本基数、差异大小和外推范围。数据不足时，专家应当降低结论强度，而不是用更肯定的语言弥补证据不足。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334"/>
      </w:tblGrid>
      <w:tr>
        <w:tc>
          <w:tcPr>
            <w:tcW w:type="dxa" w:w="1134"/>
            <w:vAlign w:val="center"/>
            <w:shd w:fill="B85C3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第 26 页</w:t>
            </w:r>
          </w:p>
        </w:tc>
        <w:tc>
          <w:tcPr>
            <w:tcW w:type="dxa" w:w="8334"/>
            <w:vAlign w:val="center"/>
            <w:shd w:fill="F0EEE6"/>
            <w:tcMar>
              <w:top w:w="110" w:type="dxa"/>
              <w:start w:w="200" w:type="dxa"/>
              <w:bottom w:w="110" w:type="dxa"/>
              <w:end w:w="200" w:type="dxa"/>
            </w:tcMar>
          </w:tcPr>
          <w:p>
            <w:pPr>
              <w:keepNext/>
            </w:pPr>
            <w:r>
              <w:rPr>
                <w:rFonts w:ascii="微软雅黑" w:hAnsi="微软雅黑" w:eastAsia="微软雅黑"/>
                <w:b/>
                <w:color w:val="242421"/>
                <w:sz w:val="26"/>
              </w:rPr>
              <w:t>研究报告表达专家</w:t>
            </w:r>
          </w:p>
        </w:tc>
      </w:tr>
    </w:tbl>
    <w:p>
      <w:pPr>
        <w:spacing w:after="0" w:before="0" w:line="60" w:lineRule="exact"/>
      </w:pP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报告表达专家不重新分析数据，而是根据目标读者重组已经审核的洞察。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它采用受众中心叙事，先判断读者需要作出什么决策，再安排结论总览、研究目的、样本画像、正文分析、建议和附录的顺序。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每个重要观点要形成论证闭环：说明主张是什么、证据是什么、对业务意味着什么，以及这一结论适用于什么范围。图表必须服务于观点，不能通过错误基数、坐标截断或视觉夸大制造不存在的差异。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这位专家的能力边界是不增加新结论、不删除研究限制，也不把研究建议写成已经批准的业务动作。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334"/>
      </w:tblGrid>
      <w:tr>
        <w:tc>
          <w:tcPr>
            <w:tcW w:type="dxa" w:w="1134"/>
            <w:vAlign w:val="center"/>
            <w:shd w:fill="B85C3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第 27 页</w:t>
            </w:r>
          </w:p>
        </w:tc>
        <w:tc>
          <w:tcPr>
            <w:tcW w:type="dxa" w:w="8334"/>
            <w:vAlign w:val="center"/>
            <w:shd w:fill="F0EEE6"/>
            <w:tcMar>
              <w:top w:w="110" w:type="dxa"/>
              <w:start w:w="200" w:type="dxa"/>
              <w:bottom w:w="110" w:type="dxa"/>
              <w:end w:w="200" w:type="dxa"/>
            </w:tcMar>
          </w:tcPr>
          <w:p>
            <w:pPr>
              <w:keepNext/>
            </w:pPr>
            <w:r>
              <w:rPr>
                <w:rFonts w:ascii="微软雅黑" w:hAnsi="微软雅黑" w:eastAsia="微软雅黑"/>
                <w:b/>
                <w:color w:val="242421"/>
                <w:sz w:val="26"/>
              </w:rPr>
              <w:t>研究总控</w:t>
            </w:r>
          </w:p>
        </w:tc>
      </w:tr>
    </w:tbl>
    <w:p>
      <w:pPr>
        <w:spacing w:after="0" w:before="0" w:line="60" w:lineRule="exact"/>
      </w:pP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研究总控不拥有研究语义，它负责的是多专家协作秩序。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它通过有限状态编排保证流程满足前置条件后再进入下一阶段，通过版本锁定避免新旧内容混用，通过最小权限控制每位专家接触的信息和动作，并在上游内容修订后让依赖旧版本的下游结果失效。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它的工作指令是先读取当前阶段和有效版本，再向目标专家提供最小必要输入；收到结果后，校验交付是否完整、下一责任人是谁、为什么进入下一阶段或退回修订。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研究总控不替专家选择结论，不模拟人工批准，也不自动联系研究参与者。它保证的是流程可靠，而不是代替研究判断。</w:t>
      </w:r>
    </w:p>
    <w:p>
      <w:r>
        <w:br w:type="page"/>
      </w:r>
    </w:p>
    <w:p>
      <w:pPr>
        <w:pStyle w:val="Heading1"/>
        <w:pBdr>
          <w:bottom w:val="single" w:sz="12" w:space="5" w:color="E3DACC"/>
        </w:pBdr>
      </w:pPr>
      <w:r>
        <w:rPr>
          <w:rFonts w:ascii="宋体" w:hAnsi="宋体" w:eastAsia="宋体"/>
          <w:b w:val="0"/>
          <w:color w:val="B85C3E"/>
          <w:sz w:val="34"/>
        </w:rPr>
        <w:t>九、结尾可以保留的一句话</w:t>
      </w:r>
    </w:p>
    <w:p>
      <w:pPr>
        <w:pStyle w:val="答辩正文"/>
      </w:pPr>
      <w:r>
        <w:rPr>
          <w:rFonts w:ascii="宋体" w:hAnsi="宋体" w:eastAsia="宋体"/>
          <w:b w:val="0"/>
          <w:color w:val="242421"/>
          <w:sz w:val="24"/>
        </w:rPr>
        <w:t>这套工作流的核心，不是让 AI 代替用户研究人员，而是让 AI 承担可以结构化、可以校验、可以重复的工作，把研究人员的精力保留给真正需要专业判断和责任承担的部分。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76" w:right="1276" w:bottom="1134" w:left="1276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66645F"/>
        <w:sz w:val="18"/>
      </w:rPr>
      <w:t xml:space="preserve">第 </w:t>
    </w:r>
    <w:r>
      <w:rPr>
        <w:rFonts w:ascii="宋体" w:hAnsi="宋体" w:eastAsia="宋体"/>
        <w:color w:val="66645F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color w:val="66645F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0" w:space="5" w:color="E3DACC"/>
      </w:pBdr>
    </w:pPr>
    <w:r>
      <w:rPr>
        <w:rFonts w:ascii="微软雅黑" w:hAnsi="微软雅黑" w:eastAsia="微软雅黑"/>
        <w:color w:val="66645F"/>
        <w:sz w:val="18"/>
      </w:rPr>
      <w:t>AI辅助用户研究工作流｜答辩稿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242421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B85C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4242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24242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答辩正文">
    <w:name w:val="答辩正文"/>
    <w:pPr>
      <w:widowControl/>
      <w:spacing w:lineRule="auto" w:line="372" w:after="140"/>
      <w:ind w:firstLine="482"/>
    </w:pPr>
    <w:rPr>
      <w:rFonts w:ascii="宋体" w:hAnsi="宋体" w:eastAsia="宋体"/>
      <w:color w:val="242421"/>
      <w:sz w:val="24"/>
    </w:rPr>
  </w:style>
  <w:style w:type="paragraph" w:customStyle="1" w:styleId="答辩页标题">
    <w:name w:val="答辩页标题"/>
    <w:pPr>
      <w:keepNext/>
      <w:spacing w:before="280" w:after="160"/>
    </w:pPr>
    <w:rPr>
      <w:rFonts w:ascii="微软雅黑" w:hAnsi="微软雅黑" w:eastAsia="微软雅黑"/>
      <w:b/>
      <w:color w:val="242421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AI辅助用户研究工作流答辩稿</dc:title>
  <dc:subject>AI辅助用户研究工作流完整运行版答辩论述</dc:subject>
  <dc:creator>用户研究工作流项目</dc:creator>
  <cp:keywords>用户研究, 多Agent, 问卷, 访谈, 洞察, 答辩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