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1BF7" w14:textId="77777777" w:rsidR="007442D0" w:rsidRDefault="00BC3DC4">
      <w:pPr>
        <w:spacing w:after="40"/>
      </w:pPr>
      <w:r>
        <w:rPr>
          <w:rFonts w:ascii="Arial" w:hAnsi="Arial" w:eastAsia="Arial" w:cs="Arial"/>
          <w:b/>
          <w:bCs/>
          <w:caps/>
          <w:color w:val="1F3864"/>
          <w:sz w:val="20"/>
          <w:szCs w:val="20"/>
        </w:rPr>
        <w:t>BABYFUND THAILAND | CASE STUDY</w:t>
      </w:r>
    </w:p>
    <w:p w14:paraId="3DFFC599" w14:textId="77777777" w:rsidR="007442D0" w:rsidRDefault="00BC3DC4">
      <w:pPr>
        <w:spacing w:after="200"/>
      </w:pPr>
      <w:r>
        <w:rPr>
          <w:rFonts w:ascii="Arial" w:hAnsi="Arial" w:eastAsia="Arial" w:cs="Arial"/>
          <w:i/>
          <w:iCs/>
          <w:color w:val="595959"/>
          <w:sz w:val="20"/>
          <w:szCs w:val="18"/>
        </w:rPr>
        <w:t>Family Savings Coordination Platform</w:t>
      </w:r>
    </w:p>
    <w:p w14:paraId="184C4385" w14:textId="77777777" w:rsidR="007442D0" w:rsidRDefault="00BC3DC4">
      <w:pPr>
        <w:spacing w:after="260"/>
      </w:pPr>
      <w:r>
        <w:rPr>
          <w:rFonts w:ascii="Arial" w:hAnsi="Arial" w:eastAsia="Arial" w:cs="Arial"/>
          <w:b/>
          <w:bCs/>
          <w:color w:val="1F3864"/>
          <w:sz w:val="36"/>
          <w:szCs w:val="44"/>
        </w:rPr>
        <w:t>PROJECT CHARTER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66"/>
      </w:tblGrid>
      <w:tr w:rsidR="007442D0" w14:paraId="4D97ED23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FCFD" w14:textId="77777777" w:rsidR="007442D0" w:rsidRDefault="00BC3DC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Document Title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44E2D" w14:textId="77777777" w:rsidR="007442D0" w:rsidRPr="00E04F15" w:rsidRDefault="00BC3DC4">
            <w:pPr>
              <w:rPr>
                <w:sz w:val="20"/>
                <w:szCs w:val="20"/>
              </w:rPr>
            </w:pPr>
            <w:r w:rsidRPr="00E04F15">
              <w:rPr>
                <w:rFonts w:ascii="Arial" w:hAnsi="Arial" w:eastAsia="Arial" w:cs="Arial"/>
                <w:sz w:val="18"/>
                <w:szCs w:val="20"/>
              </w:rPr>
              <w:t>Project Charter</w:t>
            </w:r>
          </w:p>
        </w:tc>
      </w:tr>
      <w:tr w:rsidR="007442D0" w14:paraId="6F9DFFB2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13AEB" w14:textId="77777777" w:rsidR="007442D0" w:rsidRDefault="00BC3DC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3618" w14:textId="77777777" w:rsidR="007442D0" w:rsidRPr="00E04F15" w:rsidRDefault="00BC3DC4">
            <w:pPr>
              <w:rPr>
                <w:sz w:val="20"/>
                <w:szCs w:val="20"/>
              </w:rPr>
            </w:pPr>
            <w:proofErr w:type="spellStart"/>
            <w:r w:rsidRPr="00E04F15">
              <w:rPr>
                <w:rFonts w:ascii="Arial" w:hAnsi="Arial" w:eastAsia="Arial" w:cs="Arial"/>
                <w:sz w:val="18"/>
                <w:szCs w:val="20"/>
              </w:rPr>
              <w:t>BabyFund</w:t>
            </w:r>
            <w:proofErr w:type="spellEnd"/>
            <w:r w:rsidRPr="00E04F15">
              <w:rPr>
                <w:rFonts w:ascii="Arial" w:hAnsi="Arial" w:eastAsia="Arial" w:cs="Arial"/>
                <w:sz w:val="18"/>
                <w:szCs w:val="20"/>
              </w:rPr>
              <w:t xml:space="preserve"> Thailand — Family Savings Coordination Platform</w:t>
            </w:r>
          </w:p>
        </w:tc>
      </w:tr>
      <w:tr w:rsidR="007442D0" w14:paraId="7500A8A3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74CB9" w14:textId="77777777" w:rsidR="007442D0" w:rsidRDefault="00BC3DC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Document Version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70ED3" w14:textId="77777777" w:rsidR="00924341" w:rsidRPr="00E04F15" w:rsidRDefault="00000000">
            <w:pPr>
              <w:rPr>
                <w:sz w:val="20"/>
                <w:szCs w:val="20"/>
              </w:rPr>
            </w:pPr>
            <w:r w:rsidRPr="00E04F15">
              <w:rPr>
                <w:rFonts w:ascii="Arial" w:hAnsi="Arial" w:eastAsia="Arial" w:cs="Arial"/>
                <w:sz w:val="18"/>
                <w:szCs w:val="20"/>
              </w:rPr>
              <w:t>Portfolio edition</w:t>
            </w:r>
          </w:p>
        </w:tc>
      </w:tr>
      <w:tr w:rsidR="007442D0" w14:paraId="6768AAB2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27C50" w14:textId="77777777" w:rsidR="007442D0" w:rsidRDefault="00BC3DC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CFB8" w14:textId="77777777" w:rsidR="00924341" w:rsidRPr="00E04F15" w:rsidRDefault="00000000">
            <w:pPr>
              <w:rPr>
                <w:sz w:val="20"/>
                <w:szCs w:val="20"/>
              </w:rPr>
            </w:pPr>
            <w:r w:rsidRPr="00E04F15">
              <w:rPr>
                <w:rFonts w:ascii="Arial" w:hAnsi="Arial" w:eastAsia="Arial" w:cs="Arial"/>
                <w:sz w:val="18"/>
                <w:szCs w:val="20"/>
              </w:rPr>
              <w:t>Simulated BA case study — unvalidated design</w:t>
            </w:r>
          </w:p>
        </w:tc>
      </w:tr>
      <w:tr w:rsidR="007442D0" w14:paraId="4E081FD3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95B3C" w14:textId="77777777" w:rsidR="007442D0" w:rsidRDefault="00BC3DC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DEE35" w14:textId="77777777" w:rsidR="007442D0" w:rsidRPr="00E04F15" w:rsidRDefault="00BC3DC4">
            <w:pPr>
              <w:rPr>
                <w:sz w:val="20"/>
                <w:szCs w:val="20"/>
              </w:rPr>
            </w:pPr>
            <w:r w:rsidRPr="00E04F15">
              <w:rPr>
                <w:rFonts w:ascii="Arial" w:hAnsi="Arial" w:eastAsia="Arial" w:cs="Arial"/>
                <w:sz w:val="18"/>
                <w:szCs w:val="20"/>
              </w:rPr>
              <w:t>October 2026</w:t>
            </w:r>
          </w:p>
        </w:tc>
      </w:tr>
      <w:tr w:rsidR="007442D0" w14:paraId="5D9E270A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9C0D0" w14:textId="77777777" w:rsidR="007442D0" w:rsidRDefault="00BC3DC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6B943" w14:textId="77777777" w:rsidR="007442D0" w:rsidRPr="00E04F15" w:rsidRDefault="00BC3DC4">
            <w:pPr>
              <w:rPr>
                <w:sz w:val="20"/>
                <w:szCs w:val="20"/>
              </w:rPr>
            </w:pPr>
            <w:r w:rsidRPr="00E04F15">
              <w:rPr>
                <w:rFonts w:ascii="Arial" w:hAnsi="Arial" w:eastAsia="Arial" w:cs="Arial"/>
                <w:sz w:val="18"/>
                <w:szCs w:val="20"/>
              </w:rPr>
              <w:t>Tankhun Luengchaicharn, Junior IT Business Analyst</w:t>
            </w:r>
          </w:p>
        </w:tc>
      </w:tr>
      <w:tr w:rsidR="007442D0" w14:paraId="78FF9F02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C9376" w14:textId="77777777" w:rsidR="007442D0" w:rsidRDefault="00BC3DC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1CDC3" w14:textId="77777777" w:rsidR="007442D0" w:rsidRPr="00E04F15" w:rsidRDefault="00BC3DC4">
            <w:pPr>
              <w:rPr>
                <w:sz w:val="20"/>
                <w:szCs w:val="20"/>
              </w:rPr>
            </w:pPr>
            <w:r w:rsidRPr="00E04F15">
              <w:rPr>
                <w:rFonts w:ascii="Arial" w:hAnsi="Arial" w:eastAsia="Arial" w:cs="Arial"/>
                <w:sz w:val="18"/>
                <w:szCs w:val="20"/>
              </w:rPr>
              <w:t>Not approved — simulated case study</w:t>
            </w:r>
          </w:p>
        </w:tc>
      </w:tr>
    </w:tbl>
    <w:p w14:paraId="01840299" w14:textId="77777777" w:rsidR="007442D0" w:rsidRDefault="007442D0">
      <w:pPr>
        <w:spacing w:after="200"/>
      </w:pPr>
    </w:p>
    <w:p w14:paraId="4064463A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1.  Executive Summary</w:t>
      </w:r>
    </w:p>
    <w:p w14:paraId="61E70413" w14:textId="77777777" w:rsidR="007442D0" w:rsidRDefault="00BC3DC4">
      <w:pPr>
        <w:spacing w:after="160" w:line="276" w:lineRule="auto"/>
        <w:jc w:val="both"/>
      </w:pPr>
      <w:proofErr w:type="spellStart"/>
      <w:r>
        <w:rPr>
          <w:rFonts w:ascii="Arial" w:hAnsi="Arial" w:eastAsia="Arial" w:cs="Arial"/>
          <w:sz w:val="20"/>
        </w:rPr>
        <w:t>BabyFund</w:t>
      </w:r>
      <w:proofErr w:type="spellEnd"/>
      <w:r>
        <w:rPr>
          <w:rFonts w:ascii="Arial" w:hAnsi="Arial" w:eastAsia="Arial" w:cs="Arial"/>
          <w:sz w:val="20"/>
        </w:rPr>
        <w:t xml:space="preserve"> Thailand is a proposed standalone app that coordinates contributions toward a child's long-term goal and connects to a proposed licensed investment partner. This portfolio is a simulated BA case study; no partner or live service exists. Thai services already support parts of this journey, including child-oriented investing and shared saving. </w:t>
      </w:r>
      <w:proofErr w:type="spellStart"/>
      <w:r>
        <w:rPr>
          <w:rFonts w:ascii="Arial" w:hAnsi="Arial" w:eastAsia="Arial" w:cs="Arial"/>
          <w:sz w:val="20"/>
        </w:rPr>
        <w:t>BabyFund</w:t>
      </w:r>
      <w:proofErr w:type="spellEnd"/>
      <w:r>
        <w:rPr>
          <w:rFonts w:ascii="Arial" w:hAnsi="Arial" w:eastAsia="Arial" w:cs="Arial"/>
          <w:sz w:val="20"/>
        </w:rPr>
        <w:t xml:space="preserve"> proposes a private-invite guest contribution journey linked to one child portfolio and its planning goals. A guardian may set several goals for use at or after the child’s 20th birthday. A parent may invite selected people, including non-relatives, through a QR/link. A guest would not need a </w:t>
      </w:r>
      <w:proofErr w:type="spellStart"/>
      <w:r>
        <w:rPr>
          <w:rFonts w:ascii="Arial" w:hAnsi="Arial" w:eastAsia="Arial" w:cs="Arial"/>
          <w:sz w:val="20"/>
        </w:rPr>
        <w:t>BabyFund</w:t>
      </w:r>
      <w:proofErr w:type="spellEnd"/>
      <w:r>
        <w:rPr>
          <w:rFonts w:ascii="Arial" w:hAnsi="Arial" w:eastAsia="Arial" w:cs="Arial"/>
          <w:sz w:val="20"/>
        </w:rPr>
        <w:t xml:space="preserve"> account; payment and identity controls depend on the eventual provider. If a provider accepts the payment and the product is suitable, a licensed partner would manage proposed S&amp;P 500 exposure if a suitable vehicle and operating route are confirmed. Account ownership, withdrawals and a possible handover at age 20 require partner and legal validation. </w:t>
      </w:r>
      <w:proofErr w:type="spellStart"/>
      <w:r>
        <w:rPr>
          <w:rFonts w:ascii="Arial" w:hAnsi="Arial" w:eastAsia="Arial" w:cs="Arial"/>
          <w:sz w:val="20"/>
        </w:rPr>
        <w:t>BabyFund</w:t>
      </w:r>
      <w:proofErr w:type="spellEnd"/>
      <w:r>
        <w:rPr>
          <w:rFonts w:ascii="Arial" w:hAnsi="Arial" w:eastAsia="Arial" w:cs="Arial"/>
          <w:sz w:val="20"/>
        </w:rPr>
        <w:t xml:space="preserve"> does not try to beat Dime or </w:t>
      </w:r>
      <w:proofErr w:type="spellStart"/>
      <w:r>
        <w:rPr>
          <w:rFonts w:ascii="Arial" w:hAnsi="Arial" w:eastAsia="Arial" w:cs="Arial"/>
          <w:sz w:val="20"/>
        </w:rPr>
        <w:t>Webull</w:t>
      </w:r>
      <w:proofErr w:type="spellEnd"/>
      <w:r>
        <w:rPr>
          <w:rFonts w:ascii="Arial" w:hAnsi="Arial" w:eastAsia="Arial" w:cs="Arial"/>
          <w:sz w:val="20"/>
        </w:rPr>
        <w:t xml:space="preserve"> at investing. Instead, it aims to give Thai families a familiar way to turn everyday habits, such as merit-making gifts and birthday money, into steady, visible progress toward several post-20 goals for their child.</w:t>
      </w:r>
    </w:p>
    <w:p w14:paraId="76942C82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2.  Business Problem Statement</w:t>
      </w:r>
    </w:p>
    <w:p w14:paraId="2D7C6EBD" w14:textId="77777777" w:rsidR="007442D0" w:rsidRDefault="00BC3DC4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Thai families already have some ways to invest and save for children. Dime describes a parent-owned Secondary Account for investing toward a child's future, while Kept Together describes shared saving for a child. The proposed problem to test is whether a private guest-gifting journey, several planning goals under one child portfolio, and a trace to partner-confirmed investment status reduce coordination work. Demand has not been validated. Official product sources: dime.co.th/th/articles/sa-what-is-sa and keptbykrungsri.com/together-savings/together-use-cases. The current-state questions are:</w:t>
      </w:r>
      <w:proofErr w:type="spellStart"/>
      <w:r>
        <w:rPr>
          <w:rFonts w:ascii="Arial" w:hAnsi="Arial" w:eastAsia="Arial" w:cs="Arial"/>
          <w:sz w:val="20"/>
        </w:rPr>
      </w:r>
      <w:proofErr w:type="spellEnd"/>
      <w:r>
        <w:rPr>
          <w:rFonts w:ascii="Arial" w:hAnsi="Arial" w:eastAsia="Arial" w:cs="Arial"/>
          <w:sz w:val="20"/>
        </w:rPr>
      </w:r>
      <w:proofErr w:type="gramStart"/>
      <w:r>
        <w:rPr>
          <w:rFonts w:ascii="Arial" w:hAnsi="Arial" w:eastAsia="Arial" w:cs="Arial"/>
          <w:sz w:val="20"/>
        </w:rPr>
      </w:r>
      <w:proofErr w:type="gramEnd"/>
      <w:r>
        <w:rPr>
          <w:rFonts w:ascii="Arial" w:hAnsi="Arial" w:eastAsia="Arial" w:cs="Arial"/>
          <w:sz w:val="20"/>
        </w:rPr>
      </w:r>
    </w:p>
    <w:p w14:paraId="19B117B6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Existing options cover parts of the family journey: Dime already offers a parent-owned child-oriented secondary account. The proposed BabyFund journey focuses on invited guest gifts and traceable goal status; the comparison needs user validation.</w:t>
      </w:r>
    </w:p>
    <w:p w14:paraId="39E76CCC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The biggest givers are the hardest to onboard:</w:t>
      </w:r>
      <w:r>
        <w:rPr>
          <w:rFonts w:ascii="Arial" w:hAnsi="Arial" w:eastAsia="Arial" w:cs="Arial"/>
          <w:sz w:val="20"/>
        </w:rPr>
        <w:t xml:space="preserve"> Some invited contributors may prefer not to open another app account. This is a user-research hypothesis; no interviews or conversion data are available.</w:t>
      </w:r>
    </w:p>
    <w:p w14:paraId="7E45931D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Gift-giving traditions are not connected to saving:</w:t>
      </w:r>
      <w:r>
        <w:rPr>
          <w:rFonts w:ascii="Arial" w:hAnsi="Arial" w:eastAsia="Arial" w:cs="Arial"/>
          <w:sz w:val="20"/>
        </w:rPr>
        <w:t xml:space="preserve"> Thai families already give money on Songkran, New Year, and birthdays. The proposed journey connects such gifts to a visible goal. Kept already supports shared child-oriented saving, so this alone is not unique.</w:t>
      </w:r>
    </w:p>
    <w:p w14:paraId="4E29CAE7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Multi-goal planning to test: A guardian may want several goals on or after the child turns 20 and a clear record of gifts. BabyFund proposes a goal planning list within one child portfolio; this is a testable concept, not a separate account for each goal.</w:t>
      </w:r>
    </w:p>
    <w:p w14:paraId="3459D410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Limited beginner-friendly education:</w:t>
      </w:r>
      <w:r>
        <w:rPr>
          <w:rFonts w:ascii="Arial" w:hAnsi="Arial" w:eastAsia="Arial" w:cs="Arial"/>
          <w:sz w:val="20"/>
        </w:rPr>
        <w:t xml:space="preserve"> Some parents may need plain-language risk information. The extent of this need and competitors' education content require research.</w:t>
      </w:r>
    </w:p>
    <w:p w14:paraId="752942F9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lastRenderedPageBreak/>
        <w:t>3.  Project Objective</w:t>
      </w:r>
    </w:p>
    <w:p w14:paraId="4AFB5081" w14:textId="77777777" w:rsidR="007442D0" w:rsidRDefault="00BC3DC4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The following are hypothetical launch targets for a future sponsor to validate, not achieved results:</w:t>
      </w:r>
    </w:p>
    <w:p w14:paraId="264C3D0E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Illustrative gate before any launch: obtain a signed licensed-partner agreement and independent legal, payment, privacy and AML reviews. No such approval exists today.</w:t>
      </w:r>
    </w:p>
    <w:p w14:paraId="55CF13E8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Illustrative Month-18 target: 500 active child portfolios, with activity defined using partner-confirmed invested value. If the separate ฿20m value target is retained, it implies ฿40,000 average per portfolio; validate both assumptions together.</w:t>
      </w:r>
    </w:p>
    <w:p w14:paraId="043B929D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Illustrative Month-20 target: ฿20,000,000 of partner-confirmed invested value; funding and adoption are unvalidated.</w:t>
      </w:r>
    </w:p>
    <w:p w14:paraId="7C7430A7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Illustrative Month-20 target: 12% family participation rate</w:t>
      </w:r>
      <w:r>
        <w:rPr>
          <w:rFonts w:ascii="Arial" w:hAnsi="Arial" w:eastAsia="Arial" w:cs="Arial"/>
          <w:sz w:val="20"/>
        </w:rPr>
        <w:t>, as measured by the share of accounts that receive a contribution from someone other than the main parent.</w:t>
      </w:r>
    </w:p>
    <w:p w14:paraId="107B6989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b/>
          <w:bCs/>
          <w:sz w:val="20"/>
        </w:rPr>
        <w:t>Illustrative Month-24 target: customer satisfaction of 4.5 out of 5 or higher</w:t>
      </w:r>
      <w:r>
        <w:rPr>
          <w:rFonts w:ascii="Arial" w:hAnsi="Arial" w:eastAsia="Arial" w:cs="Arial"/>
          <w:sz w:val="20"/>
        </w:rPr>
        <w:t>, as measured by in-app surveys and LINE-based support ratings.</w:t>
      </w:r>
    </w:p>
    <w:p w14:paraId="698C71C7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4.  Project Scope</w:t>
      </w:r>
    </w:p>
    <w:p w14:paraId="4BF5C44C" w14:textId="77777777" w:rsidR="007442D0" w:rsidRDefault="00BC3DC4">
      <w:pPr>
        <w:pStyle w:val="Heading2"/>
        <w:spacing w:before="20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4.1  In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 xml:space="preserve"> Scope</w:t>
      </w:r>
    </w:p>
    <w:p w14:paraId="2E786BC1" w14:textId="77777777" w:rsidR="007442D0" w:rsidRDefault="00BC3DC4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The full product vision includes the following proposed capabilities. This portfolio demonstrates the core contribution journey in detail; the rest are roadmap candidates:</w:t>
      </w:r>
    </w:p>
    <w:p w14:paraId="5CCAA447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THB-First Display — show THB status; any FX conversion depends on the partner vehicle and disclosed terms.</w:t>
      </w:r>
    </w:p>
    <w:p w14:paraId="650D1779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Family Fund Circle — selected invitees, including non-relatives, may contribute without a BabyFund account, subject to payment-provider controls.</w:t>
      </w:r>
    </w:p>
    <w:p w14:paraId="424A7B70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Merit Contribution — gift-giving on Thai holidays and birthdays, turned into savings.</w:t>
      </w:r>
    </w:p>
    <w:p w14:paraId="3E6E428B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Dream Board — guardians set several goals with distinct due dates at or after age 20, such as language study, a car or a first-home deposit.</w:t>
      </w:r>
    </w:p>
    <w:p w14:paraId="26FB9395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Milestone Celebration System — the app celebrates savings goals being reached.</w:t>
      </w:r>
    </w:p>
    <w:p w14:paraId="1C5980BD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proofErr w:type="spellStart"/>
      <w:r>
        <w:rPr>
          <w:rFonts w:ascii="Arial" w:hAnsi="Arial" w:eastAsia="Arial" w:cs="Arial"/>
          <w:sz w:val="20"/>
        </w:rPr>
        <w:t>BabyFund</w:t>
      </w:r>
      <w:proofErr w:type="spellEnd"/>
      <w:r>
        <w:rPr>
          <w:rFonts w:ascii="Arial" w:hAnsi="Arial" w:eastAsia="Arial" w:cs="Arial"/>
          <w:sz w:val="20"/>
        </w:rPr>
        <w:t xml:space="preserve"> Academy — simple, Thai-language lessons about saving and investing for beginners.</w:t>
      </w:r>
    </w:p>
    <w:p w14:paraId="30ACA2AF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Invite-channel integration — LINE is one possible option for invites and reminders, with phone and email kept as backup channels.</w:t>
      </w:r>
    </w:p>
    <w:p w14:paraId="69E9ED1C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Thai Payments — a bank-app payment journey proposed; available rails and payer controls require partner confirmation.</w:t>
      </w:r>
    </w:p>
    <w:p w14:paraId="4E3A4DB2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Thai compliance proposal — define identity, privacy, payment and investment responsibilities with qualified advisers and a licensed partner.</w:t>
      </w:r>
    </w:p>
    <w:p w14:paraId="2DC38F8A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Child Read-Only View — a proposed age-appropriate view; access and any age-20 handover depend on consent, account structure and partner processes.</w:t>
      </w:r>
    </w:p>
    <w:p w14:paraId="42666DDC" w14:textId="77777777" w:rsidR="007442D0" w:rsidRDefault="00BC3DC4">
      <w:pPr>
        <w:pStyle w:val="Heading2"/>
        <w:spacing w:before="20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4.2  Out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 xml:space="preserve"> of Scope (Phase 1)</w:t>
      </w:r>
    </w:p>
    <w:p w14:paraId="6E916AC2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 xml:space="preserve">A standalone Thai SEC broker </w:t>
      </w:r>
      <w:proofErr w:type="spellStart"/>
      <w:r>
        <w:rPr>
          <w:rFonts w:ascii="Arial" w:hAnsi="Arial" w:eastAsia="Arial" w:cs="Arial"/>
          <w:sz w:val="20"/>
        </w:rPr>
        <w:t>licence</w:t>
      </w:r>
      <w:proofErr w:type="spellEnd"/>
      <w:r>
        <w:rPr>
          <w:rFonts w:ascii="Arial" w:hAnsi="Arial" w:eastAsia="Arial" w:cs="Arial"/>
          <w:sz w:val="20"/>
        </w:rPr>
        <w:t>. The concept proposes a partnership with an already-licensed broker, subject to review.</w:t>
      </w:r>
    </w:p>
    <w:p w14:paraId="5BB98C83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Cryptocurrency investment.</w:t>
      </w:r>
    </w:p>
    <w:p w14:paraId="78505720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Individual stock picking or self-directed trading.</w:t>
      </w:r>
    </w:p>
    <w:p w14:paraId="3D2B6927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Support for non-Thai residents or non-Thai ID holders.</w:t>
      </w:r>
    </w:p>
    <w:p w14:paraId="456DC0D4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Desktop or web-based versions.</w:t>
      </w:r>
    </w:p>
    <w:p w14:paraId="1E8B5FAE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Insurance products of any kind.</w:t>
      </w:r>
    </w:p>
    <w:p w14:paraId="63E267CE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lastRenderedPageBreak/>
        <w:t>5.  Expected Benefits</w:t>
      </w:r>
    </w:p>
    <w:p w14:paraId="7FB5429E" w14:textId="77777777" w:rsidR="007442D0" w:rsidRDefault="00BC3DC4">
      <w:pPr>
        <w:pStyle w:val="Heading2"/>
        <w:spacing w:before="20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5.1  For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 xml:space="preserve"> Thai Parents</w:t>
      </w:r>
    </w:p>
    <w:p w14:paraId="67C9A01B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An easy way to bring the whole family into saving for their child.</w:t>
      </w:r>
    </w:p>
    <w:p w14:paraId="3D101DA0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Clear visibility of the family fund, shown in Thai Baht.</w:t>
      </w:r>
    </w:p>
    <w:p w14:paraId="2E4D5998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One proposed S&amp;P 500-linked investment route, with equity and FX risk clearly disclosed; suitability and product choice remain open.</w:t>
      </w:r>
    </w:p>
    <w:p w14:paraId="6872E738" w14:textId="77777777" w:rsidR="007442D0" w:rsidRDefault="00BC3DC4">
      <w:pPr>
        <w:pStyle w:val="Heading2"/>
        <w:spacing w:before="20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5.2  For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 xml:space="preserve"> Children</w:t>
      </w:r>
    </w:p>
    <w:p w14:paraId="1B1D48BB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 savings habit supported by the whole family from an early age.</w:t>
      </w:r>
    </w:p>
    <w:p w14:paraId="4D7BEB4D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Access to simple financial education starting at age 13.</w:t>
      </w:r>
    </w:p>
    <w:p w14:paraId="25FEB9BF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 way to plan for several goals at or after age 20; actual outcomes depend on contributions, returns, fees and FX.</w:t>
      </w:r>
    </w:p>
    <w:p w14:paraId="3828A6E2" w14:textId="77777777" w:rsidR="007442D0" w:rsidRDefault="00BC3DC4">
      <w:pPr>
        <w:pStyle w:val="Heading2"/>
        <w:spacing w:before="20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5.3  For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 xml:space="preserve"> the Business</w:t>
      </w:r>
    </w:p>
    <w:p w14:paraId="0A97056B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 testable positioning hypothesis: private guest gifting plus child-goal status linked to licensed-partner investment. Comparable features exist in Thai and overseas products.</w:t>
      </w:r>
    </w:p>
    <w:p w14:paraId="5EB7A120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Three possible revenue streams to test: a guardian subscription, a partner-owned management fee with any BabyFund share subject to a lawful agreement, and B2B licensing. None is validated or earned.</w:t>
      </w:r>
    </w:p>
    <w:p w14:paraId="45AD3EDD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 meaningful starting market among urban, working Thai families, even though Thailand's yearly birth rate is falling.</w:t>
      </w:r>
    </w:p>
    <w:p w14:paraId="22516FE4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6.  Stakeholders List</w:t>
      </w:r>
    </w:p>
    <w:p w14:paraId="293E3BDF" w14:textId="77777777" w:rsidR="007442D0" w:rsidRDefault="00BC3DC4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A full analysis of all stakeholders, including a Power/Interest Grid, is provided in the separate Stakeholder Analysis Matrix document. The table below gives a summary.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1200"/>
        <w:gridCol w:w="1200"/>
        <w:gridCol w:w="3066"/>
      </w:tblGrid>
      <w:tr w:rsidR="007442D0" w14:paraId="4AE90EA4" w14:textId="77777777">
        <w:trPr>
          <w:tblHeader/>
        </w:trPr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B9CC6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A2BB3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B4EB6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Interest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79069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Influence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BBC06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Engagement Strategy</w:t>
            </w:r>
          </w:p>
        </w:tc>
      </w:tr>
      <w:tr w:rsidR="007442D0" w14:paraId="64CE49F4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88F6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CEO / Founder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A27F9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Executive sponsor overseeing strategy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56CB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A93B1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0E783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Weekly steering committee updates</w:t>
            </w:r>
          </w:p>
        </w:tc>
      </w:tr>
      <w:tr w:rsidR="007442D0" w14:paraId="638D2E71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80CC7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Product Manager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F00CA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Owns the product roadmap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E1EB3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C8048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24064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Daily involvement in sprint planning</w:t>
            </w:r>
          </w:p>
        </w:tc>
      </w:tr>
      <w:tr w:rsidR="007442D0" w14:paraId="153A3470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B9764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Compliance Officer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BB837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Ensures regulatory adherence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6C422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F485B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BC93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Bi-weekly compliance review meetings</w:t>
            </w:r>
          </w:p>
        </w:tc>
      </w:tr>
      <w:tr w:rsidR="007442D0" w14:paraId="178E3269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A68C7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Thai SEC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28E0F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Regulates securities and investment activity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0A15B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AD39B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4E050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Formal filings, licensing review, periodic audits</w:t>
            </w:r>
          </w:p>
        </w:tc>
      </w:tr>
      <w:tr w:rsidR="007442D0" w14:paraId="46780BB0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09559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Thai PDPA Officer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E61CD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Oversees personal data protection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AF9F2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39825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0BE7A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Data protection impact assessments</w:t>
            </w:r>
          </w:p>
        </w:tc>
      </w:tr>
      <w:tr w:rsidR="007442D0" w14:paraId="04B0098F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52FB7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Bank of Thailand (BOT)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42B9C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Oversees FX and cross-border capital flow rules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9FF5A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5E6F4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EE84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Regulatory filings, annual compliance check-ins</w:t>
            </w:r>
          </w:p>
        </w:tc>
      </w:tr>
      <w:tr w:rsidR="007442D0" w14:paraId="7EB6FDEC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70FD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AMLO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A8308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Oversees anti-money-laundering compliance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1C41E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D7031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5D19A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Transaction monitoring reports, formal audits</w:t>
            </w:r>
          </w:p>
        </w:tc>
      </w:tr>
      <w:tr w:rsidR="007442D0" w14:paraId="7AF60DFA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84609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PDPC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3B87D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Enforces PDPA at the national level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9587E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4C5BF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31769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Data protection filings, incident reporting</w:t>
            </w:r>
          </w:p>
        </w:tc>
      </w:tr>
      <w:tr w:rsidR="007442D0" w14:paraId="1B8FA400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3332B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Licensed Broker Partner (Custodian)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EE27E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 xml:space="preserve">Holds the SEC </w:t>
            </w:r>
            <w:proofErr w:type="spellStart"/>
            <w:r>
              <w:rPr>
                <w:rFonts w:ascii="Arial" w:hAnsi="Arial" w:eastAsia="Arial" w:cs="Arial"/>
                <w:sz w:val="18"/>
                <w:szCs w:val="16"/>
              </w:rPr>
              <w:t>licence</w:t>
            </w:r>
            <w:proofErr w:type="spellEnd"/>
            <w:r>
              <w:rPr>
                <w:rFonts w:ascii="Arial" w:hAnsi="Arial" w:eastAsia="Arial" w:cs="Arial"/>
                <w:sz w:val="18"/>
                <w:szCs w:val="16"/>
              </w:rPr>
              <w:t>; executes and custodies investments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3EEDD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F6E20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0934D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Weekly partnership sync, shared SLA reviews</w:t>
            </w:r>
          </w:p>
        </w:tc>
      </w:tr>
      <w:tr w:rsidR="007442D0" w14:paraId="470C167E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36239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Possible invite channel (unselected)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C16D2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Candidate channel for login, invites and notifications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68B4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1A93E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8013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Feasibility and terms review if selected</w:t>
            </w:r>
          </w:p>
        </w:tc>
      </w:tr>
      <w:tr w:rsidR="007442D0" w14:paraId="08656293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7C574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Potential Payment Providers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EB946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Validate a permitted payment route and payer controls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68CDF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703B4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5EF2D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Proposed discovery and agreement review</w:t>
            </w:r>
          </w:p>
        </w:tc>
      </w:tr>
      <w:tr w:rsidR="007442D0" w14:paraId="0A6F2E2D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350FC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External Auditor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9423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Provides independent financial and compliance audits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DCC38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06173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76234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Annual audit engagement</w:t>
            </w:r>
          </w:p>
        </w:tc>
      </w:tr>
      <w:tr w:rsidR="007442D0" w14:paraId="6DE53672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B1A2F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Provider-designated custodian / depository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872DC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Custody role to be confirmed by the licensed partner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B5072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Medium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9D5D1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C99CD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Proposed reconciliation-role review</w:t>
            </w:r>
          </w:p>
        </w:tc>
      </w:tr>
      <w:tr w:rsidR="007442D0" w14:paraId="62147E42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69F9D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lastRenderedPageBreak/>
              <w:t>App Stores (Apple, Google)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6089A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Control app distribution and policy compliance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C91F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4878C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0E52C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Policy compliance checks before each release</w:t>
            </w:r>
          </w:p>
        </w:tc>
      </w:tr>
      <w:tr w:rsidR="007442D0" w14:paraId="2033137A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C896F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IT Development Team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150E5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Builds and maintains the platform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95EC6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595E3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Medium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1C01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Daily stand-ups and sprint reviews</w:t>
            </w:r>
          </w:p>
        </w:tc>
      </w:tr>
      <w:tr w:rsidR="007442D0" w14:paraId="2300E65B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F033D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UI/UX Designer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C25C9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Designs the user experience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255B5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EB161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Medium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7D205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Collaborative design workshops</w:t>
            </w:r>
          </w:p>
        </w:tc>
      </w:tr>
      <w:tr w:rsidR="007442D0" w14:paraId="4861196A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1F10B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Marketing Team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37D9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Drives user growth and awareness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03542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7EC03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Medium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5EA0E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Bi-weekly campaign planning meetings</w:t>
            </w:r>
          </w:p>
        </w:tc>
      </w:tr>
      <w:tr w:rsidR="007442D0" w14:paraId="54B2946C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8DAF0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Thai Parents (Primary Users)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40473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Main account holders and fund managers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B92C3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9F44B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Low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DB698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User research, beta testing, in-app feedback</w:t>
            </w:r>
          </w:p>
        </w:tc>
      </w:tr>
      <w:tr w:rsidR="007442D0" w14:paraId="48536027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4DDB5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Customer Support Team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5255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Handles user questions and issues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537BB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7EB42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Low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9133A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Support training sessions, knowledge base access</w:t>
            </w:r>
          </w:p>
        </w:tc>
      </w:tr>
      <w:tr w:rsidR="007442D0" w14:paraId="705D9364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C87F8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Invited Contributors (Relatives or Others)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8F9BB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Contribute through the Family Fund Circle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13D19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AA78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Low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594E3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Simple QR-code gifting; no account required</w:t>
            </w:r>
          </w:p>
        </w:tc>
      </w:tr>
      <w:tr w:rsidR="007442D0" w14:paraId="0CDCBA80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55BE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Children Age 13–20 (Future Users)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241F4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>Read-only access is a roadmap idea; owner proposes whole-portfolio handover at 20 subject to partner process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8DEA6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231D7" w14:textId="77777777" w:rsidR="007442D0" w:rsidRDefault="00BC3DC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6"/>
              </w:rPr>
              <w:t>Low</w:t>
            </w:r>
          </w:p>
        </w:tc>
        <w:tc>
          <w:tcPr>
            <w:tcW w:w="3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CD0A" w14:textId="77777777" w:rsidR="007442D0" w:rsidRDefault="00BC3DC4">
            <w:r>
              <w:rPr>
                <w:rFonts w:ascii="Arial" w:hAnsi="Arial" w:eastAsia="Arial" w:cs="Arial"/>
                <w:sz w:val="18"/>
                <w:szCs w:val="16"/>
              </w:rPr>
              <w:t xml:space="preserve">Age-appropriate app content, </w:t>
            </w:r>
            <w:proofErr w:type="spellStart"/>
            <w:r>
              <w:rPr>
                <w:rFonts w:ascii="Arial" w:hAnsi="Arial" w:eastAsia="Arial" w:cs="Arial"/>
                <w:sz w:val="18"/>
                <w:szCs w:val="16"/>
              </w:rPr>
              <w:t>BabyFund</w:t>
            </w:r>
            <w:proofErr w:type="spellEnd"/>
            <w:r>
              <w:rPr>
                <w:rFonts w:ascii="Arial" w:hAnsi="Arial" w:eastAsia="Arial" w:cs="Arial"/>
                <w:sz w:val="18"/>
                <w:szCs w:val="16"/>
              </w:rPr>
              <w:t xml:space="preserve"> Academy</w:t>
            </w:r>
          </w:p>
        </w:tc>
      </w:tr>
    </w:tbl>
    <w:p w14:paraId="0AEB6705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7.  High-Level Timeline</w:t>
      </w:r>
    </w:p>
    <w:p w14:paraId="03DBDCDD" w14:textId="77777777" w:rsidR="007442D0" w:rsidRDefault="00BC3DC4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This hypothetical full-launch timeline illustrates the time that could be needed to structure a compliant broker partnership before any customer funds can be accepted. The 14-block plan is an unapproved scenario, not a current launch commitment.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4666"/>
        <w:gridCol w:w="2000"/>
      </w:tblGrid>
      <w:tr w:rsidR="007442D0" w14:paraId="0E485207" w14:textId="77777777">
        <w:trPr>
          <w:tblHeader/>
        </w:trPr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4BB65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CB9A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4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AD32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 Activities</w:t>
            </w:r>
          </w:p>
        </w:tc>
        <w:tc>
          <w:tcPr>
            <w:tcW w:w="2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13C04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7442D0" w14:paraId="6890F81F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F9197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Phase 1: Discovery &amp; Regulatory Structuring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1066D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Blocks 1–4</w:t>
            </w:r>
          </w:p>
        </w:tc>
        <w:tc>
          <w:tcPr>
            <w:tcW w:w="4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062C1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Requirements gathering, broker partnership negotiation, legal and compliance structuring</w:t>
            </w:r>
          </w:p>
        </w:tc>
        <w:tc>
          <w:tcPr>
            <w:tcW w:w="2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97A2D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Proposed partnership gate</w:t>
            </w:r>
          </w:p>
        </w:tc>
      </w:tr>
      <w:tr w:rsidR="007442D0" w14:paraId="0E6CA00B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BAD0F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Phase 2: Design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ACC3A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Blocks 4–6</w:t>
            </w:r>
          </w:p>
        </w:tc>
        <w:tc>
          <w:tcPr>
            <w:tcW w:w="4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99441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Wireframes, UX design, system architecture, API planning with the partner broker</w:t>
            </w:r>
          </w:p>
        </w:tc>
        <w:tc>
          <w:tcPr>
            <w:tcW w:w="2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4A8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Design sign-off</w:t>
            </w:r>
          </w:p>
        </w:tc>
      </w:tr>
      <w:tr w:rsidR="007442D0" w14:paraId="02BD4753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483A9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Phase 3: Development Sprint 1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BD70A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Blocks 6–9</w:t>
            </w:r>
          </w:p>
        </w:tc>
        <w:tc>
          <w:tcPr>
            <w:tcW w:w="4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8328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Proposed core journey: guardian verification, child goal, approved funding route and private guest gifts</w:t>
            </w:r>
          </w:p>
        </w:tc>
        <w:tc>
          <w:tcPr>
            <w:tcW w:w="2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57E5B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Alpha build</w:t>
            </w:r>
          </w:p>
        </w:tc>
      </w:tr>
      <w:tr w:rsidR="007442D0" w14:paraId="300A33ED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5DB99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Phase 4: Development Sprint 2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6490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Blocks 9–11</w:t>
            </w:r>
          </w:p>
        </w:tc>
        <w:tc>
          <w:tcPr>
            <w:tcW w:w="4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BCD0E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Family Circle, Dream Board, proposed S&amp;P 500 partner integration, LINE integration</w:t>
            </w:r>
          </w:p>
        </w:tc>
        <w:tc>
          <w:tcPr>
            <w:tcW w:w="2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69189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Beta build</w:t>
            </w:r>
          </w:p>
        </w:tc>
      </w:tr>
      <w:tr w:rsidR="007442D0" w14:paraId="20FFEA13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6C80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Phase 5: Testing &amp; UAT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40EC7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Blocks 11–13</w:t>
            </w:r>
          </w:p>
        </w:tc>
        <w:tc>
          <w:tcPr>
            <w:tcW w:w="4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7D38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Future QA and proposed parent UAT; partner/compliance review gates</w:t>
            </w:r>
          </w:p>
        </w:tc>
        <w:tc>
          <w:tcPr>
            <w:tcW w:w="2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A4619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Proposed UAT gate</w:t>
            </w:r>
          </w:p>
        </w:tc>
      </w:tr>
      <w:tr w:rsidR="007442D0" w14:paraId="2E150E83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3AF33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Phase 6: Launch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4F84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Blocks 13–14</w:t>
            </w:r>
          </w:p>
        </w:tc>
        <w:tc>
          <w:tcPr>
            <w:tcW w:w="4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52025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Conditional launch only after partner, legal, payment and privacy gates</w:t>
            </w:r>
          </w:p>
        </w:tc>
        <w:tc>
          <w:tcPr>
            <w:tcW w:w="2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F044F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Proposed launch gate</w:t>
            </w:r>
          </w:p>
        </w:tc>
      </w:tr>
    </w:tbl>
    <w:p w14:paraId="78DA79D3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8.  Budget Estimate</w:t>
      </w:r>
    </w:p>
    <w:p w14:paraId="7080835E" w14:textId="77777777" w:rsidR="007442D0" w:rsidRDefault="00BC3DC4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 xml:space="preserve">The initial draft budget of ฿6,900,000 assumed a six-month plan and omitted significant structuring work. This unvalidated budget scenario assumes a 14-block (56-week) illustrative timeline and a broker-partnership model instead of a standalone SEC </w:t>
      </w:r>
      <w:proofErr w:type="spellStart"/>
      <w:r>
        <w:rPr>
          <w:rFonts w:ascii="Arial" w:hAnsi="Arial" w:eastAsia="Arial" w:cs="Arial"/>
          <w:sz w:val="20"/>
        </w:rPr>
        <w:t>licence</w:t>
      </w:r>
      <w:proofErr w:type="spellEnd"/>
      <w:r>
        <w:rPr>
          <w:rFonts w:ascii="Arial" w:hAnsi="Arial" w:eastAsia="Arial" w:cs="Arial"/>
          <w:sz w:val="20"/>
        </w:rPr>
        <w:t>, whose requirements need legal and regulatory review.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466"/>
        <w:gridCol w:w="2500"/>
      </w:tblGrid>
      <w:tr w:rsidR="007442D0" w14:paraId="6503C68E" w14:textId="77777777">
        <w:trPr>
          <w:tblHeader/>
        </w:trPr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CA6C3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5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632D2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89408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Estimated Amount</w:t>
            </w:r>
          </w:p>
        </w:tc>
      </w:tr>
      <w:tr w:rsidR="007442D0" w14:paraId="7B5C2972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512A5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Personnel</w:t>
            </w:r>
          </w:p>
        </w:tc>
        <w:tc>
          <w:tcPr>
            <w:tcW w:w="5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34B5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Development team, Business Analyst, and Designer for an illustrative 56-week schedule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7EBC2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฿7,500,000</w:t>
            </w:r>
          </w:p>
        </w:tc>
      </w:tr>
      <w:tr w:rsidR="007442D0" w14:paraId="4C2BF3D2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EEE8E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Technology</w:t>
            </w:r>
          </w:p>
        </w:tc>
        <w:tc>
          <w:tcPr>
            <w:tcW w:w="5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2860A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APIs, cloud hosting, security infrastructure, compliance tooling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D2045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฿2,200,000</w:t>
            </w:r>
          </w:p>
        </w:tc>
      </w:tr>
      <w:tr w:rsidR="007442D0" w14:paraId="52EF3E0E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5A9B0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Regulatory &amp; Legal</w:t>
            </w:r>
          </w:p>
        </w:tc>
        <w:tc>
          <w:tcPr>
            <w:tcW w:w="5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B9C15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Broker partnership structuring, legal review, PDPA and AML compliance setup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F8E9F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฿3,000,000</w:t>
            </w:r>
          </w:p>
        </w:tc>
      </w:tr>
      <w:tr w:rsidR="007442D0" w14:paraId="5F9F341E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C8630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Marketing</w:t>
            </w:r>
          </w:p>
        </w:tc>
        <w:tc>
          <w:tcPr>
            <w:tcW w:w="5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4B6E1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Launch campaign and user acquisition, using an unvalidated acquisition-cost allowance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8AE9A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฿3,500,000</w:t>
            </w:r>
          </w:p>
        </w:tc>
      </w:tr>
      <w:tr w:rsidR="007442D0" w14:paraId="1340AB2F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F4B7F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lastRenderedPageBreak/>
              <w:t>Contingency (15%)</w:t>
            </w:r>
          </w:p>
        </w:tc>
        <w:tc>
          <w:tcPr>
            <w:tcW w:w="5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036DA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Reserve for unforeseen costs across all categories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542CE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฿2,430,000</w:t>
            </w:r>
          </w:p>
        </w:tc>
      </w:tr>
      <w:tr w:rsidR="007442D0" w14:paraId="2D55A80A" w14:textId="77777777"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3F57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Total Estimated Budget</w:t>
            </w:r>
          </w:p>
        </w:tc>
        <w:tc>
          <w:tcPr>
            <w:tcW w:w="5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C32A3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Sum of all categories above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F8CB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฿18,630,000</w:t>
            </w:r>
          </w:p>
        </w:tc>
      </w:tr>
    </w:tbl>
    <w:p w14:paraId="4A1C4885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9.  Assumptions &amp; Constraints</w:t>
      </w:r>
    </w:p>
    <w:p w14:paraId="3A16FBB2" w14:textId="77777777" w:rsidR="007442D0" w:rsidRDefault="00BC3DC4">
      <w:pPr>
        <w:pStyle w:val="Heading2"/>
        <w:spacing w:before="20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9.1  Assumptions</w:t>
      </w:r>
      <w:proofErr w:type="gramEnd"/>
    </w:p>
    <w:p w14:paraId="1EC2AC4A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 licensed broker may be willing to discuss a partnership; no interest or revenue share is confirmed.</w:t>
      </w:r>
    </w:p>
    <w:p w14:paraId="2D585772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 bank-app guest payment may be possible; payer checks, direct third-party deposits and reconciliation require provider validation.</w:t>
      </w:r>
    </w:p>
    <w:p w14:paraId="311F6B9C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LINE may be a useful invite channel; adoption and platform terms need current validation.</w:t>
      </w:r>
    </w:p>
    <w:p w14:paraId="1D70062F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Some parents may consider S&amp;P 500 exposure if suitable; this needs user research and a licensed partner's product assessment.</w:t>
      </w:r>
    </w:p>
    <w:p w14:paraId="6DA9E9A0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Selected contributors, including non-relatives, may make occasional or repeated gifts; frequency is unvalidated.</w:t>
      </w:r>
    </w:p>
    <w:p w14:paraId="2A7493F1" w14:textId="77777777" w:rsidR="007442D0" w:rsidRDefault="00BC3DC4">
      <w:pPr>
        <w:pStyle w:val="Heading2"/>
        <w:spacing w:before="20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9.2  Constraints</w:t>
      </w:r>
      <w:proofErr w:type="gramEnd"/>
    </w:p>
    <w:p w14:paraId="555C3EEB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 standalone BabyFund app would need a licensed-partner arrangement and specialist review of its role before handling any investment journey.</w:t>
      </w:r>
    </w:p>
    <w:p w14:paraId="4EE6AA51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All customer-facing content must be available in Thai at launch.</w:t>
      </w:r>
    </w:p>
    <w:p w14:paraId="0220C351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The platform depends on third-party systems it does not control: a selected invite channel, an approved payment route, and a licensed investment partner.</w:t>
      </w:r>
    </w:p>
    <w:p w14:paraId="3DF19E64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The hypothetical Phase 1 budget is ฿18,630,000 before sponsor funding, quotes or partner costs are validated.</w:t>
      </w:r>
    </w:p>
    <w:p w14:paraId="7956435C" w14:textId="77777777" w:rsidR="007442D0" w:rsidRDefault="00BC3DC4"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Arial" w:hAnsi="Arial" w:eastAsia="Arial" w:cs="Arial"/>
          <w:sz w:val="20"/>
        </w:rPr>
        <w:t>Thailand's yearly birth rate is falling. The product targets existing children aged 0–10, not only newborns, to reduce this risk.</w:t>
      </w:r>
    </w:p>
    <w:p w14:paraId="7D6319E1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10.  Risks Summary</w:t>
      </w:r>
    </w:p>
    <w:p w14:paraId="5DE4B782" w14:textId="77777777" w:rsidR="007442D0" w:rsidRDefault="00BC3DC4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The table shows five provisional high-impact risks from a document-based review. A separate 25-item provisional risk register includes the five newly scored scenario, partner and communication risks.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300"/>
        <w:gridCol w:w="1300"/>
        <w:gridCol w:w="4466"/>
      </w:tblGrid>
      <w:tr w:rsidR="007442D0" w14:paraId="71DEC43E" w14:textId="77777777">
        <w:trPr>
          <w:tblHeader/>
        </w:trPr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0F049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EF63C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Probability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5434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04B20" w14:textId="77777777" w:rsidR="007442D0" w:rsidRDefault="00BC3D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7442D0" w14:paraId="5C9A7967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B728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The legal role and cost of a standalone investment service are unvalidated.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EC52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F2BD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Critical</w:t>
            </w:r>
          </w:p>
        </w:tc>
        <w:tc>
          <w:tcPr>
            <w:tcW w:w="4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EF42F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Seek specialist advice and a licensed partner agreement before any investment or customer-money activity.</w:t>
            </w:r>
          </w:p>
        </w:tc>
      </w:tr>
      <w:tr w:rsidR="007442D0" w14:paraId="03547402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457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The child goal does not establish legal ownership or withdrawal restrictions.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52F3C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DE34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Critical</w:t>
            </w:r>
          </w:p>
        </w:tc>
        <w:tc>
          <w:tcPr>
            <w:tcW w:w="4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6165C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Treat soft-lock, fees and waiting periods as proposals pending partner/legal review.</w:t>
            </w:r>
          </w:p>
        </w:tc>
      </w:tr>
      <w:tr w:rsidR="007442D0" w14:paraId="24D794FA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32720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A larger, established competitor (such as Dime) copies the family-gifting feature.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0CB85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Medium-High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C9671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Critical</w:t>
            </w:r>
          </w:p>
        </w:tc>
        <w:tc>
          <w:tcPr>
            <w:tcW w:w="4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440D2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Test positioning and distribution with users and potential partners; no incumbent agreement is assumed.</w:t>
            </w:r>
          </w:p>
        </w:tc>
      </w:tr>
      <w:tr w:rsidR="007442D0" w14:paraId="2923B1D7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08BE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The real cost of gaining each customer may be higher than planned, using up most of the marketing budget.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B5DA0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Medium-High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3C606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Critical</w:t>
            </w:r>
          </w:p>
        </w:tc>
        <w:tc>
          <w:tcPr>
            <w:tcW w:w="4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0BA9B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Use lower-cost channels, such as hospital or parenting-app partnerships, alongside organic family referrals.</w:t>
            </w:r>
          </w:p>
        </w:tc>
      </w:tr>
      <w:tr w:rsidR="007442D0" w14:paraId="53857397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A3D4D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The business depends entirely on one licensed broker partner; if that relationship ends, there is no backup.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E95A7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09F9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Critical</w:t>
            </w:r>
          </w:p>
        </w:tc>
        <w:tc>
          <w:tcPr>
            <w:tcW w:w="4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7B4A" w14:textId="77777777" w:rsidR="007442D0" w:rsidRDefault="00BC3DC4">
            <w:r>
              <w:rPr>
                <w:rFonts w:ascii="Arial" w:hAnsi="Arial" w:eastAsia="Arial" w:cs="Arial"/>
                <w:sz w:val="18"/>
                <w:szCs w:val="18"/>
              </w:rPr>
              <w:t>Negotiate a multi-year partnership agreement with clear exit terms, and explore a second backup partner once stable.</w:t>
            </w:r>
          </w:p>
        </w:tc>
      </w:tr>
    </w:tbl>
    <w:p w14:paraId="41B03A0E" w14:textId="77777777" w:rsidR="007442D0" w:rsidRDefault="00BC3DC4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11.  Review Status</w:t>
      </w:r>
    </w:p>
    <w:p w14:paraId="20AFF62B" w14:textId="77777777" w:rsidR="007442D0" w:rsidRDefault="00BC3DC4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No sponsor, broker or regulator has approved this simulated case study.</w:t>
      </w:r>
    </w:p>
    <w:p w14:paraId="19838340" w14:textId="77777777" w:rsidR="00924341" w:rsidRDefault="00000000">
      <w:pPr>
        <w:pStyle w:val="Heading1"/>
        <w:pageBreakBefore/>
      </w:pPr>
      <w:r>
        <w:rPr>
          <w:rFonts w:ascii="Arial" w:hAnsi="Arial" w:eastAsia="Arial" w:cs="Arial"/>
          <w:sz w:val="27"/>
        </w:rPr>
        <w:lastRenderedPageBreak/>
        <w:t>Portfolio scope decision and validation gates</w:t>
      </w:r>
    </w:p>
    <w:p w14:paraId="654EE77E" w14:textId="77777777" w:rsidR="00924341" w:rsidRDefault="00000000">
      <w:pPr>
        <w:spacing w:after="160"/>
      </w:pPr>
      <w:r>
        <w:rPr>
          <w:rFonts w:ascii="Arial" w:hAnsi="Arial" w:eastAsia="Arial" w:cs="Arial"/>
          <w:sz w:val="20"/>
        </w:rPr>
        <w:t>Owner decision: admit new children only before their 11th birthday. One proposed partner portfolio holds the pooled invested value for each child. Goals are a planning list with use dates on or after age 20, not separate money buckets or legal child assets.</w:t>
      </w:r>
    </w:p>
    <w:p w14:paraId="1F13C449" w14:textId="77777777" w:rsidR="00924341" w:rsidRDefault="00000000">
      <w:pPr>
        <w:spacing w:after="160"/>
      </w:pPr>
      <w:r>
        <w:rPr>
          <w:rFonts w:ascii="Arial" w:hAnsi="Arial" w:eastAsia="Arial" w:cs="Arial"/>
          <w:sz w:val="20"/>
        </w:rPr>
        <w:t>Demonstration scope: guardian onboarding and age eligibility, multiple goals, voluntary monthly planning, private guest intent and guardian review, provider-confirmed funding and investment, goal dashboard and scenario explanation.</w:t>
      </w:r>
    </w:p>
    <w:p w14:paraId="545DF37E" w14:textId="77777777" w:rsidR="00924341" w:rsidRDefault="00000000">
      <w:pPr>
        <w:spacing w:after="160"/>
      </w:pPr>
      <w:r>
        <w:rPr>
          <w:rFonts w:ascii="Arial" w:hAnsi="Arial" w:eastAsia="Arial" w:cs="Arial"/>
          <w:sz w:val="20"/>
        </w:rPr>
        <w:t>Open gates: account owner and custody, guest funding route, parent-mediated fallback, withdrawal policy, partial versus whole handover, provider automation and who may charge each proposed fee. None is represented as partner approval.</w:t>
      </w:r>
    </w:p>
    <w:p w14:paraId="335313D9" w14:textId="77777777" w:rsidR="00924341" w:rsidRDefault="00000000">
      <w:pPr>
        <w:pStyle w:val="Heading1"/>
      </w:pPr>
      <w:r>
        <w:rPr>
          <w:rFonts w:ascii="Arial" w:hAnsi="Arial" w:eastAsia="Arial" w:cs="Arial"/>
          <w:sz w:val="27"/>
        </w:rPr>
        <w:t>Feasibility gates and proposed differentiation</w:t>
      </w:r>
    </w:p>
    <w:p w14:paraId="152D34F7" w14:textId="77777777" w:rsidR="00924341" w:rsidRDefault="00000000">
      <w:pPr>
        <w:spacing w:after="120"/>
      </w:pPr>
      <w:r>
        <w:rPr>
          <w:rFonts w:ascii="Arial" w:hAnsi="Arial" w:eastAsia="Arial" w:cs="Arial"/>
          <w:sz w:val="20"/>
        </w:rPr>
        <w:t>The testable distinction is a Thai private invitation tied to one child portfolio, an unpaid guest intent without a BabyFund account, guardian review before a provider-approved payment route, and a visible trail to partner-confirmed investment. Dime Secondary Account and My Ports, Kept Together and UNest cover overlapping parts; no exclusivity claim is made.</w:t>
      </w:r>
    </w:p>
    <w:p w14:paraId="0255A600" w14:textId="77777777" w:rsidR="00924341" w:rsidRDefault="00000000">
      <w:pPr>
        <w:spacing w:after="120"/>
      </w:pPr>
      <w:r>
        <w:rPr>
          <w:rFonts w:ascii="Arial" w:hAnsi="Arial" w:eastAsia="Arial" w:cs="Arial"/>
          <w:sz w:val="20"/>
        </w:rPr>
        <w:t>Stop/go for any real pilot: identify a licensed investment partner and approved vehicle; agree legal account holder, custody, KYC/suitability and handover; agree a lawful payment route and payer/refund owner; reconcile valuation to goal views; review BabyFund’s own legal and data duties. If any gate fails, revise or stop the real-service design. This portfolio does not assert a pass.</w:t>
      </w:r>
    </w:p>
    <w:p w14:paraId="2ACDFF4E" w14:textId="77777777" w:rsidR="00924341" w:rsidRDefault="00000000">
      <w:pPr>
        <w:pStyle w:val="Heading1"/>
      </w:pPr>
      <w:r>
        <w:rPr>
          <w:rFonts w:ascii="Arial" w:hAnsi="Arial" w:eastAsia="Arial" w:cs="Arial"/>
          <w:sz w:val="27"/>
        </w:rPr>
        <w:t>Portfolio evidence added for three open gaps</w:t>
      </w:r>
    </w:p>
    <w:p w14:paraId="3BC81ABF" w14:textId="77777777" w:rsidR="00924341" w:rsidRDefault="00000000">
      <w:pPr>
        <w:spacing w:after="120"/>
      </w:pPr>
      <w:r>
        <w:rPr>
          <w:rFonts w:ascii="Arial" w:hAnsi="Arial" w:eastAsia="Arial" w:cs="Arial"/>
          <w:sz w:val="20"/>
        </w:rPr>
        <w:t>A reproducible three-goal sensitivity model and a conditional three-stream economics model are supplied in 13_Calculation_Evidence.xlsx. The three goals share one child value; the scenario does not reserve assets or make any adult withdrawal automatic.</w:t>
      </w:r>
    </w:p>
    <w:p w14:paraId="06B6DFD7" w14:textId="77777777" w:rsidR="00924341" w:rsidRDefault="00000000">
      <w:pPr>
        <w:spacing w:after="120"/>
      </w:pPr>
      <w:r>
        <w:rPr>
          <w:rFonts w:ascii="Arial" w:hAnsi="Arial" w:eastAsia="Arial" w:cs="Arial"/>
          <w:sz w:val="20"/>
        </w:rPr>
        <w:t>The new five risks are now scored in the Risk Register. Ratings, costs, conversion and fee prices are simulated BA assumptions, not measured data, contracts or legal approval.</w:t>
      </w:r>
    </w:p>
    <w:sectPr w:rsidR="0092434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6CFC" w14:textId="77777777" w:rsidR="00187BA6" w:rsidRDefault="00187BA6">
      <w:r>
        <w:separator/>
      </w:r>
    </w:p>
  </w:endnote>
  <w:endnote w:type="continuationSeparator" w:id="0">
    <w:p w14:paraId="2E5F8B4B" w14:textId="77777777" w:rsidR="00187BA6" w:rsidRDefault="00187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252E" w14:textId="77777777" w:rsidR="00924341" w:rsidRDefault="009243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63A1E" w14:textId="77777777" w:rsidR="00187BA6" w:rsidRDefault="00187BA6">
      <w:r>
        <w:separator/>
      </w:r>
    </w:p>
  </w:footnote>
  <w:footnote w:type="continuationSeparator" w:id="0">
    <w:p w14:paraId="13E1F756" w14:textId="77777777" w:rsidR="00187BA6" w:rsidRDefault="00187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40FA" w14:textId="77777777" w:rsidR="00924341" w:rsidRDefault="009243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093B"/>
    <w:multiLevelType w:val="hybridMultilevel"/>
    <w:tmpl w:val="78F48B40"/>
    <w:lvl w:ilvl="0" w:tplc="B8DE99D0">
      <w:start w:val="1"/>
      <w:numFmt w:val="bullet"/>
      <w:lvlText w:val="●"/>
      <w:lvlJc w:val="left"/>
      <w:pPr>
        <w:ind w:left="720" w:hanging="360"/>
      </w:pPr>
    </w:lvl>
    <w:lvl w:ilvl="1" w:tplc="5B7C358C">
      <w:start w:val="1"/>
      <w:numFmt w:val="bullet"/>
      <w:lvlText w:val="○"/>
      <w:lvlJc w:val="left"/>
      <w:pPr>
        <w:ind w:left="1440" w:hanging="360"/>
      </w:pPr>
    </w:lvl>
    <w:lvl w:ilvl="2" w:tplc="A8986280">
      <w:start w:val="1"/>
      <w:numFmt w:val="bullet"/>
      <w:lvlText w:val="■"/>
      <w:lvlJc w:val="left"/>
      <w:pPr>
        <w:ind w:left="2160" w:hanging="360"/>
      </w:pPr>
    </w:lvl>
    <w:lvl w:ilvl="3" w:tplc="2574460E">
      <w:start w:val="1"/>
      <w:numFmt w:val="bullet"/>
      <w:lvlText w:val="●"/>
      <w:lvlJc w:val="left"/>
      <w:pPr>
        <w:ind w:left="2880" w:hanging="360"/>
      </w:pPr>
    </w:lvl>
    <w:lvl w:ilvl="4" w:tplc="E32A60C4">
      <w:start w:val="1"/>
      <w:numFmt w:val="bullet"/>
      <w:lvlText w:val="○"/>
      <w:lvlJc w:val="left"/>
      <w:pPr>
        <w:ind w:left="3600" w:hanging="360"/>
      </w:pPr>
    </w:lvl>
    <w:lvl w:ilvl="5" w:tplc="A17C8E8E">
      <w:start w:val="1"/>
      <w:numFmt w:val="bullet"/>
      <w:lvlText w:val="■"/>
      <w:lvlJc w:val="left"/>
      <w:pPr>
        <w:ind w:left="4320" w:hanging="360"/>
      </w:pPr>
    </w:lvl>
    <w:lvl w:ilvl="6" w:tplc="88B62BFC">
      <w:start w:val="1"/>
      <w:numFmt w:val="bullet"/>
      <w:lvlText w:val="●"/>
      <w:lvlJc w:val="left"/>
      <w:pPr>
        <w:ind w:left="5040" w:hanging="360"/>
      </w:pPr>
    </w:lvl>
    <w:lvl w:ilvl="7" w:tplc="EA508DFA">
      <w:start w:val="1"/>
      <w:numFmt w:val="bullet"/>
      <w:lvlText w:val="●"/>
      <w:lvlJc w:val="left"/>
      <w:pPr>
        <w:ind w:left="5760" w:hanging="360"/>
      </w:pPr>
    </w:lvl>
    <w:lvl w:ilvl="8" w:tplc="48925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A70665"/>
    <w:multiLevelType w:val="hybridMultilevel"/>
    <w:tmpl w:val="1B3AC37A"/>
    <w:lvl w:ilvl="0" w:tplc="D8747D30">
      <w:start w:val="1"/>
      <w:numFmt w:val="bullet"/>
      <w:lvlText w:val="•"/>
      <w:lvlJc w:val="left"/>
      <w:pPr>
        <w:ind w:left="420" w:hanging="260"/>
      </w:pPr>
    </w:lvl>
    <w:lvl w:ilvl="1" w:tplc="1EAE66F4">
      <w:numFmt w:val="decimal"/>
      <w:lvlText w:val=""/>
      <w:lvlJc w:val="left"/>
    </w:lvl>
    <w:lvl w:ilvl="2" w:tplc="1E146BE0">
      <w:numFmt w:val="decimal"/>
      <w:lvlText w:val=""/>
      <w:lvlJc w:val="left"/>
    </w:lvl>
    <w:lvl w:ilvl="3" w:tplc="D7161122">
      <w:numFmt w:val="decimal"/>
      <w:lvlText w:val=""/>
      <w:lvlJc w:val="left"/>
    </w:lvl>
    <w:lvl w:ilvl="4" w:tplc="970AD67E">
      <w:numFmt w:val="decimal"/>
      <w:lvlText w:val=""/>
      <w:lvlJc w:val="left"/>
    </w:lvl>
    <w:lvl w:ilvl="5" w:tplc="4D181F90">
      <w:numFmt w:val="decimal"/>
      <w:lvlText w:val=""/>
      <w:lvlJc w:val="left"/>
    </w:lvl>
    <w:lvl w:ilvl="6" w:tplc="432C71CE">
      <w:numFmt w:val="decimal"/>
      <w:lvlText w:val=""/>
      <w:lvlJc w:val="left"/>
    </w:lvl>
    <w:lvl w:ilvl="7" w:tplc="7D164DEE">
      <w:numFmt w:val="decimal"/>
      <w:lvlText w:val=""/>
      <w:lvlJc w:val="left"/>
    </w:lvl>
    <w:lvl w:ilvl="8" w:tplc="190400D6">
      <w:numFmt w:val="decimal"/>
      <w:lvlText w:val=""/>
      <w:lvlJc w:val="left"/>
    </w:lvl>
  </w:abstractNum>
  <w:abstractNum w:abstractNumId="2" w15:restartNumberingAfterBreak="0">
    <w:nsid w:val="43497988"/>
    <w:multiLevelType w:val="hybridMultilevel"/>
    <w:tmpl w:val="64708050"/>
    <w:lvl w:ilvl="0" w:tplc="04B03C3A">
      <w:start w:val="1"/>
      <w:numFmt w:val="bullet"/>
      <w:lvlText w:val="•"/>
      <w:lvlJc w:val="left"/>
      <w:pPr>
        <w:ind w:left="360" w:hanging="220"/>
      </w:pPr>
    </w:lvl>
    <w:lvl w:ilvl="1" w:tplc="E10415B2">
      <w:numFmt w:val="decimal"/>
      <w:lvlText w:val=""/>
      <w:lvlJc w:val="left"/>
    </w:lvl>
    <w:lvl w:ilvl="2" w:tplc="8B9AFDF4">
      <w:numFmt w:val="decimal"/>
      <w:lvlText w:val=""/>
      <w:lvlJc w:val="left"/>
    </w:lvl>
    <w:lvl w:ilvl="3" w:tplc="35F2D062">
      <w:numFmt w:val="decimal"/>
      <w:lvlText w:val=""/>
      <w:lvlJc w:val="left"/>
    </w:lvl>
    <w:lvl w:ilvl="4" w:tplc="D46E3378">
      <w:numFmt w:val="decimal"/>
      <w:lvlText w:val=""/>
      <w:lvlJc w:val="left"/>
    </w:lvl>
    <w:lvl w:ilvl="5" w:tplc="DD0494C0">
      <w:numFmt w:val="decimal"/>
      <w:lvlText w:val=""/>
      <w:lvlJc w:val="left"/>
    </w:lvl>
    <w:lvl w:ilvl="6" w:tplc="FC96A41A">
      <w:numFmt w:val="decimal"/>
      <w:lvlText w:val=""/>
      <w:lvlJc w:val="left"/>
    </w:lvl>
    <w:lvl w:ilvl="7" w:tplc="0786EC8C">
      <w:numFmt w:val="decimal"/>
      <w:lvlText w:val=""/>
      <w:lvlJc w:val="left"/>
    </w:lvl>
    <w:lvl w:ilvl="8" w:tplc="4684C606">
      <w:numFmt w:val="decimal"/>
      <w:lvlText w:val=""/>
      <w:lvlJc w:val="left"/>
    </w:lvl>
  </w:abstractNum>
  <w:num w:numId="1" w16cid:durableId="186482016">
    <w:abstractNumId w:val="0"/>
    <w:lvlOverride w:ilvl="0">
      <w:startOverride w:val="1"/>
    </w:lvlOverride>
  </w:num>
  <w:num w:numId="2" w16cid:durableId="1506631221">
    <w:abstractNumId w:val="2"/>
    <w:lvlOverride w:ilvl="0">
      <w:startOverride w:val="1"/>
    </w:lvlOverride>
  </w:num>
  <w:num w:numId="3" w16cid:durableId="18453892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2D0"/>
    <w:rsid w:val="00187BA6"/>
    <w:rsid w:val="001D011B"/>
    <w:rsid w:val="007442D0"/>
    <w:rsid w:val="0081513B"/>
    <w:rsid w:val="008B00ED"/>
    <w:rsid w:val="00924341"/>
    <w:rsid w:val="00BC3DC4"/>
    <w:rsid w:val="00E0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70B0"/>
  <w15:docId w15:val="{00FB7CDF-EC79-4784-B267-84B76C8B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uiPriority w:val="9"/>
    <w:qFormat/>
    <w:pPr>
      <w:outlineLvl w:val="0"/>
    </w:pPr>
    <w:rPr>
      <w:rFonts w:ascii="Arial" w:hAnsi="Arial"/>
      <w:color w:val="2E74B5"/>
      <w:sz w:val="27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rial" w:hAnsi="Arial"/>
      <w:color w:val="2E74B5"/>
      <w:sz w:val="22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hAnsi="Arial"/>
      <w:color w:val="1F4D78"/>
      <w:sz w:val="20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Arial" w:hAnsi="Arial"/>
      <w:sz w:val="3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" w:hAnsi="Arial"/>
      <w:sz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2466</Words>
  <Characters>14057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Tankhun Luengchaicharn</cp:lastModifiedBy>
  <cp:revision>5</cp:revision>
  <dcterms:created xsi:type="dcterms:W3CDTF">2026-07-15T16:48:00Z</dcterms:created>
  <dcterms:modified xsi:type="dcterms:W3CDTF">2026-10-11T08:43:00Z</dcterms:modified>
</cp:coreProperties>
</file>