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638F6D" w14:textId="77777777" w:rsidR="00E212BF" w:rsidRDefault="0042078A">
      <w:pPr>
        <w:spacing w:after="40"/>
      </w:pPr>
      <w:r>
        <w:rPr>
          <w:rFonts w:ascii="Arial" w:hAnsi="Arial" w:eastAsia="Arial" w:cs="Arial"/>
          <w:b/>
          <w:bCs/>
          <w:caps/>
          <w:color w:val="1F3864"/>
          <w:sz w:val="20"/>
          <w:szCs w:val="20"/>
        </w:rPr>
        <w:t>BABYFUND THAILAND | CASE STUDY</w:t>
      </w:r>
    </w:p>
    <w:p w14:paraId="57638F6E" w14:textId="77777777" w:rsidR="00E212BF" w:rsidRDefault="0042078A">
      <w:pPr>
        <w:spacing w:after="200"/>
      </w:pPr>
      <w:r>
        <w:rPr>
          <w:rFonts w:ascii="Arial" w:hAnsi="Arial" w:eastAsia="Arial" w:cs="Arial"/>
          <w:i/>
          <w:iCs/>
          <w:color w:val="595959"/>
          <w:sz w:val="20"/>
          <w:szCs w:val="18"/>
        </w:rPr>
        <w:t>Family Savings Coordination Platform</w:t>
      </w:r>
    </w:p>
    <w:p w14:paraId="57638F6F" w14:textId="77777777" w:rsidR="00E212BF" w:rsidRDefault="0042078A">
      <w:pPr>
        <w:spacing w:after="260"/>
      </w:pPr>
      <w:r>
        <w:rPr>
          <w:rFonts w:ascii="Arial" w:hAnsi="Arial" w:eastAsia="Arial" w:cs="Arial"/>
          <w:b/>
          <w:bCs/>
          <w:color w:val="1F3864"/>
          <w:sz w:val="36"/>
          <w:szCs w:val="34"/>
        </w:rPr>
        <w:t>PROCESS FLOW DIAGRAMS</w:t>
      </w:r>
    </w:p>
    <w:tbl>
      <w:tblPr>
        <w:tblW w:w="104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466"/>
      </w:tblGrid>
      <w:tr w:rsidR="00E212BF" w14:paraId="57638F72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8F70" w14:textId="77777777" w:rsidR="00E212BF" w:rsidRDefault="0042078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Document Title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8F71" w14:textId="77777777" w:rsidR="00E212BF" w:rsidRDefault="0042078A">
            <w:r>
              <w:rPr>
                <w:rFonts w:ascii="Arial" w:hAnsi="Arial" w:eastAsia="Arial" w:cs="Arial"/>
                <w:sz w:val="18"/>
                <w:szCs w:val="18"/>
              </w:rPr>
              <w:t>Process Flow Diagrams</w:t>
            </w:r>
          </w:p>
        </w:tc>
      </w:tr>
      <w:tr w:rsidR="00E212BF" w14:paraId="57638F75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8F73" w14:textId="77777777" w:rsidR="00E212BF" w:rsidRDefault="0042078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Project Name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8F74" w14:textId="77777777" w:rsidR="00E212BF" w:rsidRDefault="0042078A">
            <w:proofErr w:type="spellStart"/>
            <w:r>
              <w:rPr>
                <w:rFonts w:ascii="Arial" w:hAnsi="Arial" w:eastAsia="Arial" w:cs="Arial"/>
                <w:sz w:val="18"/>
                <w:szCs w:val="18"/>
              </w:rPr>
              <w:t>BabyFund</w:t>
            </w:r>
            <w:proofErr w:type="spellEnd"/>
            <w:r>
              <w:rPr>
                <w:rFonts w:ascii="Arial" w:hAnsi="Arial" w:eastAsia="Arial" w:cs="Arial"/>
                <w:sz w:val="18"/>
                <w:szCs w:val="18"/>
              </w:rPr>
              <w:t xml:space="preserve"> Thailand — Family Savings Coordination Platform</w:t>
            </w:r>
          </w:p>
        </w:tc>
      </w:tr>
      <w:tr w:rsidR="00E212BF" w14:paraId="57638F78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8F76" w14:textId="77777777" w:rsidR="00E212BF" w:rsidRDefault="0042078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Document Version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Arial" w:hAnsi="Arial" w:eastAsia="Arial" w:cs="Arial"/>
                <w:sz w:val="18"/>
              </w:rPr>
              <w:t>Portfolio edition</w:t>
            </w:r>
          </w:p>
        </w:tc>
      </w:tr>
      <w:tr w:rsidR="00E212BF" w14:paraId="57638F7B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8F79" w14:textId="77777777" w:rsidR="00E212BF" w:rsidRDefault="0042078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>
            <w:r>
              <w:rPr>
                <w:rFonts w:ascii="Arial" w:hAnsi="Arial" w:eastAsia="Arial" w:cs="Arial"/>
                <w:sz w:val="18"/>
              </w:rPr>
              <w:t>Simulated BA case study — unvalidated design</w:t>
            </w:r>
          </w:p>
        </w:tc>
      </w:tr>
      <w:tr w:rsidR="00E212BF" w14:paraId="57638F7E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8F7C" w14:textId="77777777" w:rsidR="00E212BF" w:rsidRDefault="0042078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8F7D" w14:textId="77777777" w:rsidR="00E212BF" w:rsidRDefault="0042078A">
            <w:r>
              <w:rPr>
                <w:rFonts w:ascii="Arial" w:hAnsi="Arial" w:eastAsia="Arial" w:cs="Arial"/>
                <w:sz w:val="18"/>
                <w:szCs w:val="18"/>
              </w:rPr>
              <w:t>October 2026</w:t>
            </w:r>
          </w:p>
        </w:tc>
      </w:tr>
      <w:tr w:rsidR="00E212BF" w14:paraId="57638F81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8F7F" w14:textId="77777777" w:rsidR="00E212BF" w:rsidRDefault="0042078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Prepared By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8F80" w14:textId="02D8D16B" w:rsidR="00E212BF" w:rsidRPr="007A682E" w:rsidRDefault="00D36BF8">
            <w:pPr>
              <w:rPr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  <w:t>Tankhun Luengchaicharn</w:t>
            </w:r>
            <w:r w:rsidR="007A682E">
              <w:rPr>
                <w:rFonts w:ascii="Arial" w:hAnsi="Arial" w:eastAsia="Arial" w:cs="Arial"/>
                <w:sz w:val="18"/>
                <w:szCs w:val="18"/>
              </w:rPr>
            </w:r>
            <w:proofErr w:type="spellStart"/>
            <w:r w:rsidR="007A682E">
              <w:rPr>
                <w:rFonts w:ascii="Arial" w:hAnsi="Arial" w:eastAsia="Arial" w:cs="Arial"/>
                <w:sz w:val="18"/>
                <w:szCs w:val="18"/>
              </w:rPr>
            </w:r>
            <w:proofErr w:type="spellEnd"/>
            <w:r>
              <w:rPr>
                <w:rFonts w:ascii="Arial" w:hAnsi="Arial" w:eastAsia="Arial" w:cs="Arial"/>
                <w:sz w:val="18"/>
                <w:szCs w:val="18"/>
              </w:rPr>
            </w:r>
            <w:r w:rsidR="0042078A">
              <w:rPr>
                <w:rFonts w:ascii="Arial" w:hAnsi="Arial" w:eastAsia="Arial" w:cs="Arial"/>
                <w:sz w:val="18"/>
                <w:szCs w:val="18"/>
              </w:rPr>
              <w:t>, Junior IT Business Analyst</w:t>
            </w:r>
          </w:p>
        </w:tc>
      </w:tr>
      <w:tr w:rsidR="00E212BF" w14:paraId="57638F84" w14:textId="77777777">
        <w:tc>
          <w:tcPr>
            <w:tcW w:w="3000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8F82" w14:textId="77777777" w:rsidR="00E212BF" w:rsidRDefault="0042078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Approved By</w:t>
            </w:r>
          </w:p>
        </w:tc>
        <w:tc>
          <w:tcPr>
            <w:tcW w:w="7466" w:type="dxa"/>
            <w:tcBorders>
              <w:top w:val="single" w:sz="2" w:space="0" w:color="B7B7B7"/>
              <w:left w:val="single" w:sz="2" w:space="0" w:color="B7B7B7"/>
              <w:bottom w:val="single" w:sz="2" w:space="0" w:color="B7B7B7"/>
              <w:right w:val="single" w:sz="2" w:space="0" w:color="B7B7B7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38F83" w14:textId="77777777" w:rsidR="00E212BF" w:rsidRDefault="0042078A">
            <w:r>
              <w:rPr>
                <w:rFonts w:ascii="Arial" w:hAnsi="Arial" w:eastAsia="Arial" w:cs="Arial"/>
                <w:sz w:val="18"/>
                <w:szCs w:val="18"/>
              </w:rPr>
              <w:t>Not approved — simulated case study</w:t>
            </w:r>
            <w:proofErr w:type="spellStart"/>
            <w:r>
              <w:rPr>
                <w:rFonts w:ascii="Arial" w:hAnsi="Arial" w:eastAsia="Arial" w:cs="Arial"/>
                <w:sz w:val="18"/>
                <w:szCs w:val="18"/>
              </w:rPr>
            </w:r>
            <w:proofErr w:type="spellEnd"/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</w:tbl>
    <w:p w14:paraId="57638F85" w14:textId="77777777" w:rsidR="00E212BF" w:rsidRDefault="00E212BF">
      <w:pPr>
        <w:spacing w:after="200"/>
      </w:pPr>
    </w:p>
    <w:p w14:paraId="57638F86" w14:textId="77777777" w:rsidR="00E212BF" w:rsidRDefault="0042078A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1.  Purpose</w:t>
      </w:r>
    </w:p>
    <w:p w14:paraId="57638F87" w14:textId="77777777" w:rsidR="00E212BF" w:rsidRDefault="0042078A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 xml:space="preserve">This document shows, step by step, how three of the most important processes work inside </w:t>
      </w:r>
      <w:proofErr w:type="spellStart"/>
      <w:r>
        <w:rPr>
          <w:rFonts w:ascii="Arial" w:hAnsi="Arial" w:eastAsia="Arial" w:cs="Arial"/>
          <w:sz w:val="20"/>
        </w:rPr>
        <w:t>BabyFund</w:t>
      </w:r>
      <w:proofErr w:type="spellEnd"/>
      <w:r>
        <w:rPr>
          <w:rFonts w:ascii="Arial" w:hAnsi="Arial" w:eastAsia="Arial" w:cs="Arial"/>
          <w:sz w:val="20"/>
        </w:rPr>
        <w:t xml:space="preserve"> Thailand. The revised diagrams show proposed actors, decisions and provider validation gates as labelled steps. Exception outcomes are described in the boxes and walkthrough. A plain-language walkthrough and a list of linked requirements follow each diagram.</w:t>
      </w:r>
    </w:p>
    <w:p w14:paraId="57638F88" w14:textId="77777777" w:rsidR="00E212BF" w:rsidRDefault="0042078A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2.  Flow 1 — Parent Onboarding &amp; KYC Verification</w:t>
      </w:r>
    </w:p>
    <w:p w14:paraId="57638F89" w14:textId="77777777" w:rsidR="00E212BF" w:rsidRDefault="0042078A">
      <w:pPr>
        <w:spacing w:after="160" w:line="276" w:lineRule="auto"/>
        <w:jc w:val="both"/>
      </w:pPr>
      <w:r>
        <w:t>This flow shows proposed guardian setup, the child-age gate, planning-profile creation, and conditional partner identity and eligibility checks. A planning profile is not an investment account.</w:t>
      </w:r>
    </w:p>
    <w:p w14:paraId="57638F8A" w14:textId="1BFBD842" w:rsidR="00E212BF" w:rsidRDefault="0042078A">
      <w:pPr>
        <w:spacing w:before="140"/>
        <w:jc w:val="center"/>
      </w:pPr>
      <w:r>
        <w:rPr>
          <w:rFonts w:ascii="Arial" w:hAnsi="Arial" w:eastAsia="Arial" w:cs="Arial"/>
          <w:noProof/>
          <w:sz w:val="20"/>
        </w:rPr>
        <w:lastRenderedPageBreak/>
        <w:drawing>
          <wp:inline distT="0" distB="0" distL="0" distR="0" wp14:anchorId="57638FAF" wp14:editId="27A41021">
            <wp:extent cx="5577840" cy="5577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8F8B" w14:textId="77777777" w:rsidR="00E212BF" w:rsidRDefault="0042078A">
      <w:pPr>
        <w:spacing w:before="100" w:after="200"/>
        <w:jc w:val="center"/>
      </w:pPr>
      <w:r>
        <w:rPr>
          <w:rFonts w:ascii="Arial" w:hAnsi="Arial" w:eastAsia="Arial" w:cs="Arial"/>
          <w:i/>
          <w:iCs/>
          <w:color w:val="595959"/>
          <w:sz w:val="18"/>
          <w:szCs w:val="18"/>
        </w:rPr>
        <w:t>Figure 1: Guardian onboarding and child goal — proposed</w:t>
      </w:r>
    </w:p>
    <w:p w14:paraId="57638F8C" w14:textId="77777777" w:rsidR="00E212BF" w:rsidRDefault="0042078A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5B9A"/>
          <w:sz w:val="22"/>
          <w:szCs w:val="22"/>
        </w:rPr>
        <w:t>Step-by-Step Walkthrough</w:t>
      </w:r>
    </w:p>
    <w:p w14:paraId="57638F8D" w14:textId="77777777" w:rsidR="00E212BF" w:rsidRDefault="0042078A">
      <w:pPr>
        <w:spacing w:after="90" w:line="264" w:lineRule="auto"/>
      </w:pPr>
      <w:r>
        <w:t>1.  The guardian provides a profile, child birth date and required consent. If consent is withheld, setup stops.</w:t>
      </w:r>
    </w:p>
    <w:p w14:paraId="57638F8E" w14:textId="77777777" w:rsidR="00E212BF" w:rsidRDefault="0042078A">
      <w:pPr>
        <w:spacing w:after="90" w:line="264" w:lineRule="auto"/>
      </w:pPr>
      <w:r>
        <w:t>2.  BabyFund checks whether the child is before the 11th birthday. At or after that birthday, new setup stops and the age rule is explained.</w:t>
      </w:r>
    </w:p>
    <w:p w14:paraId="57638F8F" w14:textId="77777777" w:rsidR="00E212BF" w:rsidRDefault="0042078A">
      <w:pPr>
        <w:spacing w:after="90" w:line="264" w:lineRule="auto"/>
      </w:pPr>
      <w:r>
        <w:t>3.  For an eligible child, BabyFund creates a planning profile with goals due on or after the 20th birthday. This does not establish child ownership.</w:t>
      </w:r>
    </w:p>
    <w:p w14:paraId="57638F90" w14:textId="77777777" w:rsidR="00E212BF" w:rsidRDefault="0042078A">
      <w:pPr>
        <w:spacing w:after="90" w:line="264" w:lineRule="auto"/>
      </w:pPr>
      <w:r>
        <w:t>4.  A proposed licensed partner determines the identity and eligibility checks needed for any investment account. No live integration or agreed KYC process exists.</w:t>
      </w:r>
    </w:p>
    <w:p w14:paraId="57638F91" w14:textId="77777777" w:rsidR="00E212BF" w:rsidRDefault="0042078A">
      <w:pPr>
        <w:spacing w:after="90" w:line="264" w:lineRule="auto"/>
      </w:pPr>
      <w:r>
        <w:t>5.  If the partner declines or cannot confirm eligibility, the case is held without an investment account or invested value.</w:t>
      </w:r>
    </w:p>
    <w:p w14:paraId="57638F92" w14:textId="77777777" w:rsidR="00E212BF" w:rsidRDefault="0042078A">
      <w:pPr>
        <w:spacing w:after="90" w:line="264" w:lineRule="auto"/>
      </w:pPr>
      <w:r>
        <w:t>6.  Only after partner approval does BabyFund record the partner-supplied account reference, subject to the confirmed account and custody structure.</w:t>
      </w:r>
    </w:p>
    <w:p w14:paraId="57638F93" w14:textId="77777777" w:rsidR="00E212BF" w:rsidRDefault="0042078A">
      <w:pPr>
        <w:spacing w:after="90" w:line="264" w:lineRule="auto"/>
      </w:pPr>
      <w:r>
        <w:t>7.  BabyFund shows one pooled child value only after partner confirmation, separately from planning goals and pending intents.</w:t>
      </w:r>
    </w:p>
    <w:p w14:paraId="57638F94" w14:textId="77777777" w:rsidR="00E212BF" w:rsidRDefault="0042078A">
      <w:pPr>
        <w:spacing w:after="260"/>
      </w:pPr>
      <w:r>
        <w:rPr>
          <w:rFonts w:ascii="Arial" w:hAnsi="Arial" w:eastAsia="Arial" w:cs="Arial"/>
          <w:i/>
          <w:iCs/>
          <w:color w:val="595959"/>
          <w:sz w:val="20"/>
          <w:szCs w:val="17"/>
        </w:rPr>
        <w:t>Linked Requirements: FR-001, FR-005, RULE-01</w:t>
      </w:r>
    </w:p>
    <w:p w14:paraId="57638F95" w14:textId="77777777" w:rsidR="00E212BF" w:rsidRDefault="0042078A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3.  Flow 2 — Invited Guest Contribution &amp; Investment Process</w:t>
      </w:r>
    </w:p>
    <w:p w14:paraId="57638F96" w14:textId="77777777" w:rsidR="00E212BF" w:rsidRDefault="0042078A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>This flow follows an invited guest from gift intent to partner-confirmed S&amp;P 500-linked investment and the parent seeing an updated balance.</w:t>
      </w:r>
    </w:p>
    <w:p w14:paraId="57638F97" w14:textId="77777777" w:rsidR="00E212BF" w:rsidRDefault="0042078A">
      <w:pPr>
        <w:spacing w:before="140"/>
        <w:jc w:val="center"/>
      </w:pPr>
      <w:r>
        <w:rPr>
          <w:rFonts w:ascii="Arial" w:hAnsi="Arial" w:eastAsia="Arial" w:cs="Arial"/>
          <w:noProof/>
          <w:sz w:val="20"/>
        </w:rPr>
        <w:lastRenderedPageBreak/>
        <w:drawing>
          <wp:inline distT="0" distB="0" distL="0" distR="0" wp14:anchorId="57638FB1" wp14:editId="57638FB2">
            <wp:extent cx="5577840" cy="57246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7840" cy="57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8F98" w14:textId="77777777" w:rsidR="00E212BF" w:rsidRDefault="0042078A">
      <w:pPr>
        <w:spacing w:before="100" w:after="200"/>
        <w:jc w:val="center"/>
      </w:pPr>
      <w:r>
        <w:rPr>
          <w:rFonts w:ascii="Arial" w:hAnsi="Arial" w:eastAsia="Arial" w:cs="Arial"/>
          <w:i/>
          <w:iCs/>
          <w:color w:val="595959"/>
          <w:sz w:val="18"/>
          <w:szCs w:val="18"/>
        </w:rPr>
        <w:t>Figure 2: Invited guest contribution — owner-selected Option A, subject to provider validation</w:t>
      </w:r>
    </w:p>
    <w:p w14:paraId="57638F99" w14:textId="77777777" w:rsidR="00E212BF" w:rsidRDefault="0042078A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5B9A"/>
          <w:sz w:val="22"/>
          <w:szCs w:val="22"/>
        </w:rPr>
        <w:t>Step-by-Step Walkthrough</w:t>
      </w:r>
    </w:p>
    <w:p w14:paraId="57638F9A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>1.  A selected guest opens an unexpired private invite and submits an unpaid gift intent. Parent deposits and recurring instructions are separate paths.</w:t>
      </w:r>
      <w:r>
        <w:rPr>
          <w:rFonts w:ascii="Arial" w:hAnsi="Arial" w:eastAsia="Arial" w:cs="Arial"/>
          <w:sz w:val="20"/>
          <w:szCs w:val="20"/>
        </w:rPr>
      </w:r>
    </w:p>
    <w:p w14:paraId="57638F9B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>2.  BabyFund asks the guardian to accept or decline the intent and records the decision and time. No payment instruction is shown while review is pending.</w:t>
      </w:r>
      <w:r>
        <w:rPr>
          <w:rFonts w:ascii="Arial" w:hAnsi="Arial" w:eastAsia="Arial" w:cs="Arial"/>
          <w:sz w:val="20"/>
          <w:szCs w:val="20"/>
        </w:rPr>
      </w:r>
      <w:proofErr w:type="spellStart"/>
      <w:r>
        <w:rPr>
          <w:rFonts w:ascii="Arial" w:hAnsi="Arial" w:eastAsia="Arial" w:cs="Arial"/>
          <w:sz w:val="20"/>
          <w:szCs w:val="20"/>
        </w:rPr>
      </w:r>
      <w:proofErr w:type="spellEnd"/>
      <w:r>
        <w:rPr>
          <w:rFonts w:ascii="Arial" w:hAnsi="Arial" w:eastAsia="Arial" w:cs="Arial"/>
          <w:sz w:val="20"/>
          <w:szCs w:val="20"/>
        </w:rPr>
      </w:r>
      <w:bookmarkStart w:id="0" w:name="_GoBack"/>
      <w:bookmarkEnd w:id="0"/>
    </w:p>
    <w:p w14:paraId="57638F9C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>3.  If declined or expired, the unpaid intent closes. If accepted, a provider-approved payment route may be shown; BabyFund never holds client money.</w:t>
      </w:r>
      <w:r>
        <w:rPr>
          <w:rFonts w:ascii="Arial" w:hAnsi="Arial" w:eastAsia="Arial" w:cs="Arial"/>
          <w:sz w:val="20"/>
          <w:szCs w:val="20"/>
        </w:rPr>
      </w:r>
    </w:p>
    <w:p w14:paraId="57638F9D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>4.  The responsible provider checks payer eligibility and payment reference. A mismatch, failure, timeout or duplicate enters exception review without increasing invested value.</w:t>
      </w:r>
      <w:r>
        <w:rPr>
          <w:rFonts w:ascii="Arial" w:hAnsi="Arial" w:eastAsia="Arial" w:cs="Arial"/>
          <w:sz w:val="20"/>
          <w:szCs w:val="20"/>
        </w:rPr>
      </w:r>
    </w:p>
    <w:p w14:paraId="57638F9E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>5.  BabyFund displays payment received only after provider confirmation, with source and time. Any required FX rate and fee come from the responsible provider.</w:t>
      </w:r>
      <w:r>
        <w:rPr>
          <w:rFonts w:ascii="Arial" w:hAnsi="Arial" w:eastAsia="Arial" w:cs="Arial"/>
          <w:sz w:val="20"/>
          <w:szCs w:val="20"/>
        </w:rPr>
      </w:r>
    </w:p>
    <w:p w14:paraId="57638F9F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>6.  The licensed partner alone decides eligibility, custody and execution of a suitable S&amp;P 500-linked product; vehicle and suitability rules are not agreed.</w:t>
      </w:r>
      <w:r>
        <w:rPr>
          <w:rFonts w:ascii="Arial" w:hAnsi="Arial" w:eastAsia="Arial" w:cs="Arial"/>
          <w:sz w:val="20"/>
          <w:szCs w:val="20"/>
        </w:rPr>
      </w:r>
    </w:p>
    <w:p w14:paraId="57638FA0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>7.  BabyFund displays invested status/value only after licensed-partner confirmation, separately from accepted intent and payment received, with source and as-of time.</w:t>
      </w:r>
      <w:r>
        <w:rPr>
          <w:rFonts w:ascii="Arial" w:hAnsi="Arial" w:eastAsia="Arial" w:cs="Arial"/>
          <w:sz w:val="20"/>
          <w:szCs w:val="20"/>
        </w:rPr>
      </w:r>
    </w:p>
    <w:p w14:paraId="57638FA1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 xml:space="preserve">8.  </w:t>
      </w:r>
      <w:r>
        <w:rPr>
          <w:rFonts w:ascii="Arial" w:hAnsi="Arial" w:eastAsia="Arial" w:cs="Arial"/>
          <w:sz w:val="20"/>
          <w:szCs w:val="20"/>
        </w:rPr>
        <w:t>A milestone notice may follow only after partner-confirmed invested value crosses the threshold; pending gifts never trigger it.</w:t>
      </w:r>
    </w:p>
    <w:p w14:paraId="57638FA2" w14:textId="77777777" w:rsidR="00E212BF" w:rsidRDefault="0042078A">
      <w:pPr>
        <w:spacing w:after="260"/>
      </w:pPr>
      <w:r>
        <w:rPr>
          <w:rFonts w:ascii="Arial" w:hAnsi="Arial" w:eastAsia="Arial" w:cs="Arial"/>
          <w:i/>
          <w:iCs/>
          <w:color w:val="595959"/>
          <w:sz w:val="20"/>
          <w:szCs w:val="17"/>
        </w:rPr>
        <w:t>Linked Requirements: BR-008, RULE-03; FR-010 to FR-013, FR-017, FR-022, FR-027</w:t>
      </w:r>
    </w:p>
    <w:p w14:paraId="57638FA3" w14:textId="77777777" w:rsidR="00E212BF" w:rsidRDefault="0042078A">
      <w:pPr>
        <w:pStyle w:val="Heading1"/>
        <w:pBdr>
          <w:bottom w:val="single" w:sz="6" w:space="4" w:color="1F3864"/>
        </w:pBdr>
        <w:spacing w:before="320" w:after="140"/>
      </w:pPr>
      <w:r>
        <w:rPr>
          <w:rFonts w:ascii="Arial" w:hAnsi="Arial" w:eastAsia="Arial" w:cs="Arial"/>
          <w:b/>
          <w:bCs/>
          <w:color w:val="1F3864"/>
          <w:sz w:val="27"/>
          <w:szCs w:val="27"/>
        </w:rPr>
        <w:t>4.  Flow 3 — Withdrawal request and conditional age-20 handover</w:t>
      </w:r>
    </w:p>
    <w:p w14:paraId="57638FA4" w14:textId="77777777" w:rsidR="00E212BF" w:rsidRDefault="0042078A">
      <w:pPr>
        <w:spacing w:after="160" w:line="276" w:lineRule="auto"/>
        <w:jc w:val="both"/>
      </w:pPr>
      <w:r>
        <w:rPr>
          <w:rFonts w:ascii="Arial" w:hAnsi="Arial" w:eastAsia="Arial" w:cs="Arial"/>
          <w:sz w:val="20"/>
        </w:rPr>
        <w:t>This flow replaces the original "hard lock until age 18" design. It shows two separate paths: the normal path, where a possible age-20 handover is requested, and the early withdrawal path, where a parent can request funds before then under clear conditions.</w:t>
      </w:r>
    </w:p>
    <w:p w14:paraId="57638FA5" w14:textId="77777777" w:rsidR="00E212BF" w:rsidRDefault="0042078A">
      <w:pPr>
        <w:spacing w:before="140"/>
        <w:jc w:val="center"/>
      </w:pPr>
      <w:r>
        <w:rPr>
          <w:rFonts w:ascii="Arial" w:hAnsi="Arial" w:eastAsia="Arial" w:cs="Arial"/>
          <w:noProof/>
          <w:sz w:val="20"/>
        </w:rPr>
        <w:lastRenderedPageBreak/>
        <w:drawing>
          <wp:inline distT="0" distB="0" distL="0" distR="0" wp14:anchorId="57638FB3" wp14:editId="57638FB4">
            <wp:extent cx="5905500" cy="5200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20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38FA6" w14:textId="77777777" w:rsidR="00E212BF" w:rsidRDefault="0042078A">
      <w:pPr>
        <w:spacing w:before="100" w:after="200"/>
        <w:jc w:val="center"/>
      </w:pPr>
      <w:r>
        <w:rPr>
          <w:rFonts w:ascii="Arial" w:hAnsi="Arial" w:eastAsia="Arial" w:cs="Arial"/>
          <w:i/>
          <w:iCs/>
          <w:color w:val="595959"/>
          <w:sz w:val="18"/>
          <w:szCs w:val="18"/>
        </w:rPr>
        <w:t>Figure 3: Withdrawal and possible age-20 handover — conditional</w:t>
      </w:r>
    </w:p>
    <w:p w14:paraId="57638FA7" w14:textId="77777777" w:rsidR="00E212BF" w:rsidRDefault="0042078A">
      <w:pPr>
        <w:pStyle w:val="Heading2"/>
        <w:spacing w:before="200" w:after="100"/>
      </w:pPr>
      <w:r>
        <w:rPr>
          <w:rFonts w:ascii="Arial" w:hAnsi="Arial" w:eastAsia="Arial" w:cs="Arial"/>
          <w:b/>
          <w:bCs/>
          <w:color w:val="2E5B9A"/>
          <w:sz w:val="22"/>
          <w:szCs w:val="22"/>
        </w:rPr>
        <w:t>Step-by-Step Walkthrough</w:t>
      </w:r>
    </w:p>
    <w:p w14:paraId="57638FA8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 xml:space="preserve">1.  </w:t>
      </w:r>
      <w:r>
        <w:rPr>
          <w:rFonts w:ascii="Arial" w:hAnsi="Arial" w:eastAsia="Arial" w:cs="Arial"/>
          <w:sz w:val="20"/>
          <w:szCs w:val="20"/>
        </w:rPr>
        <w:t>A guardian or adult child opens the relevant request; BabyFund distinguishes an under-20 withdrawal request from an age-20 handover review.</w:t>
      </w:r>
    </w:p>
    <w:p w14:paraId="57638FA9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 xml:space="preserve">2.  </w:t>
      </w:r>
      <w:r>
        <w:rPr>
          <w:rFonts w:ascii="Arial" w:hAnsi="Arial" w:eastAsia="Arial" w:cs="Arial"/>
          <w:sz w:val="20"/>
          <w:szCs w:val="20"/>
        </w:rPr>
        <w:t>Path A — Child Turns 20: the child completes their own identity verification. If verification succeeds, the partner reviews whether and how ownership can be transferred; no automatic transfer is assumed. If not, the current partner-confirmed legal ownership and access remain unchanged.</w:t>
      </w:r>
    </w:p>
    <w:p w14:paraId="57638FAA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 xml:space="preserve">3.  </w:t>
      </w:r>
      <w:r>
        <w:rPr>
          <w:rFonts w:ascii="Arial" w:hAnsi="Arial" w:eastAsia="Arial" w:cs="Arial"/>
          <w:sz w:val="20"/>
          <w:szCs w:val="20"/>
        </w:rPr>
        <w:t>Path B — Early Withdrawal Request: the parent submits a request with a documented reason. Eligibility follows the partner's confirmed terms; BabyFund does not decide legal withdrawal rights.</w:t>
      </w:r>
    </w:p>
    <w:p w14:paraId="57638FAB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 xml:space="preserve">4.  </w:t>
      </w:r>
      <w:r>
        <w:rPr>
          <w:rFonts w:ascii="Arial" w:hAnsi="Arial" w:eastAsia="Arial" w:cs="Arial"/>
          <w:sz w:val="20"/>
          <w:szCs w:val="20"/>
        </w:rPr>
        <w:t>If the partner accepts the request, the app displays any partner-approved waiting period and fee before confirmation.</w:t>
      </w:r>
    </w:p>
    <w:p w14:paraId="57638FAC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 xml:space="preserve">5.  </w:t>
      </w:r>
      <w:r>
        <w:rPr>
          <w:rFonts w:ascii="Arial" w:hAnsi="Arial" w:eastAsia="Arial" w:cs="Arial"/>
          <w:sz w:val="20"/>
          <w:szCs w:val="20"/>
        </w:rPr>
        <w:t>The guardian confirms only if the partner's actual terms require a further step; otherwise the provider processes or rejects the request.</w:t>
      </w:r>
    </w:p>
    <w:p w14:paraId="57638FAD" w14:textId="77777777" w:rsidR="00E212BF" w:rsidRDefault="0042078A">
      <w:pPr>
        <w:spacing w:after="90" w:line="264" w:lineRule="auto"/>
      </w:pPr>
      <w:r>
        <w:rPr>
          <w:rFonts w:ascii="Arial" w:hAnsi="Arial" w:eastAsia="Arial" w:cs="Arial"/>
          <w:b/>
          <w:bCs/>
          <w:color w:val="2E5B9A"/>
          <w:sz w:val="20"/>
          <w:szCs w:val="20"/>
        </w:rPr>
        <w:t xml:space="preserve">6.  </w:t>
      </w:r>
      <w:r>
        <w:rPr>
          <w:rFonts w:ascii="Arial" w:hAnsi="Arial" w:eastAsia="Arial" w:cs="Arial"/>
          <w:sz w:val="20"/>
          <w:szCs w:val="20"/>
        </w:rPr>
        <w:t>When all required steps are met, the partner processes or rejects the request under its confirmed rules and reports the outcome.</w:t>
      </w:r>
    </w:p>
    <w:p w14:paraId="57638FAE" w14:textId="77777777" w:rsidR="00E212BF" w:rsidRDefault="0042078A">
      <w:pPr>
        <w:spacing w:after="260"/>
      </w:pPr>
      <w:r>
        <w:rPr>
          <w:rFonts w:ascii="Arial" w:hAnsi="Arial" w:eastAsia="Arial" w:cs="Arial"/>
          <w:i/>
          <w:iCs/>
          <w:color w:val="595959"/>
          <w:sz w:val="20"/>
          <w:szCs w:val="17"/>
        </w:rPr>
        <w:t>Linked Requirements: FR-020, FR-021, FR-026, RULE-02</w:t>
      </w:r>
    </w:p>
    <w:p>
      <w:pPr>
        <w:pStyle w:val="Heading1"/>
      </w:pPr>
      <w:r>
        <w:rPr>
          <w:rFonts w:ascii="Arial" w:hAnsi="Arial" w:eastAsia="Arial" w:cs="Arial"/>
          <w:sz w:val="27"/>
        </w:rPr>
        <w:t>Flow control notes</w:t>
      </w:r>
    </w:p>
    <w:p>
      <w:pPr>
        <w:spacing w:after="160"/>
      </w:pPr>
      <w:r>
        <w:t>Flow 1 checks the child-age gate before proposed partner identity and eligibility checks: before the 11th birthday continues; the 11th birthday or older stops new setup. Each goal due date must be on or after the 20th birthday. A declined or unconfirmed partner application creates no investment account or invested value.</w:t>
      </w:r>
    </w:p>
    <w:p>
      <w:pPr>
        <w:spacing w:after="160"/>
      </w:pPr>
      <w:r>
        <w:rPr>
          <w:rFonts w:ascii="Arial" w:hAnsi="Arial" w:eastAsia="Arial" w:cs="Arial"/>
          <w:sz w:val="20"/>
        </w:rPr>
        <w:t>Flow 2 branches on guardian accept or decline before payment. Accepted intent proceeds only if a provider-approved route exists. Payment failure, expiry, duplicate reference or partner rejection enters exception review and never counts as invested value. The guardian-mediated fallback is a separate route pending provider review.</w:t>
      </w:r>
    </w:p>
    <w:p>
      <w:pPr>
        <w:spacing w:after="160"/>
      </w:pPr>
      <w:r>
        <w:rPr>
          <w:rFonts w:ascii="Arial" w:hAnsi="Arial" w:eastAsia="Arial" w:cs="Arial"/>
          <w:sz w:val="20"/>
        </w:rPr>
        <w:t>Flow 3 separates an under-20 withdrawal request from an age-20 handover request. The actual owner’s rights and partner decision control both; a goal due date does not trigger automatic transfer.</w:t>
      </w:r>
    </w:p>
    <w:p>
      <w:pPr>
        <w:pStyle w:val="Heading1"/>
      </w:pPr>
      <w:r>
        <w:rPr>
          <w:rFonts w:ascii="Arial" w:hAnsi="Arial" w:eastAsia="Arial" w:cs="Arial"/>
          <w:sz w:val="27"/>
        </w:rPr>
        <w:t>Decision points missing from a real operating flow</w:t>
      </w:r>
    </w:p>
    <w:p>
      <w:pPr>
        <w:spacing w:after="120"/>
      </w:pPr>
      <w:r>
        <w:rPr>
          <w:rFonts w:ascii="Arial" w:hAnsi="Arial" w:eastAsia="Arial" w:cs="Arial"/>
          <w:sz w:val="20"/>
        </w:rPr>
        <w:t>The diagrams show a proposed sequence only. Before any live payment path, a partner/provider must answer: third-party payer allowed? payer matching method? route expiry? failed/duplicate/late payment owner? refund or return path? investment rejection handling? The answer determines the actual branches.</w:t>
      </w:r>
    </w:p>
    <w:p>
      <w:pPr>
        <w:spacing w:after="120"/>
      </w:pPr>
      <w:r>
        <w:rPr>
          <w:rFonts w:ascii="Arial" w:hAnsi="Arial" w:eastAsia="Arial" w:cs="Arial"/>
          <w:sz w:val="20"/>
        </w:rPr>
        <w:t>For multiple goals, a private invitation carries invite_id and child_id. After partner confirmation, the mock ledger assigns the event once. Later goal edits affect only planning views. Valuation loss, real partial withdrawal and any age-20 partial handover need partner rules and tests before implementation.</w:t>
      </w:r>
    </w:p>
    <w:p>
      <w:pPr>
        <w:spacing w:after="120"/>
      </w:pPr>
      <w:r>
        <w:rPr>
          <w:rFonts w:ascii="Arial" w:hAnsi="Arial" w:eastAsia="Arial" w:cs="Arial"/>
          <w:sz w:val="20"/>
        </w:rPr>
        <w:t>If the selected partner disallows direct guest funding, Option C is a separate proposal requiring approval. Guest-to-guardian payment and guardian-to-partner investment are two events, with no implied custody or automatic trace.</w:t>
      </w:r>
    </w:p>
    <w:sectPr w:rsidR="00E212BF">
      <w:headerReference w:type="default" r:id="rId11"/>
      <w:footerReference w:type="default" r:id="rId12"/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811C49"/>
    <w:multiLevelType w:val="hybridMultilevel"/>
    <w:tmpl w:val="B4AA6C5C"/>
    <w:lvl w:ilvl="0" w:tplc="7DDA9A86">
      <w:start w:val="1"/>
      <w:numFmt w:val="bullet"/>
      <w:lvlText w:val="●"/>
      <w:lvlJc w:val="left"/>
      <w:pPr>
        <w:ind w:left="720" w:hanging="360"/>
      </w:pPr>
    </w:lvl>
    <w:lvl w:ilvl="1" w:tplc="7500F87A">
      <w:start w:val="1"/>
      <w:numFmt w:val="bullet"/>
      <w:lvlText w:val="○"/>
      <w:lvlJc w:val="left"/>
      <w:pPr>
        <w:ind w:left="1440" w:hanging="360"/>
      </w:pPr>
    </w:lvl>
    <w:lvl w:ilvl="2" w:tplc="F6AE32D4">
      <w:start w:val="1"/>
      <w:numFmt w:val="bullet"/>
      <w:lvlText w:val="■"/>
      <w:lvlJc w:val="left"/>
      <w:pPr>
        <w:ind w:left="2160" w:hanging="360"/>
      </w:pPr>
    </w:lvl>
    <w:lvl w:ilvl="3" w:tplc="540A71FC">
      <w:start w:val="1"/>
      <w:numFmt w:val="bullet"/>
      <w:lvlText w:val="●"/>
      <w:lvlJc w:val="left"/>
      <w:pPr>
        <w:ind w:left="2880" w:hanging="360"/>
      </w:pPr>
    </w:lvl>
    <w:lvl w:ilvl="4" w:tplc="2E829B1A">
      <w:start w:val="1"/>
      <w:numFmt w:val="bullet"/>
      <w:lvlText w:val="○"/>
      <w:lvlJc w:val="left"/>
      <w:pPr>
        <w:ind w:left="3600" w:hanging="360"/>
      </w:pPr>
    </w:lvl>
    <w:lvl w:ilvl="5" w:tplc="9DF2DC0C">
      <w:start w:val="1"/>
      <w:numFmt w:val="bullet"/>
      <w:lvlText w:val="■"/>
      <w:lvlJc w:val="left"/>
      <w:pPr>
        <w:ind w:left="4320" w:hanging="360"/>
      </w:pPr>
    </w:lvl>
    <w:lvl w:ilvl="6" w:tplc="512EB3E0">
      <w:start w:val="1"/>
      <w:numFmt w:val="bullet"/>
      <w:lvlText w:val="●"/>
      <w:lvlJc w:val="left"/>
      <w:pPr>
        <w:ind w:left="5040" w:hanging="360"/>
      </w:pPr>
    </w:lvl>
    <w:lvl w:ilvl="7" w:tplc="508426E8">
      <w:start w:val="1"/>
      <w:numFmt w:val="bullet"/>
      <w:lvlText w:val="●"/>
      <w:lvlJc w:val="left"/>
      <w:pPr>
        <w:ind w:left="5760" w:hanging="360"/>
      </w:pPr>
    </w:lvl>
    <w:lvl w:ilvl="8" w:tplc="00E6F68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12BF"/>
    <w:rsid w:val="001E319A"/>
    <w:rsid w:val="0042078A"/>
    <w:rsid w:val="007A682E"/>
    <w:rsid w:val="00D36BF8"/>
    <w:rsid w:val="00E21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38F6D"/>
  <w15:docId w15:val="{807EEA38-7798-47F8-84CF-236C57BA2D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1"/>
        <w:szCs w:val="21"/>
        <w:lang w:val="en-US" w:eastAsia="en-US" w:bidi="th-TH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hAnsi="Arial"/>
      <w:sz w:val="20"/>
    </w:rPr>
  </w:style>
  <w:style w:type="paragraph" w:styleId="Heading1">
    <w:name w:val="heading 1"/>
    <w:uiPriority w:val="9"/>
    <w:qFormat/>
    <w:pPr>
      <w:outlineLvl w:val="0"/>
    </w:pPr>
    <w:rPr>
      <w:rFonts w:ascii="Arial" w:hAnsi="Arial"/>
      <w:color w:val="2E74B5"/>
      <w:sz w:val="27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rial" w:hAnsi="Arial"/>
      <w:color w:val="2E74B5"/>
      <w:sz w:val="22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hAnsi="Arial"/>
      <w:color w:val="1F4D78"/>
      <w:sz w:val="20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Arial" w:hAnsi="Arial"/>
      <w:sz w:val="3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Pr>
      <w:rFonts w:ascii="Arial" w:hAnsi="Arial"/>
      <w:sz w:val="20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3E014D-DD06-4525-B0BB-25B071ACD5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631</Words>
  <Characters>3600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Tankhun Luengchaicharn</cp:lastModifiedBy>
  <cp:revision>5</cp:revision>
  <dcterms:created xsi:type="dcterms:W3CDTF">2026-07-17T20:45:00Z</dcterms:created>
  <dcterms:modified xsi:type="dcterms:W3CDTF">2026-08-18T18:56:00Z</dcterms:modified>
</cp:coreProperties>
</file>