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3864"/>
          <w:sz w:val="52"/>
          <w:szCs w:val="52"/>
        </w:rPr>
        <w:t xml:space="preserve">BNPL COMMAND CENTER</w:t>
      </w:r>
    </w:p>
    <w:p>
      <w:pPr>
        <w:spacing w:after="800" w:before="200"/>
        <w:jc w:val="center"/>
      </w:pPr>
      <w:r>
        <w:rPr>
          <w:color w:val="444444"/>
          <w:sz w:val="30"/>
          <w:szCs w:val="30"/>
        </w:rPr>
        <w:t xml:space="preserve">Power BI Build Guide</w:t>
      </w: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Step-by-step instructions for building the internal Risk Exposure Dashboard (FRD Screen S7) in Power BI Desktop</w:t>
      </w:r>
    </w:p>
    <w:p>
      <w:pPr>
        <w:spacing w:before="1200"/>
      </w:pP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4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Power BI Build Guide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2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BNPL Command Center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BRD v1.0, FRD v1.0 (Screen S7), SQL deliverable (Q11 funnel)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2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[Your Name]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September 2026</w:t>
            </w:r>
          </w:p>
        </w:tc>
      </w:tr>
    </w:tbl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1. Purpose and Prerequisites</w:t>
      </w:r>
    </w:p>
    <w:p>
      <w:pPr>
        <w:spacing w:after="160"/>
      </w:pPr>
      <w:r>
        <w:t xml:space="preserve">This guide turns the star-schema data files in this folder's data/ subfolder into a working Power BI dashboard — the same dashboard the FRD calls Screen S7 (Internal Risk Exposure Dashboard, staff-facing), used by Risk &amp; Compliance and Product staff to see stacking exposure, late-payment trends, and the consolidation funnel at a glance.</w:t>
      </w:r>
    </w:p>
    <w:p>
      <w:pPr>
        <w:spacing w:after="160"/>
      </w:pPr>
      <w:r>
        <w:t xml:space="preserve">What you need: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Power BI Desktop — free, Windows only. Download from Microsoft's official site if it isn't already installed.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5 CSV files in data/: dim_customer.csv, dim_provider.csv, dim_date.csv, fact_obligation.csv, fact_offer.csv.</w:t>
      </w:r>
    </w:p>
    <w:p>
      <w:pPr>
        <w:spacing w:after="160"/>
      </w:pPr>
      <w:r>
        <w:t xml:space="preserve">Why no finished .pbix file is included: Power BI Desktop is a Windows desktop application and cannot run inside the cloud workspace this project was built in. More importantly, building the model and the report by hand — rather than opening a file someone else already built — is how the Power BI skill actually forms. Follow the steps below at your own pace; there is no wrong speed.</w:t>
      </w:r>
    </w:p>
    <w:p>
      <w:pPr>
        <w:pStyle w:val="Heading1"/>
        <w:spacing w:after="160" w:before="360"/>
      </w:pPr>
      <w:r>
        <w:t xml:space="preserve">2. The Data Model (Star Schema)</w:t>
      </w:r>
    </w:p>
    <w:p>
      <w:pPr>
        <w:spacing w:after="160"/>
      </w:pPr>
      <w:r>
        <w:t xml:space="preserve">This project uses a star schema — the standard data modeling pattern for BI tools (Power BI, Tableau, and most data warehouses). It splits data into two kinds of tables: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Fact tables — the events being measured. Here: fact_obligation (one row per BNPL repayment cycle) and fact_offer (one row per consolidation loan offer). Fact tables are usually long (many rows) and narrow (mostly numbers and foreign keys).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Dimension tables — the things the events happened to or on. Here: dim_customer (who), dim_provider (which BNPL provider), dim_date (when). Dimension tables are usually short and wide (mostly descriptive text).</w:t>
      </w:r>
    </w:p>
    <w:p>
      <w:pPr>
        <w:spacing w:after="160"/>
      </w:pPr>
      <w:r>
        <w:t xml:space="preserve">The shape (why it's called a 'star'):</w:t>
      </w:r>
    </w:p>
    <w:tbl>
      <w:tblPr>
        <w:tblW w:type="dxa" w:w="9240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7F9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Star schema — fact tables in the center, dimensions around them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dim_customer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|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| CustomerID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|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dim_provider ---- fact_obligation ---- dim_date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ProviderID            |              DueDateKey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|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(also used by)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|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fact_offer ---- dim_date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|           OfferDateKey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CustomerID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(back to dim_customer)</w:t>
            </w:r>
          </w:p>
        </w:tc>
      </w:tr>
    </w:tbl>
    <w:p>
      <w:pPr>
        <w:spacing w:after="160"/>
      </w:pPr>
      <w:r>
        <w:t xml:space="preserve">Table reference: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000"/>
        <w:gridCol w:w="264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Grain (1 row =)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6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Row Count (sample data)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dim_customer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customer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CustomerID</w:t>
            </w:r>
          </w:p>
        </w:tc>
        <w:tc>
          <w:tcPr>
            <w:tcW w:type="dxa" w:w="2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dim_provider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BNPL provider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ProviderID</w:t>
            </w:r>
          </w:p>
        </w:tc>
        <w:tc>
          <w:tcPr>
            <w:tcW w:type="dxa" w:w="26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dim_date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calendar date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DateKey</w:t>
            </w:r>
          </w:p>
        </w:tc>
        <w:tc>
          <w:tcPr>
            <w:tcW w:type="dxa" w:w="2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67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fact_obligation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repayment cycle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ObligationID</w:t>
            </w:r>
          </w:p>
        </w:tc>
        <w:tc>
          <w:tcPr>
            <w:tcW w:type="dxa" w:w="26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fact_offer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consolidation offer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OfferID</w:t>
            </w:r>
          </w:p>
        </w:tc>
        <w:tc>
          <w:tcPr>
            <w:tcW w:type="dxa" w:w="2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pPr>
        <w:spacing w:after="160"/>
      </w:pPr>
      <w:r>
        <w:t xml:space="preserve">Why bother with a star schema instead of one big flat table? Two reasons that matter in real BI work: (1) it avoids repeating customer/provider details on every single transaction row, which keeps the file size down and avoids inconsistent copies of the same fact; (2) Power BI's DAX language is specifically optimized to calculate across relationships between fact and dimension tables — most performance problems in real Power BI reports trace back to someone not using a star schema.</w:t>
      </w:r>
    </w:p>
    <w:p>
      <w:pPr>
        <w:pStyle w:val="Heading1"/>
        <w:spacing w:after="160" w:before="360"/>
      </w:pPr>
      <w:r>
        <w:t xml:space="preserve">3. Step 1 — Import the Data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Open Power BI Desktop. Choose Get Data -&gt; Text/CSV.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Select dim_customer.csv. Power BI will preview the data — check that the column types look right (CustomerID as Whole Number, MonthlyIncome as Decimal Number, etc.), then click Load.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Repeat for dim_provider.csv, dim_date.csv, fact_obligation.csv, and fact_offer.csv.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 the Fields pane (right side), confirm all 5 tables now appear.</w:t>
      </w:r>
    </w:p>
    <w:p>
      <w:pPr>
        <w:spacing w:after="160"/>
      </w:pPr>
      <w:r>
        <w:t xml:space="preserve">Tip: if a date column loads as text instead of a date, click the column header in Power Query Editor (Transform Data) and change its type to Date before loading — DAX date functions and Power BI's built-in date hierarchy both depend on the column actually being typed as a date, not text that merely looks like one.</w:t>
      </w:r>
    </w:p>
    <w:p>
      <w:pPr>
        <w:pStyle w:val="Heading1"/>
        <w:spacing w:after="160" w:before="360"/>
      </w:pPr>
      <w:r>
        <w:t xml:space="preserve">4. Step 2 — Build the Relationships (Model View)</w:t>
      </w:r>
    </w:p>
    <w:p>
      <w:pPr>
        <w:spacing w:after="160"/>
      </w:pPr>
      <w:r>
        <w:t xml:space="preserve">Switch to Model view (the icon on the left sidebar that looks like connected boxes). Power BI often auto-detects relationships when column names match exactly — verify every one rather than trusting it blindly, since a wrong auto-detected relationship silently produces wrong numbers everywhere downstream.</w:t>
      </w:r>
    </w:p>
    <w:p>
      <w:pPr>
        <w:spacing w:after="160"/>
      </w:pPr>
      <w:r>
        <w:t xml:space="preserve">Create these relationships by dragging from the first column to the second (or use Manage Relationships -&gt; New if autodetect already created one and you're checking it):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1600"/>
        <w:gridCol w:w="184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18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Cross-filter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fact_obligation[CustomerID]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dim_customer[CustomerID]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Many-to-one</w:t>
            </w:r>
          </w:p>
        </w:tc>
        <w:tc>
          <w:tcPr>
            <w:tcW w:type="dxa" w:w="1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fact_obligation[ProviderID]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dim_provider[ProviderID]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Many-to-one</w:t>
            </w:r>
          </w:p>
        </w:tc>
        <w:tc>
          <w:tcPr>
            <w:tcW w:type="dxa" w:w="18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fact_obligation[DueDateKey]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dim_date[DateKey]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Many-to-one</w:t>
            </w:r>
          </w:p>
        </w:tc>
        <w:tc>
          <w:tcPr>
            <w:tcW w:type="dxa" w:w="1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fact_offer[CustomerID]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dim_customer[CustomerID]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Many-to-one</w:t>
            </w:r>
          </w:p>
        </w:tc>
        <w:tc>
          <w:tcPr>
            <w:tcW w:type="dxa" w:w="18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fact_offer[OfferDateKey]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dim_date[DateKey]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Many-to-one</w:t>
            </w:r>
          </w:p>
        </w:tc>
        <w:tc>
          <w:tcPr>
            <w:tcW w:type="dxa" w:w="1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</w:t>
            </w:r>
          </w:p>
        </w:tc>
      </w:tr>
    </w:tbl>
    <w:p>
      <w:pPr>
        <w:spacing w:after="160"/>
      </w:pPr>
      <w:r>
        <w:t xml:space="preserve">'Many-to-one, Single direction' is the correct choice for every one of these: many obligation rows point to one customer, and filtering a dimension (e.g. picking one Segment in dim_customer) should filter the fact table, not the other way around. If Power BI proposes 'Both' for cross-filter direction on any of these, change it to Single — bidirectional filtering between a fact and its dimensions is a common source of double-counted totals later.</w:t>
      </w:r>
    </w:p>
    <w:p>
      <w:pPr>
        <w:pStyle w:val="Heading1"/>
        <w:spacing w:after="160" w:before="360"/>
      </w:pPr>
      <w:r>
        <w:t xml:space="preserve">5. Step 3 — Write the DAX Measures</w:t>
      </w:r>
    </w:p>
    <w:p>
      <w:pPr>
        <w:spacing w:after="160"/>
      </w:pPr>
      <w:r>
        <w:t xml:space="preserve">A measure is a calculation that responds to whatever filters are active on the report (a slicer, a visual, a drill-down) — this is what makes a Power BI report interactive instead of static. Create each of these with Home -&gt; New Measure, typing the formula exactly as shown, on the table named in the heading.</w:t>
      </w:r>
    </w:p>
    <w:p>
      <w:pPr>
        <w:pStyle w:val="Heading2"/>
        <w:spacing w:after="120" w:before="280"/>
      </w:pPr>
      <w:r>
        <w:t xml:space="preserve">5.1 Total Expected Amount (on fact_obligation)</w:t>
      </w:r>
    </w:p>
    <w:tbl>
      <w:tblPr>
        <w:tblW w:type="dxa" w:w="9240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7F9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New Measure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Total Expected Amount = SUM(fact_obligation[ExpectedAmount])</w:t>
            </w:r>
          </w:p>
        </w:tc>
      </w:tr>
    </w:tbl>
    <w:p>
      <w:pPr>
        <w:pStyle w:val="Heading2"/>
        <w:spacing w:after="120" w:before="280"/>
      </w:pPr>
      <w:r>
        <w:t xml:space="preserve">5.2 Total Actual Paid (on fact_obligation)</w:t>
      </w:r>
    </w:p>
    <w:tbl>
      <w:tblPr>
        <w:tblW w:type="dxa" w:w="9240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7F9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New Measure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Total Actual Paid = SUM(fact_obligation[ActualPaidAmount])</w:t>
            </w:r>
          </w:p>
        </w:tc>
      </w:tr>
    </w:tbl>
    <w:p>
      <w:pPr>
        <w:pStyle w:val="Heading2"/>
        <w:spacing w:after="120" w:before="280"/>
      </w:pPr>
      <w:r>
        <w:t xml:space="preserve">5.3 Total Late Fees Charged (on fact_obligation)</w:t>
      </w:r>
    </w:p>
    <w:tbl>
      <w:tblPr>
        <w:tblW w:type="dxa" w:w="9240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7F9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New Measure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Total Late Fees Charged = SUM(fact_obligation[ExtraCharged])</w:t>
            </w:r>
          </w:p>
        </w:tc>
      </w:tr>
    </w:tbl>
    <w:p>
      <w:pPr>
        <w:spacing w:after="160"/>
      </w:pPr>
      <w:r>
        <w:t xml:space="preserve">ExtraCharged is already pre-calculated in the fact table (ActualPaidAmount minus ExpectedAmount) — the same technique used in the SQL and Excel deliverables: compute it once upstream, then just SUM it everywhere downstream instead of re-deriving it in every report.</w:t>
      </w:r>
    </w:p>
    <w:p>
      <w:pPr>
        <w:pStyle w:val="Heading2"/>
        <w:spacing w:after="120" w:before="280"/>
      </w:pPr>
      <w:r>
        <w:t xml:space="preserve">5.4 Late Payment Rate % (on fact_obligation)</w:t>
      </w:r>
    </w:p>
    <w:tbl>
      <w:tblPr>
        <w:tblW w:type="dxa" w:w="9240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7F9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New Measure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Late Payment Rate % =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DIVIDE(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CALCULATE(COUNTROWS(fact_obligation), fact_obligation[DaysLate] &gt; 3),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COUNTROWS(fact_obligation)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</w:t>
            </w:r>
          </w:p>
        </w:tc>
      </w:tr>
    </w:tbl>
    <w:p>
      <w:pPr>
        <w:spacing w:after="160"/>
      </w:pPr>
      <w:r>
        <w:t xml:space="preserve">DIVIDE (rather than the plain / operator) is the standard DAX habit here — it returns blank instead of an error when the denominator is zero, which matters the moment a filter narrows the report down to a provider or month with no rows.</w:t>
      </w:r>
    </w:p>
    <w:p>
      <w:pPr>
        <w:pStyle w:val="Heading2"/>
        <w:spacing w:after="120" w:before="280"/>
      </w:pPr>
      <w:r>
        <w:t xml:space="preserve">5.5 Stacked Customer Count (on dim_customer)</w:t>
      </w:r>
    </w:p>
    <w:tbl>
      <w:tblPr>
        <w:tblW w:type="dxa" w:w="9240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7F9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New Measure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Stacked Customer Count =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CALCULATE(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DISTINCTCOUNT(dim_customer[CustomerID]),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dim_customer[Segment] IN {"Stacked - healthy", "Stacked - at risk"}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</w:t>
            </w:r>
          </w:p>
        </w:tc>
      </w:tr>
    </w:tbl>
    <w:p>
      <w:pPr>
        <w:spacing w:after="160"/>
      </w:pPr>
      <w:r>
        <w:t xml:space="preserve">This measure reads the Segment column that was already computed upstream (the same CASE WHEN logic from SQL Q9). This is a realistic and common pattern in BI work: some business logic lives in the data model (computed once, upstream, in SQL) and some lives in DAX (computed live, for interactivity) — deciding which goes where is itself a BA/DA skill worth thinking about deliberately, not an accident.</w:t>
      </w:r>
    </w:p>
    <w:p>
      <w:pPr>
        <w:pStyle w:val="Heading2"/>
        <w:spacing w:after="120" w:before="280"/>
      </w:pPr>
      <w:r>
        <w:t xml:space="preserve">5.6 Consolidation Candidate Count (on dim_customer)</w:t>
      </w:r>
    </w:p>
    <w:tbl>
      <w:tblPr>
        <w:tblW w:type="dxa" w:w="9240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7F9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New Measure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Consolidation Candidate Count =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CALCULATE(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DISTINCTCOUNT(dim_customer[CustomerID]),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dim_customer[Segment] = "Stacked - at risk"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</w:t>
            </w:r>
          </w:p>
        </w:tc>
      </w:tr>
    </w:tbl>
    <w:p>
      <w:pPr>
        <w:pStyle w:val="Heading2"/>
        <w:spacing w:after="120" w:before="280"/>
      </w:pPr>
      <w:r>
        <w:t xml:space="preserve">5.7 Screening Pass Rate % (on dim_customer)</w:t>
      </w:r>
    </w:p>
    <w:tbl>
      <w:tblPr>
        <w:tblW w:type="dxa" w:w="9240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7F9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New Measure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Screening Pass Rate % =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DIVIDE(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CALCULATE(COUNTROWS(dim_customer), dim_customer[EligibilityOutcome] = "Eligible"),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CALCULATE(COUNTROWS(dim_customer), dim_customer[EligibilityOutcome] &lt;&gt; "Not Screened")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</w:t>
            </w:r>
          </w:p>
        </w:tc>
      </w:tr>
    </w:tbl>
    <w:p>
      <w:pPr>
        <w:pStyle w:val="Heading2"/>
        <w:spacing w:after="120" w:before="280"/>
      </w:pPr>
      <w:r>
        <w:t xml:space="preserve">5.8 Offer Acceptance Rate % (on fact_offer)</w:t>
      </w:r>
    </w:p>
    <w:tbl>
      <w:tblPr>
        <w:tblW w:type="dxa" w:w="9240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7F9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New Measure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Offer Acceptance Rate % =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DIVIDE(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CALCULATE(COUNTROWS(fact_offer), fact_offer[Status] = "Accepted"),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COUNTROWS(fact_offer)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</w:t>
            </w:r>
          </w:p>
        </w:tc>
      </w:tr>
    </w:tbl>
    <w:p>
      <w:pPr>
        <w:pStyle w:val="Heading2"/>
        <w:spacing w:after="120" w:before="280"/>
      </w:pPr>
      <w:r>
        <w:t xml:space="preserve">5.9 Estimated Monthly Interest Revenue (on fact_offer)</w:t>
      </w:r>
    </w:p>
    <w:tbl>
      <w:tblPr>
        <w:tblW w:type="dxa" w:w="9240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shd w:fill="F7F9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New Measure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Estimated Monthly Interest Revenue =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CALCULATE(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SUMX(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fact_offer,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fact_offer[TotalAmount] * fact_offer[OfferedRatePct] / 12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fact_offer[Status] = "Accepted"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</w:t>
            </w:r>
          </w:p>
        </w:tc>
      </w:tr>
    </w:tbl>
    <w:p>
      <w:pPr>
        <w:spacing w:after="160"/>
      </w:pPr>
      <w:r>
        <w:t xml:space="preserve">SUMX is a row-by-row iterator: it computes TotalAmount * OfferedRatePct / 12 separately for each accepted offer row, then adds up the results. This matters because OfferedRatePct differs slightly between customers (14-15% in the sample data) — a plain SUM(TotalAmount) * average rate would give a slightly wrong answer, while SUMX gets it exactly right by calculating per-row before summing. This is the single most-tested DAX concept in real interviews: knowing when a calculation needs an iterator (X-suffixed function) instead of a plain aggregate.</w:t>
      </w:r>
    </w:p>
    <w:p>
      <w:pPr>
        <w:pStyle w:val="Heading1"/>
        <w:spacing w:after="160" w:before="360"/>
      </w:pPr>
      <w:r>
        <w:t xml:space="preserve">6. Step 4 — Build the Report Pages</w:t>
      </w:r>
    </w:p>
    <w:p>
      <w:pPr>
        <w:spacing w:after="160"/>
      </w:pPr>
      <w:r>
        <w:t xml:space="preserve">Create 4 report pages (right-click the page tab at the bottom -&gt; rename). Suggested layout for each:</w:t>
      </w:r>
    </w:p>
    <w:p>
      <w:pPr>
        <w:pStyle w:val="Heading2"/>
        <w:spacing w:after="120" w:before="280"/>
      </w:pPr>
      <w:r>
        <w:t xml:space="preserve">6.1 Page 1 — Executive Overview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Card visuals across the top: Stacked Customer Count, Consolidation Candidate Count, Screening Pass Rate %, Offer Acceptance Rate %.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Funnel visual: Power BI's star schema doesn't have a single 'funnel stage' column, so build a small manual table first — Home -&gt; Enter Data -&gt; two columns, Stage and Count -&gt; type in the 5 rows from the SQL/Excel funnel deliverables (Total Customers, Stacked, Stacked+Late, Passed Screening, Accepted Offer) -&gt; Load. Then build the Funnel visual from that table's Stage (Category) and Count (Values).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Line chart: DueDateKey (from dim_date, by Month) on the X-axis, Total Late Fees Charged on the Y-axis — shows whether late fees are trending up or down month over month.</w:t>
      </w:r>
    </w:p>
    <w:p>
      <w:pPr>
        <w:pStyle w:val="Heading2"/>
        <w:spacing w:after="120" w:before="280"/>
      </w:pPr>
      <w:r>
        <w:t xml:space="preserve">6.2 Page 2 — Provider Analysis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Clustered bar chart: ProviderName (dim_provider) on the axis, Total Expected Amount and Total Actual Paid as two value fields — read the gap between the two bars per provider to see which provider's customers get charged the most in penalties relative to what they originally owed.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Table visual: ProviderName, TypicalLateRatePct, Total Late Fees Charged, sorted descending by Total Late Fees Charged.</w:t>
      </w:r>
    </w:p>
    <w:p>
      <w:pPr>
        <w:pStyle w:val="Heading2"/>
        <w:spacing w:after="120" w:before="280"/>
      </w:pPr>
      <w:r>
        <w:t xml:space="preserve">6.3 Page 3 — Customer Segment Drilldown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Slicer: dim_customer[Segment].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Matrix visual: Rows = dim_customer[FullName], Values = Total Expected Amount, Total Actual Paid, Total Late Fees Charged — lets Risk &amp; Compliance staff click a segment in the slicer and see exactly which customers make it up.</w:t>
      </w:r>
    </w:p>
    <w:p>
      <w:pPr>
        <w:pStyle w:val="Heading2"/>
        <w:spacing w:after="120" w:before="280"/>
      </w:pPr>
      <w:r>
        <w:t xml:space="preserve">6.4 Page 4 — Revenue &amp; Offers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 Card visuals: Estimated Monthly Interest Revenue, Offer Acceptance Rate %.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Stacked bar chart: fact_offer[Status] on the axis, Count of OfferID as the value — shows Offered vs. Accepted vs. Declined at a glance.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Table visual: FullName (via the CustomerID relationship), TotalAmount, OfferedRatePct, Status — the same information as the Raw_Offers tab in the Excel deliverable, now filterable and drillable instead of static.</w:t>
      </w:r>
    </w:p>
    <w:p>
      <w:pPr>
        <w:pStyle w:val="Heading1"/>
        <w:spacing w:after="160" w:before="360"/>
      </w:pPr>
      <w:r>
        <w:t xml:space="preserve">7. Step 5 — Polish and (Optionally) Publish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 a consistent theme: View -&gt; Themes -&gt; pick one, or match the navy/light-blue palette used in the BRD and FRD documents for visual consistency across the whole project.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 every visual a clear title (double-click it) — a report meant for someone else to read should never require the presenter to explain what a chart is showing.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Publishing to the Power BI Service (the cloud version, for sharing with others) requires a Microsoft/Power BI account — optional, and not required for this to count as a complete, working deliverable on your own machine.</w:t>
      </w:r>
    </w:p>
    <w:p>
      <w:pPr>
        <w:pStyle w:val="Heading1"/>
        <w:spacing w:after="160" w:before="360"/>
      </w:pPr>
      <w:r>
        <w:t xml:space="preserve">8. Appendix — Data Dictionary</w:t>
      </w:r>
    </w:p>
    <w:p>
      <w:pPr>
        <w:pStyle w:val="Heading2"/>
        <w:spacing w:after="120" w:before="280"/>
      </w:pPr>
      <w:r>
        <w:t xml:space="preserve">dim_customer.csv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84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4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key.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FullName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MonthlyIncome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Decimal Number</w:t>
            </w:r>
          </w:p>
        </w:tc>
        <w:tc>
          <w:tcPr>
            <w:tcW w:type="dxa" w:w="4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Self-declared monthly income, THB.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CreditScore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48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Blank if the customer was never screened (not yet a Consolidation Candidate).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DSR_Pct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Decimal Number</w:t>
            </w:r>
          </w:p>
        </w:tc>
        <w:tc>
          <w:tcPr>
            <w:tcW w:type="dxa" w:w="4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Debt-Service Ratio, as a percentage.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EligibilityOutcome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'Eligible', 'Not Eligible', or 'Not Screened'.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Segment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'Not a BNPL user' / 'Single provider' / 'Stacked - healthy' / 'Stacked - at risk'.</w:t>
            </w:r>
          </w:p>
        </w:tc>
      </w:tr>
    </w:tbl>
    <w:p>
      <w:pPr>
        <w:pStyle w:val="Heading2"/>
        <w:spacing w:after="120" w:before="280"/>
      </w:pPr>
      <w:r>
        <w:t xml:space="preserve">dim_provider.csv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84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ProviderID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4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key.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ProviderName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TypicalLateRatePct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Decimal Number</w:t>
            </w:r>
          </w:p>
        </w:tc>
        <w:tc>
          <w:tcPr>
            <w:tcW w:type="dxa" w:w="4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Annualised penalty interest rate once a payment is late.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ReportsToCreditBureau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True/False</w:t>
            </w:r>
          </w:p>
        </w:tc>
        <w:tc>
          <w:tcPr>
            <w:tcW w:type="dxa" w:w="48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Only Shopee SPayLater reports to Thailand's National Credit Bureau as of the sample data.</w:t>
            </w:r>
          </w:p>
        </w:tc>
      </w:tr>
    </w:tbl>
    <w:p>
      <w:pPr>
        <w:pStyle w:val="Heading2"/>
        <w:spacing w:after="120" w:before="280"/>
      </w:pPr>
      <w:r>
        <w:t xml:space="preserve">dim_date.csv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84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DateKey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key. One row per date that appears in either fact table.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Year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48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4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1-12.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MonthName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Quarter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'Q1', 'Q2', etc.</w:t>
            </w:r>
          </w:p>
        </w:tc>
      </w:tr>
    </w:tbl>
    <w:p>
      <w:pPr>
        <w:pStyle w:val="Heading2"/>
        <w:spacing w:after="120" w:before="280"/>
      </w:pPr>
      <w:r>
        <w:t xml:space="preserve">fact_obligation.csv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84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ObligationID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4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key.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CustomerID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48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Foreign key -&gt; dim_customer.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ProviderID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4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Foreign key -&gt; dim_provider.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DueDateKey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8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Foreign key -&gt; dim_date.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ExpectedAmount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Decimal Number</w:t>
            </w:r>
          </w:p>
        </w:tc>
        <w:tc>
          <w:tcPr>
            <w:tcW w:type="dxa" w:w="4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THB.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ActualPaidAmount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Decimal Number</w:t>
            </w:r>
          </w:p>
        </w:tc>
        <w:tc>
          <w:tcPr>
            <w:tcW w:type="dxa" w:w="48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THB.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DaysLate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4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 if paid on time.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Cycle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48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Which installment cycle (1st, 2nd, 3rd...).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ExtraCharged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Decimal Number</w:t>
            </w:r>
          </w:p>
        </w:tc>
        <w:tc>
          <w:tcPr>
            <w:tcW w:type="dxa" w:w="4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ActualPaidAmount minus ExpectedAmount, pre-calculated.</w:t>
            </w:r>
          </w:p>
        </w:tc>
      </w:tr>
    </w:tbl>
    <w:p>
      <w:pPr>
        <w:pStyle w:val="Heading2"/>
        <w:spacing w:after="120" w:before="280"/>
      </w:pPr>
      <w:r>
        <w:t xml:space="preserve">fact_offer.csv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84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OfferID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4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key.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CustomerID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48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Foreign key -&gt; dim_customer.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OfferDateKey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Foreign key -&gt; dim_date.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TotalAmount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Decimal Number</w:t>
            </w:r>
          </w:p>
        </w:tc>
        <w:tc>
          <w:tcPr>
            <w:tcW w:type="dxa" w:w="48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THB.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OfferedRatePct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Decimal Number</w:t>
            </w:r>
          </w:p>
        </w:tc>
        <w:tc>
          <w:tcPr>
            <w:tcW w:type="dxa" w:w="4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Annual interest rate offered.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MonthlyPayment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Decimal Number</w:t>
            </w:r>
          </w:p>
        </w:tc>
        <w:tc>
          <w:tcPr>
            <w:tcW w:type="dxa" w:w="48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THB.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'Offered', 'Accepted', or 'Declined'.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BNPL Command Center — Power BI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2026-09-06T08:30:29.674Z</dcterms:created>
  <dcterms:modified xsi:type="dcterms:W3CDTF">2026-09-06T08:30:29.674Z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