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BNPL COMMAND CENTER</w:t>
      </w:r>
    </w:p>
    <w:p>
      <w:pPr>
        <w:spacing w:after="200"/>
      </w:pPr>
      <w:r>
        <w:rPr>
          <w:i/>
          <w:iCs/>
          <w:color w:val="595959"/>
          <w:sz w:val="18"/>
          <w:szCs w:val="18"/>
        </w:rPr>
        <w:t xml:space="preserve">Cross-Provider BNPL Aggregation &amp; Debt Consolidation Platform — Thailand</w:t>
      </w:r>
    </w:p>
    <w:p>
      <w:pPr>
        <w:spacing w:after="260"/>
      </w:pPr>
      <w:r>
        <w:rPr>
          <w:b/>
          <w:bCs/>
          <w:color w:val="1F3864"/>
          <w:sz w:val="36"/>
          <w:szCs w:val="36"/>
        </w:rPr>
        <w:t xml:space="preserve">BUSINESS REQUIREMENTS DOCUMENT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Document Title</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Business Requirements Document (BRD)</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Project Name</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BNPL Command Center</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Document Version</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v1.0</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Status</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Draft</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Date</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September 2026</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Prepared By</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[Your Name], Business Analyst</w:t>
            </w:r>
          </w:p>
        </w:tc>
      </w:tr>
      <w:tr>
        <w:tc>
          <w:tcPr>
            <w:tcW w:type="dxa" w:w="3000"/>
            <w:tcBorders>
              <w:top w:val="single" w:color="B7B7B7" w:sz="2"/>
              <w:left w:val="single" w:color="B7B7B7" w:sz="2"/>
              <w:bottom w:val="single" w:color="B7B7B7" w:sz="2"/>
              <w:right w:val="single" w:color="B7B7B7" w:sz="2"/>
            </w:tcBorders>
            <w:shd w:fill="DCE6F1" w:val="clear"/>
            <w:tcMar>
              <w:top w:type="dxa" w:w="80"/>
              <w:left w:type="dxa" w:w="100"/>
              <w:bottom w:type="dxa" w:w="80"/>
              <w:right w:type="dxa" w:w="100"/>
            </w:tcMar>
            <w:vAlign w:val="center"/>
          </w:tcPr>
          <w:p>
            <w:pPr>
              <w:jc w:val="left"/>
            </w:pPr>
            <w:r>
              <w:rPr>
                <w:b/>
                <w:bCs/>
                <w:sz w:val="18"/>
                <w:szCs w:val="18"/>
              </w:rPr>
              <w:t xml:space="preserve">Approved By</w:t>
            </w:r>
          </w:p>
        </w:tc>
        <w:tc>
          <w:tcPr>
            <w:tcW w:type="dxa" w:w="74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[Pending Review]</w:t>
            </w:r>
          </w:p>
        </w:tc>
      </w:tr>
    </w:tbl>
    <w:p>
      <w:pPr>
        <w:spacing w:after="200"/>
      </w:pPr>
    </w:p>
    <w:p>
      <w:pPr>
        <w:pStyle w:val="Heading1"/>
        <w:pBdr>
          <w:bottom w:val="single" w:color="1F3864" w:sz="6" w:space="4"/>
        </w:pBdr>
        <w:spacing w:after="140" w:before="320"/>
      </w:pPr>
      <w:r>
        <w:rPr>
          <w:b/>
          <w:bCs/>
          <w:color w:val="1F3864"/>
          <w:sz w:val="27"/>
          <w:szCs w:val="27"/>
        </w:rPr>
        <w:t xml:space="preserve">1.  Executive Summary</w:t>
      </w:r>
    </w:p>
    <w:p>
      <w:pPr>
        <w:spacing w:after="160" w:line="276" w:lineRule="auto"/>
        <w:jc w:val="both"/>
      </w:pPr>
      <w:r>
        <w:t xml:space="preserve">Thailand's Buy Now Pay Later (BNPL) market has grown to about 4.91 million accounts and 17.9 billion baht in value, growing close to 100% per year. Customers can hold BNPL loans with several providers at the same time (Atome, Shopee SPayLater, Lazada PayLater, TrueMoney Next), and no single provider can see what a customer owes the others. This creates a "loan stacking" blind spot that will become a serious business risk once the Bank of Thailand (BOT) introduces new BNPL licensing rules, expected in Q4 2026.</w:t>
      </w:r>
    </w:p>
    <w:p>
      <w:pPr>
        <w:spacing w:after="160" w:line="276" w:lineRule="auto"/>
        <w:jc w:val="both"/>
      </w:pPr>
      <w:r>
        <w:t xml:space="preserve">This document defines the business requirements for BNPL Command Center: an app that reads a customer's own bank transaction history to detect payments to BNPL providers, brings every BNPL obligation into one view, auto-pays them on the customer's behalf, and — for a specific, carefully screened group of customers who are falling behind on payments — offers a debt consolidation loan. The platform is delivered to consumers as a licensed, embedded feature inside a partner bank’s own existing app — not as a separate app customers must find, trust, and download on their own — so adoption rides on the reach and trust the partner bank already has with its customers. The business case is grounded in a real event: in April 2026, Kasikorn Investure (a KBank group company) acquired more than 50% of Atome Thailand, giving a major Thai bank direct exposure to this problem for the first time.</w:t>
      </w:r>
    </w:p>
    <w:p>
      <w:pPr>
        <w:spacing w:after="160" w:line="276" w:lineRule="auto"/>
        <w:jc w:val="both"/>
      </w:pPr>
      <w:r>
        <w:t xml:space="preserve">This BRD, together with the companion Functional Requirements Document (FRD), forms the foundation for the data, analytics, and dashboard deliverables built later in this project (SQL, Excel, Power BI, Tableau).</w:t>
      </w:r>
    </w:p>
    <w:p>
      <w:pPr>
        <w:pStyle w:val="Heading1"/>
        <w:pBdr>
          <w:bottom w:val="single" w:color="1F3864" w:sz="6" w:space="4"/>
        </w:pBdr>
        <w:spacing w:after="140" w:before="320"/>
      </w:pPr>
      <w:r>
        <w:rPr>
          <w:b/>
          <w:bCs/>
          <w:color w:val="1F3864"/>
          <w:sz w:val="27"/>
          <w:szCs w:val="27"/>
        </w:rPr>
        <w:t xml:space="preserve">2.  Business Problem and Background</w:t>
      </w:r>
    </w:p>
    <w:p>
      <w:pPr>
        <w:pStyle w:val="Heading2"/>
        <w:spacing w:after="100" w:before="200"/>
      </w:pPr>
      <w:r>
        <w:rPr>
          <w:b/>
          <w:bCs/>
          <w:color w:val="2E5B9A"/>
          <w:sz w:val="22"/>
          <w:szCs w:val="22"/>
        </w:rPr>
        <w:t xml:space="preserve">2.1  The Problem</w:t>
      </w:r>
    </w:p>
    <w:p>
      <w:pPr>
        <w:spacing w:after="160" w:line="276" w:lineRule="auto"/>
        <w:jc w:val="both"/>
      </w:pPr>
      <w:r>
        <w:t xml:space="preserve">BNPL providers deliberately use light, fast credit checks ("soft checks") instead of full credit bureau checks, because their business model depends on frictionless checkout — a full credit check would slow down purchases and hurt sales. As a result, each provider only sees its own relationship with a customer, not what the customer owes other BNPL providers. A customer can therefore build up a total BNPL debt load that no single lender is aware of.</w:t>
      </w:r>
    </w:p>
    <w:p>
      <w:pPr>
        <w:spacing w:after="160" w:line="276" w:lineRule="auto"/>
        <w:jc w:val="both"/>
      </w:pPr>
      <w:r>
        <w:t xml:space="preserve">Today, only Shopee SPayLater reports to Thailand's National Credit Bureau (NCB), and only since May 2025. Atome and TrueMoney Next show no evidence of reporting. This means there is currently no reliable, centralized way to see a customer's full BNPL exposure across providers.</w:t>
      </w:r>
    </w:p>
    <w:p>
      <w:pPr>
        <w:pStyle w:val="Heading2"/>
        <w:spacing w:after="100" w:before="200"/>
      </w:pPr>
      <w:r>
        <w:rPr>
          <w:b/>
          <w:bCs/>
          <w:color w:val="2E5B9A"/>
          <w:sz w:val="22"/>
          <w:szCs w:val="22"/>
        </w:rPr>
        <w:t xml:space="preserve">2.2  Why This Matters Now</w:t>
      </w:r>
    </w:p>
    <w:p>
      <w:pPr>
        <w:pStyle w:val="ListParagraph"/>
        <w:numPr>
          <w:ilvl w:val="0"/>
          <w:numId w:val="2"/>
        </w:numPr>
        <w:spacing w:after="90" w:line="264" w:lineRule="auto"/>
      </w:pPr>
      <w:r>
        <w:t xml:space="preserve">The Bank of Thailand is expected to introduce a formal BNPL licensing regime in Q4 2026 (public hearing around end of September 2026), including a minimum age of 18, an interest rate cap of 15–20% per year, and a loan limit of 20,000 baht per borrower. This limit applies per provider, not per customer — a customer holding accounts with three providers could still carry roughly 60,000 baht in combined BNPL debt after the new rules take effect, since no single provider can see the others' limits.</w:t>
      </w:r>
    </w:p>
    <w:p>
      <w:pPr>
        <w:pStyle w:val="ListParagraph"/>
        <w:numPr>
          <w:ilvl w:val="0"/>
          <w:numId w:val="2"/>
        </w:numPr>
        <w:spacing w:after="90" w:line="264" w:lineRule="auto"/>
      </w:pPr>
      <w:r>
        <w:t xml:space="preserve">In April 2026, Kasikorn Investure (part of the KBank financial group) acquired more than 50% of Atome Thailand — a major Thai bank now owns a BNPL business directly, with real balance-sheet exposure to this risk.</w:t>
      </w:r>
    </w:p>
    <w:p>
      <w:pPr>
        <w:pStyle w:val="ListParagraph"/>
        <w:numPr>
          <w:ilvl w:val="0"/>
          <w:numId w:val="2"/>
        </w:numPr>
        <w:spacing w:after="90" w:line="264" w:lineRule="auto"/>
      </w:pPr>
      <w:r>
        <w:t xml:space="preserve">BNPL late-payment penalties are steep across providers: SPayLater and LazPayLater both charge real interest of 15–25% per year the moment a payment is late, plus fixed late fees per billing cycle — regardless of whether the original plan was an interest-free promotion.</w:t>
      </w:r>
    </w:p>
    <w:p>
      <w:pPr>
        <w:pStyle w:val="Heading2"/>
        <w:spacing w:after="100" w:before="200"/>
      </w:pPr>
      <w:r>
        <w:rPr>
          <w:b/>
          <w:bCs/>
          <w:color w:val="2E5B9A"/>
          <w:sz w:val="22"/>
          <w:szCs w:val="22"/>
        </w:rPr>
        <w:t xml:space="preserve">2.3  Confirmed Market Gap</w:t>
      </w:r>
    </w:p>
    <w:p>
      <w:pPr>
        <w:spacing w:after="160" w:line="276" w:lineRule="auto"/>
        <w:jc w:val="both"/>
      </w:pPr>
      <w:r>
        <w:t xml:space="preserve">A structured search covering Thailand's top 10 personal finance apps, the closest comparable app (Piggipo, which tracks multiple credit cards but not BNPL), the major banking super-apps (K PLUS, SCB Easy, Krungthai NEXT), a recent SCB EIC industry report on BNPL risk (December 2025), and Thai fintech startups found no existing product that aggregates BNPL obligations across providers or offers this kind of consolidation service in Thailand. This is treated in this document as a confirmed, Thailand-specific market gap. Globally, two pieces of this concept already have real precedents, cited here rather than ignored: Cushion (US) already reconstructs a customer's BNPL loans across providers from bank transaction data for tracking purposes, and GDS Link (US) together with the Qlarifi–Equifax partnership (UK, announced September 2025) already sell banks and lenders a B2B service that aggregates cross-provider BNPL exposure data for underwriting and risk decisions. Neither exists in Thailand today. The one part of this concept that appears to be genuinely novel worldwide, not only in Thailand, is a loan product specifically designed to consolidate BNPL debt across providers into one new loan — no lender or fintech found anywhere, including Cushion, GDS Link, or Qlarifi, currently offers this. This BRD treats the Thailand market entry as the primary opportunity and the BNPL-specific consolidation loan as the project's most defensible global differentiator.</w:t>
      </w:r>
    </w:p>
    <w:p>
      <w:pPr>
        <w:pStyle w:val="Heading1"/>
        <w:pBdr>
          <w:bottom w:val="single" w:color="1F3864" w:sz="6" w:space="4"/>
        </w:pBdr>
        <w:spacing w:after="140" w:before="320"/>
      </w:pPr>
      <w:r>
        <w:rPr>
          <w:b/>
          <w:bCs/>
          <w:color w:val="1F3864"/>
          <w:sz w:val="27"/>
          <w:szCs w:val="27"/>
        </w:rPr>
        <w:t xml:space="preserve">3.  Business Objectives</w:t>
      </w:r>
    </w:p>
    <w:p>
      <w:pPr>
        <w:pStyle w:val="ListParagraph"/>
        <w:numPr>
          <w:ilvl w:val="0"/>
          <w:numId w:val="2"/>
        </w:numPr>
        <w:spacing w:after="90" w:line="264" w:lineRule="auto"/>
      </w:pPr>
      <w:r>
        <w:rPr>
          <w:b/>
          <w:bCs/>
        </w:rPr>
        <w:t xml:space="preserve">OBJ-01 — Cross-Provider Exposure Visibility:</w:t>
      </w:r>
      <w:r>
        <w:t xml:space="preserve"> Give the bank visibility into customers' total BNPL exposure across providers, not just its own product. Measured by the % of active BNPL customers with a stacking risk score.</w:t>
      </w:r>
    </w:p>
    <w:p>
      <w:pPr>
        <w:pStyle w:val="ListParagraph"/>
        <w:numPr>
          <w:ilvl w:val="0"/>
          <w:numId w:val="2"/>
        </w:numPr>
        <w:spacing w:after="90" w:line="264" w:lineRule="auto"/>
      </w:pPr>
      <w:r>
        <w:rPr>
          <w:b/>
          <w:bCs/>
        </w:rPr>
        <w:t xml:space="preserve">OBJ-02 — Reduced Late Fees for Customers:</w:t>
      </w:r>
      <w:r>
        <w:t xml:space="preserve"> Reduce avoidable late fees and penalty interest for customers. Measured by the number of missed payments avoided per month.</w:t>
      </w:r>
    </w:p>
    <w:p>
      <w:pPr>
        <w:pStyle w:val="ListParagraph"/>
        <w:numPr>
          <w:ilvl w:val="0"/>
          <w:numId w:val="2"/>
        </w:numPr>
        <w:spacing w:after="90" w:line="264" w:lineRule="auto"/>
      </w:pPr>
      <w:r>
        <w:rPr>
          <w:b/>
          <w:bCs/>
        </w:rPr>
        <w:t xml:space="preserve">OBJ-03 — New Recurring Revenue Without Competing on 0% Interest:</w:t>
      </w:r>
      <w:r>
        <w:t xml:space="preserve"> Generate new recurring revenue without competing on 0% interest and without charging customers directly for core features. Measured by B2B licensing revenue from partner banks.</w:t>
      </w:r>
    </w:p>
    <w:p>
      <w:pPr>
        <w:pStyle w:val="ListParagraph"/>
        <w:numPr>
          <w:ilvl w:val="0"/>
          <w:numId w:val="2"/>
        </w:numPr>
        <w:spacing w:after="90" w:line="264" w:lineRule="auto"/>
      </w:pPr>
      <w:r>
        <w:rPr>
          <w:b/>
          <w:bCs/>
        </w:rPr>
        <w:t xml:space="preserve">OBJ-04 — Responsible Consolidation Interest Income:</w:t>
      </w:r>
      <w:r>
        <w:t xml:space="preserve"> Generate new interest income by responsibly consolidating high-cost, fragmented BNPL debt. Measured by consolidation loan volume (THB) and interest income.</w:t>
      </w:r>
    </w:p>
    <w:p>
      <w:pPr>
        <w:pStyle w:val="ListParagraph"/>
        <w:numPr>
          <w:ilvl w:val="0"/>
          <w:numId w:val="2"/>
        </w:numPr>
        <w:spacing w:after="90" w:line="264" w:lineRule="auto"/>
      </w:pPr>
      <w:r>
        <w:rPr>
          <w:b/>
          <w:bCs/>
        </w:rPr>
        <w:t xml:space="preserve">OBJ-05 — Protection From Irresponsible-Lending Risk:</w:t>
      </w:r>
      <w:r>
        <w:t xml:space="preserve"> Protect the bank from irresponsible lending risk. Measured by the % of consolidation offers correctly rejected by underwriting rules.</w:t>
      </w:r>
    </w:p>
    <w:p>
      <w:pPr>
        <w:pStyle w:val="ListParagraph"/>
        <w:numPr>
          <w:ilvl w:val="0"/>
          <w:numId w:val="2"/>
        </w:numPr>
        <w:spacing w:after="90" w:line="264" w:lineRule="auto"/>
      </w:pPr>
      <w:r>
        <w:rPr>
          <w:b/>
          <w:bCs/>
        </w:rPr>
        <w:t xml:space="preserve">OBJ-06 — Regulatory Reporting Readiness:</w:t>
      </w:r>
      <w:r>
        <w:t xml:space="preserve"> Be ready to report exposure against BOT's incoming BNPL rules. Measured by the time to produce a regulatory exposure report (target: same day).</w:t>
      </w:r>
    </w:p>
    <w:p>
      <w:pPr>
        <w:pStyle w:val="Heading1"/>
        <w:pBdr>
          <w:bottom w:val="single" w:color="1F3864" w:sz="6" w:space="4"/>
        </w:pBdr>
        <w:spacing w:after="140" w:before="320"/>
      </w:pPr>
      <w:r>
        <w:rPr>
          <w:b/>
          <w:bCs/>
          <w:color w:val="1F3864"/>
          <w:sz w:val="27"/>
          <w:szCs w:val="27"/>
        </w:rPr>
        <w:t xml:space="preserve">4.  Project Scope</w:t>
      </w:r>
    </w:p>
    <w:p>
      <w:pPr>
        <w:pStyle w:val="Heading2"/>
        <w:spacing w:after="100" w:before="200"/>
      </w:pPr>
      <w:r>
        <w:rPr>
          <w:b/>
          <w:bCs/>
          <w:color w:val="2E5B9A"/>
          <w:sz w:val="22"/>
          <w:szCs w:val="22"/>
        </w:rPr>
        <w:t xml:space="preserve">4.1  In Scope</w:t>
      </w:r>
    </w:p>
    <w:p>
      <w:pPr>
        <w:pStyle w:val="ListParagraph"/>
        <w:numPr>
          <w:ilvl w:val="0"/>
          <w:numId w:val="2"/>
        </w:numPr>
        <w:spacing w:after="90" w:line="264" w:lineRule="auto"/>
      </w:pPr>
      <w:r>
        <w:t xml:space="preserve">Detecting BNPL-provider payments inside a customer's own bank transaction history</w:t>
      </w:r>
    </w:p>
    <w:p>
      <w:pPr>
        <w:pStyle w:val="ListParagraph"/>
        <w:numPr>
          <w:ilvl w:val="0"/>
          <w:numId w:val="2"/>
        </w:numPr>
        <w:spacing w:after="90" w:line="264" w:lineRule="auto"/>
      </w:pPr>
      <w:r>
        <w:t xml:space="preserve">A consolidated view of all BNPL obligations across providers, for every customer (including customers who are on 0% plans and have no problem)</w:t>
      </w:r>
    </w:p>
    <w:p>
      <w:pPr>
        <w:pStyle w:val="ListParagraph"/>
        <w:numPr>
          <w:ilvl w:val="0"/>
          <w:numId w:val="2"/>
        </w:numPr>
        <w:spacing w:after="90" w:line="264" w:lineRule="auto"/>
      </w:pPr>
      <w:r>
        <w:t>Automatic, per-provider Auto-Pay bill payment across multiple BNPL providers — one deduction per provider, on that provider's own due date, never consolidated into a single transfer</w:t>
      </w:r>
    </w:p>
    <w:p>
      <w:pPr>
        <w:pStyle w:val="ListParagraph"/>
        <w:numPr>
          <w:ilvl w:val="0"/>
          <w:numId w:val="2"/>
        </w:numPr>
        <w:spacing w:after="90" w:line="264" w:lineRule="auto"/>
      </w:pPr>
      <w:r>
        <w:t xml:space="preserve">A late-payment / arrears detection signal used to identify candidates for debt consolidation</w:t>
      </w:r>
    </w:p>
    <w:p>
      <w:pPr>
        <w:pStyle w:val="ListParagraph"/>
        <w:numPr>
          <w:ilvl w:val="0"/>
          <w:numId w:val="2"/>
        </w:numPr>
        <w:spacing w:after="90" w:line="264" w:lineRule="auto"/>
      </w:pPr>
      <w:r>
        <w:t xml:space="preserve">A credit screening step (credit score, income stability, debt-service ratio) before any consolidation loan offer is made</w:t>
      </w:r>
    </w:p>
    <w:p>
      <w:pPr>
        <w:pStyle w:val="ListParagraph"/>
        <w:numPr>
          <w:ilvl w:val="0"/>
          <w:numId w:val="2"/>
        </w:numPr>
        <w:spacing w:after="90" w:line="264" w:lineRule="auto"/>
      </w:pPr>
      <w:r>
        <w:t xml:space="preserve">A free-to-use consumer app funded by a B2B licensing revenue model, not a consumer subscription fee</w:t>
      </w:r>
    </w:p>
    <w:p>
      <w:pPr>
        <w:pStyle w:val="ListParagraph"/>
        <w:numPr>
          <w:ilvl w:val="0"/>
          <w:numId w:val="2"/>
        </w:numPr>
        <w:spacing w:after="90" w:line="264" w:lineRule="auto"/>
      </w:pPr>
      <w:r>
        <w:t xml:space="preserve">Supporting data model, SQL queries, Excel model, and dashboard (Power BI / Tableau) for internal reporting</w:t>
      </w:r>
    </w:p>
    <w:p>
      <w:pPr>
        <w:pStyle w:val="Heading2"/>
        <w:spacing w:after="100" w:before="200"/>
      </w:pPr>
      <w:r>
        <w:rPr>
          <w:b/>
          <w:bCs/>
          <w:color w:val="2E5B9A"/>
          <w:sz w:val="22"/>
          <w:szCs w:val="22"/>
        </w:rPr>
        <w:t xml:space="preserve">4.2  Out of Scope</w:t>
      </w:r>
    </w:p>
    <w:p>
      <w:pPr>
        <w:pStyle w:val="ListParagraph"/>
        <w:numPr>
          <w:ilvl w:val="0"/>
          <w:numId w:val="2"/>
        </w:numPr>
        <w:spacing w:after="90" w:line="264" w:lineRule="auto"/>
      </w:pPr>
      <w:r>
        <w:t xml:space="preserve">Actually connecting to real BNPL provider APIs (this project uses synthetic data modeled on real published statistics)</w:t>
      </w:r>
    </w:p>
    <w:p>
      <w:pPr>
        <w:pStyle w:val="ListParagraph"/>
        <w:numPr>
          <w:ilvl w:val="0"/>
          <w:numId w:val="2"/>
        </w:numPr>
        <w:spacing w:after="90" w:line="264" w:lineRule="auto"/>
      </w:pPr>
      <w:r>
        <w:t xml:space="preserve">Lobbying or influencing the Bank of Thailand's regulation itself</w:t>
      </w:r>
    </w:p>
    <w:p>
      <w:pPr>
        <w:pStyle w:val="ListParagraph"/>
        <w:numPr>
          <w:ilvl w:val="0"/>
          <w:numId w:val="2"/>
        </w:numPr>
        <w:spacing w:after="90" w:line="264" w:lineRule="auto"/>
      </w:pPr>
      <w:r>
        <w:t xml:space="preserve">Serving customers who fail the credit/income screening with a new loan (they are referred to BOT's existing debt-relief programs instead, not lent more money)</w:t>
      </w:r>
    </w:p>
    <w:p>
      <w:pPr>
        <w:pStyle w:val="ListParagraph"/>
        <w:numPr>
          <w:ilvl w:val="0"/>
          <w:numId w:val="2"/>
        </w:numPr>
        <w:spacing w:after="90" w:line="264" w:lineRule="auto"/>
      </w:pPr>
      <w:r>
        <w:t xml:space="preserve">Non-Thai markets</w:t>
      </w:r>
    </w:p>
    <w:p>
      <w:pPr>
        <w:pStyle w:val="Heading1"/>
        <w:pBdr>
          <w:bottom w:val="single" w:color="1F3864" w:sz="6" w:space="4"/>
        </w:pBdr>
        <w:spacing w:after="140" w:before="320"/>
      </w:pPr>
      <w:r>
        <w:rPr>
          <w:b/>
          <w:bCs/>
          <w:color w:val="1F3864"/>
          <w:sz w:val="27"/>
          <w:szCs w:val="27"/>
        </w:rPr>
        <w:t xml:space="preserve">5.  Stakeholder Matrix</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600"/>
        <w:gridCol w:w="3966"/>
      </w:tblGrid>
      <w:tr>
        <w:trPr>
          <w:tblHeader/>
        </w:trPr>
        <w:tc>
          <w:tcPr>
            <w:tcW w:type="dxa" w:w="19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Stakeholder</w:t>
            </w:r>
          </w:p>
        </w:tc>
        <w:tc>
          <w:tcPr>
            <w:tcW w:type="dxa" w:w="26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Interest / Role</w:t>
            </w:r>
          </w:p>
        </w:tc>
        <w:tc>
          <w:tcPr>
            <w:tcW w:type="dxa" w:w="16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Influence</w:t>
            </w:r>
          </w:p>
        </w:tc>
        <w:tc>
          <w:tcPr>
            <w:tcW w:type="dxa" w:w="3966"/>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Key Requirement</w:t>
            </w:r>
          </w:p>
        </w:tc>
      </w:tr>
      <w:tr>
        <w:tc>
          <w:tcPr>
            <w:tcW w:type="dxa" w:w="19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 &amp; Compliance team</w:t>
            </w:r>
          </w:p>
        </w:tc>
        <w:tc>
          <w:tcPr>
            <w:tcW w:type="dxa" w:w="2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Owns credit risk exposure and BOT regulatory readiness</w:t>
            </w:r>
          </w:p>
        </w:tc>
        <w:tc>
          <w:tcPr>
            <w:tcW w:type="dxa" w:w="1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High</w:t>
            </w:r>
          </w:p>
        </w:tc>
        <w:tc>
          <w:tcPr>
            <w:tcW w:type="dxa" w:w="39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Accurate, up-to-date stacking and exposure data</w:t>
            </w:r>
          </w:p>
        </w:tc>
      </w:tr>
      <w:tr>
        <w:tc>
          <w:tcPr>
            <w:tcW w:type="dxa" w:w="19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Product / Marketing team</w:t>
            </w:r>
          </w:p>
        </w:tc>
        <w:tc>
          <w:tcPr>
            <w:tcW w:type="dxa" w:w="2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Owns the consolidation loan offer and Auto-Pay experience</w:t>
            </w:r>
          </w:p>
        </w:tc>
        <w:tc>
          <w:tcPr>
            <w:tcW w:type="dxa" w:w="1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High</w:t>
            </w:r>
          </w:p>
        </w:tc>
        <w:tc>
          <w:tcPr>
            <w:tcW w:type="dxa" w:w="39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A reliable, prioritized list of eligible customers</w:t>
            </w:r>
          </w:p>
        </w:tc>
      </w:tr>
      <w:tr>
        <w:tc>
          <w:tcPr>
            <w:tcW w:type="dxa" w:w="19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Finance / CFO</w:t>
            </w:r>
          </w:p>
        </w:tc>
        <w:tc>
          <w:tcPr>
            <w:tcW w:type="dxa" w:w="2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Owns revenue forecasting and reporting</w:t>
            </w:r>
          </w:p>
        </w:tc>
        <w:tc>
          <w:tcPr>
            <w:tcW w:type="dxa" w:w="1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High</w:t>
            </w:r>
          </w:p>
        </w:tc>
        <w:tc>
          <w:tcPr>
            <w:tcW w:type="dxa" w:w="39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A defensible revenue model with sensitivity ranges</w:t>
            </w:r>
          </w:p>
        </w:tc>
      </w:tr>
      <w:tr>
        <w:tc>
          <w:tcPr>
            <w:tcW w:type="dxa" w:w="19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Customers</w:t>
            </w:r>
          </w:p>
        </w:tc>
        <w:tc>
          <w:tcPr>
            <w:tcW w:type="dxa" w:w="2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End users of the app</w:t>
            </w:r>
          </w:p>
        </w:tc>
        <w:tc>
          <w:tcPr>
            <w:tcW w:type="dxa" w:w="1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9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Never miss a BNPL payment; fair, transparent consolidation offers</w:t>
            </w:r>
          </w:p>
        </w:tc>
      </w:tr>
      <w:tr>
        <w:tc>
          <w:tcPr>
            <w:tcW w:type="dxa" w:w="19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Bank of Thailand (external)</w:t>
            </w:r>
          </w:p>
        </w:tc>
        <w:tc>
          <w:tcPr>
            <w:tcW w:type="dxa" w:w="2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Regulator of BNPL and consumer lending</w:t>
            </w:r>
          </w:p>
        </w:tc>
        <w:tc>
          <w:tcPr>
            <w:tcW w:type="dxa" w:w="16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High (indirect)</w:t>
            </w:r>
          </w:p>
        </w:tc>
        <w:tc>
          <w:tcPr>
            <w:tcW w:type="dxa" w:w="39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bank can demonstrate exposure monitoring and responsible lending</w:t>
            </w:r>
          </w:p>
        </w:tc>
      </w:tr>
      <w:tr>
        <w:tc>
          <w:tcPr>
            <w:tcW w:type="dxa" w:w="19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Executive sponsors / shareholders</w:t>
            </w:r>
          </w:p>
        </w:tc>
        <w:tc>
          <w:tcPr>
            <w:tcW w:type="dxa" w:w="2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Own the return on the market entry that the KBank–Atome acquisition made urgent, and on scaling the B2B licensing opportunity across other banks</w:t>
            </w:r>
          </w:p>
        </w:tc>
        <w:tc>
          <w:tcPr>
            <w:tcW w:type="dxa" w:w="16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High</w:t>
            </w:r>
          </w:p>
        </w:tc>
        <w:tc>
          <w:tcPr>
            <w:tcW w:type="dxa" w:w="39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Evidence that the Atome investment is generating measurable value</w:t>
            </w:r>
          </w:p>
        </w:tc>
      </w:tr>
    </w:tbl>
    <w:p>
      <w:pPr>
        <w:pStyle w:val="Heading1"/>
        <w:pBdr>
          <w:bottom w:val="single" w:color="1F3864" w:sz="6" w:space="4"/>
        </w:pBdr>
        <w:spacing w:after="140" w:before="320"/>
      </w:pPr>
      <w:r>
        <w:rPr>
          <w:b/>
          <w:bCs/>
          <w:color w:val="1F3864"/>
          <w:sz w:val="27"/>
          <w:szCs w:val="27"/>
        </w:rPr>
        <w:t xml:space="preserve">6.  Business Requirements</w:t>
      </w:r>
    </w:p>
    <w:p>
      <w:pPr>
        <w:spacing w:after="160" w:line="276" w:lineRule="auto"/>
        <w:jc w:val="both"/>
      </w:pPr>
      <w:r>
        <w:t xml:space="preserve">Each requirement below is written as a business need. The companion FRD translates these into functional, screen-level detail.</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800"/>
        <w:gridCol w:w="5766"/>
        <w:gridCol w:w="1200"/>
        <w:gridCol w:w="1700"/>
      </w:tblGrid>
      <w:tr>
        <w:trPr>
          <w:tblHeader/>
        </w:trPr>
        <w:tc>
          <w:tcPr>
            <w:tcW w:type="dxa" w:w="8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5766"/>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12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Priority</w:t>
            </w:r>
          </w:p>
        </w:tc>
        <w:tc>
          <w:tcPr>
            <w:tcW w:type="dxa" w:w="17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Owner</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BR-01</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identify recurring payments in a customer's transaction history that match known BNPL provider names.</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BR-02</w:t>
            </w:r>
          </w:p>
        </w:tc>
        <w:tc>
          <w:tcPr>
            <w:tcW w:type="dxa" w:w="5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The system shall calculate, per customer, how many BNPL providers they appear to be paying concurrently.</w:t>
            </w:r>
          </w:p>
        </w:tc>
        <w:tc>
          <w:tcPr>
            <w:tcW w:type="dxa" w:w="12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Risk</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BR-03</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display all detected BNPL obligations (amounts and due dates) in a single consolidated view for every customer.</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BR-04</w:t>
            </w:r>
          </w:p>
        </w:tc>
        <w:tc>
          <w:tcPr>
            <w:tcW w:type="dxa" w:w="5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The system shall automatically deduct payment from the customer's account for each BNPL provider individually, on that provider's own due date, so every provider is paid on time -- the system does not consolidate multiple providers' payments into a single transfer (to avoid holding customer funds/float, which would create money-transmission-style compliance scope beyond this system).</w:t>
            </w:r>
          </w:p>
        </w:tc>
        <w:tc>
          <w:tcPr>
            <w:tcW w:type="dxa" w:w="12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BR-05</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detect signals of late payment or arrears on any BNPL obligation.</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BR-06</w:t>
            </w:r>
          </w:p>
        </w:tc>
        <w:tc>
          <w:tcPr>
            <w:tcW w:type="dxa" w:w="5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The system shall only offer a debt consolidation loan to customers who show late-payment signals AND pass standard credit screening (credit score, income stability, debt-service ratio).</w:t>
            </w:r>
          </w:p>
        </w:tc>
        <w:tc>
          <w:tcPr>
            <w:tcW w:type="dxa" w:w="12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Risk / 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BR-07</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The system shall apply a tiered Debt-Service Ratio (DSR) decision layer before any consolidation offer, not a single hard cutoff: (1) Full eligibility -- DSR &lt;= 40% and credit score &gt;= 600 -&gt; standard offer; (2) Conditional eligibility -- DSR 40-60% and credit score &gt;= 650 -&gt; a limited offer (lower amount / shorter term), not a straight decline; (3) Not eligible -- DSR &gt; 60%, or credit score &lt; 600 regardless of DSR -&gt; no additional credit is offered; these customers shall instead be referred to existing BOT debt-relief programs. See BR-04/BR-07 configurable thresholds and FRD R-04/R-05 for full logic.</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 / Compliance</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BR-08</w:t>
            </w:r>
          </w:p>
        </w:tc>
        <w:tc>
          <w:tcPr>
            <w:tcW w:type="dxa" w:w="5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The system shall provide the Auto-Pay feature to all customers at no additional cost — the auto-pay capability is never gated behind a consumer fee.</w:t>
            </w:r>
          </w:p>
        </w:tc>
        <w:tc>
          <w:tcPr>
            <w:tcW w:type="dxa" w:w="12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BR-09</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calculate and display to the customer the estimated fees and interest avoided by using the platform's Auto-Pay and consolidation features, as a transparency and trust-building metric. This calculation supports customer engagement only and does not drive any revenue.</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Should</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Finance</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BR-10</w:t>
            </w:r>
          </w:p>
        </w:tc>
        <w:tc>
          <w:tcPr>
            <w:tcW w:type="dxa" w:w="5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The system shall produce a portfolio-level exposure report suitable for regulatory readiness reviews.</w:t>
            </w:r>
          </w:p>
        </w:tc>
        <w:tc>
          <w:tcPr>
            <w:tcW w:type="dxa" w:w="12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Risk / Compliance</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BR-11</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be usable by any bank with its own retail transaction data, not only a bank that owns a BNPL provider.</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BR-12</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support licensing the detection and exposure-reporting engine to other banks as a B2B service, delivered as an embedded, white-labeled feature inside each partner bank’s own customer-facing app rather than as a standalone consumer app, generating revenue independent of any fee charged to consumers.</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Should</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BR-13</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let customers manually add, edit, delete/dismiss, or confirm a BNPL obligation (via a single “Fix or Add a Payment” feature) when automatic detection from transaction data is incomplete, inaccurate, or a false positive. This capability is scoped exclusively to BNPL/installment-plan obligations and is not a general-purpose debt tracker — car loans, personal loans, and mortgages are explicitly out of scope.</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Should</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Product</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BR-14</w:t>
            </w:r>
          </w:p>
        </w:tc>
        <w:tc>
          <w:tcPr>
            <w:tcW w:type="dxa" w:w="5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The system shall require an explicit confirmation step (“Add THB X due on Y to Auto-Pay?”) before any customer-added BNPL obligation becomes eligible for Auto-Pay, so no incorrect customer-entered amount can be auto-deducted without the customer’s review.</w:t>
            </w:r>
          </w:p>
        </w:tc>
        <w:tc>
          <w:tcPr>
            <w:tcW w:type="dxa" w:w="12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Must</w:t>
            </w:r>
          </w:p>
        </w:tc>
        <w:tc>
          <w:tcPr>
            <w:tcW w:type="dxa" w:w="1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Product</w:t>
            </w:r>
          </w:p>
        </w:tc>
      </w:tr>
    </w:tbl>
    <w:p>
      <w:pPr>
        <w:pStyle w:val="Heading1"/>
        <w:pBdr>
          <w:bottom w:val="single" w:color="1F3864" w:sz="6" w:space="4"/>
        </w:pBdr>
        <w:spacing w:after="140" w:before="320"/>
      </w:pPr>
      <w:r>
        <w:rPr>
          <w:b/>
          <w:bCs/>
          <w:color w:val="1F3864"/>
          <w:sz w:val="27"/>
          <w:szCs w:val="27"/>
        </w:rPr>
        <w:t xml:space="preserve">7.  User Stories</w:t>
      </w:r>
    </w:p>
    <w:p>
      <w:pPr>
        <w:pStyle w:val="Heading2"/>
        <w:spacing w:after="100" w:before="200"/>
      </w:pPr>
      <w:r>
        <w:rPr>
          <w:b/>
          <w:bCs/>
          <w:color w:val="2E5B9A"/>
          <w:sz w:val="22"/>
          <w:szCs w:val="22"/>
        </w:rPr>
        <w:t xml:space="preserve">7.1  Customer-Facing</w:t>
      </w:r>
    </w:p>
    <w:p>
      <w:pPr>
        <w:pStyle w:val="ListParagraph"/>
        <w:numPr>
          <w:ilvl w:val="0"/>
          <w:numId w:val="2"/>
        </w:numPr>
        <w:spacing w:after="90" w:line="264" w:lineRule="auto"/>
      </w:pPr>
      <w:r>
        <w:t xml:space="preserve">As a BNPL user, I want to see all my BNPL payments from every provider in one place, so that I never lose track of what I owe.</w:t>
      </w:r>
    </w:p>
    <w:p>
      <w:pPr>
        <w:pStyle w:val="ListParagraph"/>
        <w:numPr>
          <w:ilvl w:val="0"/>
          <w:numId w:val="2"/>
        </w:numPr>
        <w:spacing w:after="90" w:line="264" w:lineRule="auto"/>
      </w:pPr>
      <w:r>
        <w:t xml:space="preserve">As a BNPL user, I want my payments to be made automatically on time, so that I never get hit with a late fee.</w:t>
      </w:r>
    </w:p>
    <w:p>
      <w:pPr>
        <w:pStyle w:val="ListParagraph"/>
        <w:numPr>
          <w:ilvl w:val="0"/>
          <w:numId w:val="2"/>
        </w:numPr>
        <w:spacing w:after="90" w:line="264" w:lineRule="auto"/>
      </w:pPr>
      <w:r>
        <w:t xml:space="preserve">As a BNPL user who is falling behind, I want to be offered a fair way to combine my debts into one lower-cost payment, so that I can get back on track.</w:t>
      </w:r>
    </w:p>
    <w:p>
      <w:pPr>
        <w:pStyle w:val="Heading2"/>
        <w:spacing w:after="100" w:before="200"/>
      </w:pPr>
      <w:r>
        <w:rPr>
          <w:b/>
          <w:bCs/>
          <w:color w:val="2E5B9A"/>
          <w:sz w:val="22"/>
          <w:szCs w:val="22"/>
        </w:rPr>
        <w:t xml:space="preserve">7.2  Internal (Bank Staff)</w:t>
      </w:r>
    </w:p>
    <w:p>
      <w:pPr>
        <w:pStyle w:val="ListParagraph"/>
        <w:numPr>
          <w:ilvl w:val="0"/>
          <w:numId w:val="2"/>
        </w:numPr>
        <w:spacing w:after="90" w:line="264" w:lineRule="auto"/>
      </w:pPr>
      <w:r>
        <w:t xml:space="preserve">As a Risk Manager, I want to see which customers are stacking BNPL debt across providers, so that I can quantify the bank's exposure ahead of new BOT rules.</w:t>
      </w:r>
    </w:p>
    <w:p>
      <w:pPr>
        <w:pStyle w:val="ListParagraph"/>
        <w:numPr>
          <w:ilvl w:val="0"/>
          <w:numId w:val="2"/>
        </w:numPr>
        <w:spacing w:after="90" w:line="264" w:lineRule="auto"/>
      </w:pPr>
      <w:r>
        <w:t xml:space="preserve">As a Product Manager, I want a prioritized list of customers who are likely to want a consolidation loan, so that my team can reach out efficiently instead of guessing.</w:t>
      </w:r>
    </w:p>
    <w:p>
      <w:pPr>
        <w:pStyle w:val="ListParagraph"/>
        <w:numPr>
          <w:ilvl w:val="0"/>
          <w:numId w:val="2"/>
        </w:numPr>
        <w:spacing w:after="90" w:line="264" w:lineRule="auto"/>
      </w:pPr>
      <w:r>
        <w:t xml:space="preserve">As a Compliance Officer, I want proof that customers who cannot afford more credit are excluded from loan offers, so that the bank is not exposed to irresponsible-lending criticism.</w:t>
      </w:r>
    </w:p>
    <w:p>
      <w:pPr>
        <w:pStyle w:val="ListParagraph"/>
        <w:numPr>
          <w:ilvl w:val="0"/>
          <w:numId w:val="2"/>
        </w:numPr>
        <w:spacing w:after="90" w:line="264" w:lineRule="auto"/>
      </w:pPr>
      <w:r>
        <w:t xml:space="preserve">As a CFO, I want a revenue model with clear assumptions and a sensitivity range, so that I can present a credible forecast to the board.</w:t>
      </w:r>
    </w:p>
    <w:p>
      <w:pPr>
        <w:pStyle w:val="Heading1"/>
        <w:pBdr>
          <w:bottom w:val="single" w:color="1F3864" w:sz="6" w:space="4"/>
        </w:pBdr>
        <w:spacing w:after="140" w:before="320"/>
      </w:pPr>
      <w:r>
        <w:rPr>
          <w:b/>
          <w:bCs/>
          <w:color w:val="1F3864"/>
          <w:sz w:val="27"/>
          <w:szCs w:val="27"/>
        </w:rPr>
        <w:t xml:space="preserve">8.  As-Is vs. To-Be Process</w:t>
      </w:r>
    </w:p>
    <w:p>
      <w:pPr>
        <w:pStyle w:val="Heading2"/>
        <w:spacing w:after="100" w:before="200"/>
      </w:pPr>
      <w:r>
        <w:rPr>
          <w:b/>
          <w:bCs/>
          <w:color w:val="2E5B9A"/>
          <w:sz w:val="22"/>
          <w:szCs w:val="22"/>
        </w:rPr>
        <w:t xml:space="preserve">8.1  As-Is (Today)</w:t>
      </w:r>
    </w:p>
    <w:p>
      <w:pPr>
        <w:spacing w:after="160" w:line="276" w:lineRule="auto"/>
        <w:jc w:val="both"/>
      </w:pPr>
      <w:r>
        <w:t xml:space="preserve">Each BNPL provider operates independently. A customer can hold loans with three or four providers at once, and each provider only sees its own repayment history. There is no consolidated view for the customer, and no bank-side view of cross-provider exposure. Customers discover they are overextended only when they start missing payments and penalty fees begin.</w:t>
      </w:r>
    </w:p>
    <w:p>
      <w:pPr>
        <w:pStyle w:val="Heading2"/>
        <w:spacing w:after="100" w:before="200"/>
      </w:pPr>
      <w:r>
        <w:rPr>
          <w:b/>
          <w:bCs/>
          <w:color w:val="2E5B9A"/>
          <w:sz w:val="22"/>
          <w:szCs w:val="22"/>
        </w:rPr>
        <w:t xml:space="preserve">8.2  To-Be (With BNPL Command Center)</w:t>
      </w:r>
    </w:p>
    <w:p>
      <w:pPr>
        <w:spacing w:after="160" w:line="276" w:lineRule="auto"/>
        <w:jc w:val="both"/>
      </w:pPr>
      <w:r>
        <w:t xml:space="preserve">The bank scans a customer's own transaction history, identifies BNPL-related payments across providers, and builds one consolidated view. Healthy customers (including those on 0% plans) get a simple auto-pay convenience. Customers showing signs of falling behind are screened, and — if they can genuinely afford it — offered one consolidated, lower-cost loan instead of several fragmented, high-cost ones. Customers who cannot afford more credit are referred to existing government debt-help programs rather than being lent more money.</w:t>
      </w:r>
    </w:p>
    <w:p>
      <w:pPr>
        <w:pStyle w:val="Heading1"/>
        <w:pBdr>
          <w:bottom w:val="single" w:color="1F3864" w:sz="6" w:space="4"/>
        </w:pBdr>
        <w:spacing w:after="140" w:before="320"/>
      </w:pPr>
      <w:r>
        <w:rPr>
          <w:b/>
          <w:bCs/>
          <w:color w:val="1F3864"/>
          <w:sz w:val="27"/>
          <w:szCs w:val="27"/>
        </w:rPr>
        <w:t xml:space="preserve">9.  Assumptions and Constraints</w:t>
      </w:r>
    </w:p>
    <w:p>
      <w:pPr>
        <w:pStyle w:val="Heading2"/>
        <w:spacing w:after="100" w:before="200"/>
      </w:pPr>
      <w:r>
        <w:rPr>
          <w:b/>
          <w:bCs/>
          <w:color w:val="2E5B9A"/>
          <w:sz w:val="22"/>
          <w:szCs w:val="22"/>
        </w:rPr>
        <w:t xml:space="preserve">9.1  Assumptions</w:t>
      </w:r>
    </w:p>
    <w:p>
      <w:pPr>
        <w:pStyle w:val="ListParagraph"/>
        <w:numPr>
          <w:ilvl w:val="0"/>
          <w:numId w:val="2"/>
        </w:numPr>
        <w:spacing w:after="90" w:line="264" w:lineRule="auto"/>
      </w:pPr>
      <w:r>
        <w:t xml:space="preserve">A meaningful share of BNPL customers also hold a transaction account or card with the bank running this platform (this project uses external research, such as CFPB data showing about one-third of BNPL users borrow from more than one provider, as a stand-in for real Thai data).</w:t>
      </w:r>
    </w:p>
    <w:p>
      <w:pPr>
        <w:pStyle w:val="ListParagraph"/>
        <w:numPr>
          <w:ilvl w:val="0"/>
          <w:numId w:val="2"/>
        </w:numPr>
        <w:spacing w:after="90" w:line="264" w:lineRule="auto"/>
      </w:pPr>
      <w:r>
        <w:t xml:space="preserve">Recurring debits to named BNPL merchants can be reasonably identified from transaction descriptions.</w:t>
      </w:r>
    </w:p>
    <w:p>
      <w:pPr>
        <w:pStyle w:val="ListParagraph"/>
        <w:numPr>
          <w:ilvl w:val="0"/>
          <w:numId w:val="2"/>
        </w:numPr>
        <w:spacing w:after="90" w:line="264" w:lineRule="auto"/>
      </w:pPr>
      <w:r>
        <w:t xml:space="preserve">The BOT's proposed BNPL rules (age 18+, 15–20% rate cap, 20,000 baht limit) will be broadly similar to what has been publicly discussed, though the final rules may differ.</w:t>
      </w:r>
    </w:p>
    <w:p>
      <w:pPr>
        <w:pStyle w:val="Heading2"/>
        <w:spacing w:after="100" w:before="200"/>
      </w:pPr>
      <w:r>
        <w:rPr>
          <w:b/>
          <w:bCs/>
          <w:color w:val="2E5B9A"/>
          <w:sz w:val="22"/>
          <w:szCs w:val="22"/>
        </w:rPr>
        <w:t xml:space="preserve">9.2  Constraints</w:t>
      </w:r>
    </w:p>
    <w:p>
      <w:pPr>
        <w:pStyle w:val="ListParagraph"/>
        <w:numPr>
          <w:ilvl w:val="0"/>
          <w:numId w:val="2"/>
        </w:numPr>
        <w:spacing w:after="90" w:line="264" w:lineRule="auto"/>
      </w:pPr>
      <w:r>
        <w:t xml:space="preserve">All data used in this project is synthetic, built to resemble real published Thai and international statistics — it is not real customer data.</w:t>
      </w:r>
    </w:p>
    <w:p>
      <w:pPr>
        <w:pStyle w:val="ListParagraph"/>
        <w:numPr>
          <w:ilvl w:val="0"/>
          <w:numId w:val="2"/>
        </w:numPr>
        <w:spacing w:after="90" w:line="264" w:lineRule="auto"/>
      </w:pPr>
      <w:r>
        <w:t xml:space="preserve">The BOT's final BNPL rules were not yet published at the time this document was written; the underlying model must use adjustable parameters, not fixed values.</w:t>
      </w:r>
    </w:p>
    <w:p>
      <w:pPr>
        <w:pStyle w:val="ListParagraph"/>
        <w:numPr>
          <w:ilvl w:val="0"/>
          <w:numId w:val="2"/>
        </w:numPr>
        <w:spacing w:after="90" w:line="264" w:lineRule="auto"/>
      </w:pPr>
      <w:r>
        <w:t xml:space="preserve">Merchant-name matching accuracy has not been tested against real transaction data and is a known limitation.</w:t>
      </w:r>
    </w:p>
    <w:p>
      <w:pPr>
        <w:pStyle w:val="Heading1"/>
        <w:pBdr>
          <w:bottom w:val="single" w:color="1F3864" w:sz="6" w:space="4"/>
        </w:pBdr>
        <w:spacing w:after="140" w:before="320"/>
      </w:pPr>
      <w:r>
        <w:rPr>
          <w:b/>
          <w:bCs/>
          <w:color w:val="1F3864"/>
          <w:sz w:val="27"/>
          <w:szCs w:val="27"/>
        </w:rPr>
        <w:t xml:space="preserve">10.  Risk Register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300"/>
        <w:gridCol w:w="1300"/>
        <w:gridCol w:w="3766"/>
      </w:tblGrid>
      <w:tr>
        <w:trPr>
          <w:tblHeader/>
        </w:trPr>
        <w:tc>
          <w:tcPr>
            <w:tcW w:type="dxa" w:w="8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33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Risk</w:t>
            </w:r>
          </w:p>
        </w:tc>
        <w:tc>
          <w:tcPr>
            <w:tcW w:type="dxa" w:w="13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Likelihood</w:t>
            </w:r>
          </w:p>
        </w:tc>
        <w:tc>
          <w:tcPr>
            <w:tcW w:type="dxa" w:w="13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Impact</w:t>
            </w:r>
          </w:p>
        </w:tc>
        <w:tc>
          <w:tcPr>
            <w:tcW w:type="dxa" w:w="3766"/>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Mitigation</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RISK-01</w:t>
            </w:r>
          </w:p>
        </w:tc>
        <w:tc>
          <w:tcPr>
            <w:tcW w:type="dxa" w:w="3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BOT's final BNPL rules differ materially from current proposals</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Medium</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Build the exposure model with adjustable parameters (rate cap, age limit, loan limit)</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RISK-02</w:t>
            </w:r>
          </w:p>
        </w:tc>
        <w:tc>
          <w:tcPr>
            <w:tcW w:type="dxa" w:w="3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Merchant-name matching produces false positives (flags a normal purchase as a BNPL payment)</w:t>
            </w:r>
          </w:p>
        </w:tc>
        <w:tc>
          <w:tcPr>
            <w:tcW w:type="dxa" w:w="1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Medium</w:t>
            </w:r>
          </w:p>
        </w:tc>
        <w:tc>
          <w:tcPr>
            <w:tcW w:type="dxa" w:w="1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Treat detection as a candidate signal, not a final decision; validate against real data before launch</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RISK-03</w:t>
            </w:r>
          </w:p>
        </w:tc>
        <w:tc>
          <w:tcPr>
            <w:tcW w:type="dxa" w:w="3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Offering a consolidation loan to a customer who cannot actually repay it (irresponsible lending)</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Low (if controls followed)</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High</w:t>
            </w:r>
          </w:p>
        </w:tc>
        <w:tc>
          <w:tcPr>
            <w:tcW w:type="dxa" w:w="3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Mandatory credit/income/DSR screening before any offer, applied through the tiered DSR decision layer (BR-07); hard rejection for the Not Eligible tier (DSR &gt; 60% or credit score &lt; 600)</w:t>
            </w:r>
          </w:p>
        </w:tc>
      </w:tr>
      <w:tr>
        <w:tc>
          <w:tcPr>
            <w:tcW w:type="dxa" w:w="8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RISK-04</w:t>
            </w:r>
          </w:p>
        </w:tc>
        <w:tc>
          <w:tcPr>
            <w:tcW w:type="dxa" w:w="3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Two internal teams (Risk and Product) fail to coordinate, so detected leads never turn into offers</w:t>
            </w:r>
          </w:p>
        </w:tc>
        <w:tc>
          <w:tcPr>
            <w:tcW w:type="dxa" w:w="1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Medium</w:t>
            </w:r>
          </w:p>
        </w:tc>
        <w:tc>
          <w:tcPr>
            <w:tcW w:type="dxa" w:w="13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7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Define a clear handoff requirement (BR-06) and shared reporting (BR-10)</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RISK-05</w:t>
            </w:r>
          </w:p>
        </w:tc>
        <w:tc>
          <w:tcPr>
            <w:tcW w:type="dxa" w:w="3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Customers view the auto-pay feature as a privacy intrusion</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Low</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Require explicit opt-in consent (PDPA) before linking any BNPL detection</w:t>
            </w:r>
          </w:p>
        </w:tc>
      </w:tr>
      <w:tr>
        <w:tc>
          <w:tcPr>
            <w:tcW w:type="dxa" w:w="8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RISK-06</w:t>
            </w:r>
          </w:p>
        </w:tc>
        <w:tc>
          <w:tcPr>
            <w:tcW w:type="dxa" w:w="3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A third-party consumer group (not BOT itself) has recommended BOT require all BNPL providers to report to the credit bureau as a licensing condition; if adopted, banks could see basic cross-provider exposure via the bureau alone</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Medium</w:t>
            </w:r>
          </w:p>
        </w:tc>
        <w:tc>
          <w:tcPr>
            <w:tcW w:type="dxa" w:w="13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Medium</w:t>
            </w:r>
          </w:p>
        </w:tc>
        <w:tc>
          <w:tcPr>
            <w:tcW w:type="dxa" w:w="37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Detection stays faster than bureau reporting cycles (30-60 day lag); the BNPL-specific consolidation loan and the consumer-facing Auto-Pay experience remain differentiated regardless; position the platform to blend bureau data with real-time bank data rather than compete with it</w:t>
            </w:r>
          </w:p>
        </w:tc>
      </w:tr>
    </w:tbl>
    <w:p>
      <w:pPr>
        <w:pStyle w:val="Heading1"/>
        <w:pBdr>
          <w:bottom w:val="single" w:color="1F3864" w:sz="6" w:space="4"/>
        </w:pBdr>
        <w:spacing w:after="140" w:before="320"/>
      </w:pPr>
      <w:r>
        <w:rPr>
          <w:b/>
          <w:bCs/>
          <w:color w:val="1F3864"/>
          <w:sz w:val="27"/>
          <w:szCs w:val="27"/>
        </w:rPr>
        <w:t xml:space="preserve">11.  Success Metrics (KPIs)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5066"/>
      </w:tblGrid>
      <w:tr>
        <w:trPr>
          <w:tblHeader/>
        </w:trPr>
        <w:tc>
          <w:tcPr>
            <w:tcW w:type="dxa" w:w="27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Metric</w:t>
            </w:r>
          </w:p>
        </w:tc>
        <w:tc>
          <w:tcPr>
            <w:tcW w:type="dxa" w:w="27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Target</w:t>
            </w:r>
          </w:p>
        </w:tc>
        <w:tc>
          <w:tcPr>
            <w:tcW w:type="dxa" w:w="5066"/>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Measurement Method</w:t>
            </w:r>
          </w:p>
        </w:tc>
      </w:tr>
      <w:tr>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Active users on the free tracking tier</w:t>
            </w:r>
          </w:p>
        </w:tc>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Meaningful share of the ~4.91M Thai BNPL account base (illustrative)</w:t>
            </w:r>
          </w:p>
        </w:tc>
        <w:tc>
          <w:tcPr>
            <w:tcW w:type="dxa" w:w="50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Count of registered, consented customers with at least one Detected Obligation</w:t>
            </w:r>
          </w:p>
        </w:tc>
      </w:tr>
      <w:tr>
        <w:tc>
          <w:tcPr>
            <w:tcW w:type="dxa" w:w="2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Active Auto-Pay users</w:t>
            </w:r>
          </w:p>
        </w:tc>
        <w:tc>
          <w:tcPr>
            <w:tcW w:type="dxa" w:w="2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Meaningful share of active users with Auto-Pay enabled (illustrative)</w:t>
            </w:r>
          </w:p>
        </w:tc>
        <w:tc>
          <w:tcPr>
            <w:tcW w:type="dxa" w:w="50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Count of active Auto-Pay enrollments</w:t>
            </w:r>
          </w:p>
        </w:tc>
      </w:tr>
      <w:tr>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Consolidation loans originated per year</w:t>
            </w:r>
          </w:p>
        </w:tc>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Tens of thousands, per the sizing model in the companion research brief (illustrative)</w:t>
            </w:r>
          </w:p>
        </w:tc>
        <w:tc>
          <w:tcPr>
            <w:tcW w:type="dxa" w:w="50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Count of Accepted consolidation offers per year</w:t>
            </w:r>
          </w:p>
        </w:tc>
      </w:tr>
      <w:tr>
        <w:tc>
          <w:tcPr>
            <w:tcW w:type="dxa" w:w="2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Consolidation applicants correctly rejected by underwriting</w:t>
            </w:r>
          </w:p>
        </w:tc>
        <w:tc>
          <w:tcPr>
            <w:tcW w:type="dxa" w:w="27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100% of applicants in the Not Eligible DSR tier (BR-07) correctly rejected</w:t>
            </w:r>
          </w:p>
        </w:tc>
        <w:tc>
          <w:tcPr>
            <w:tcW w:type="dxa" w:w="50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Audit of Not Eligible outcomes vs. DSR/credit-score inputs</w:t>
            </w:r>
          </w:p>
        </w:tc>
      </w:tr>
      <w:tr>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Time to produce a BOT-readiness exposure report</w:t>
            </w:r>
          </w:p>
        </w:tc>
        <w:tc>
          <w:tcPr>
            <w:tcW w:type="dxa" w:w="27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Same business day</w:t>
            </w:r>
          </w:p>
        </w:tc>
        <w:tc>
          <w:tcPr>
            <w:tcW w:type="dxa" w:w="50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Time from report request to delivery</w:t>
            </w:r>
          </w:p>
        </w:tc>
      </w:tr>
    </w:tbl>
    <w:p>
      <w:pPr>
        <w:pStyle w:val="Heading1"/>
        <w:pBdr>
          <w:bottom w:val="single" w:color="1F3864" w:sz="6" w:space="4"/>
        </w:pBdr>
        <w:spacing w:after="140" w:before="320"/>
      </w:pPr>
      <w:r>
        <w:rPr>
          <w:b/>
          <w:bCs/>
          <w:color w:val="1F3864"/>
          <w:sz w:val="27"/>
          <w:szCs w:val="27"/>
        </w:rPr>
        <w:t xml:space="preserve">12.  References</w:t>
      </w:r>
    </w:p>
    <w:p>
      <w:pPr>
        <w:spacing w:after="160" w:line="276" w:lineRule="auto"/>
        <w:jc w:val="both"/>
      </w:pPr>
      <w:r>
        <w:rPr>
          <w:i/>
          <w:iCs/>
          <w:color w:val="555555"/>
        </w:rPr>
        <w:t xml:space="preserve">This BRD is based on research verified against primary and reputable secondary sources during project scoping, including: Bank of Thailand news releases and hearing documents on BNPL licensing; Kasikorn Bank / Atome press releases (April 2026 investment); SCB EIC's "BNPL or Be NPL" report (December 2025); Thairath and The Standard reporting on BNPL late-payment penalties and credit bureau reporting; the US Consumer Financial Protection Bureau's BNPL research; and Rocket Money's public freemium business model as a precedent for offering core tracking and payment features to consumers at no charge. Competitive analogs reviewed for the cross-provider tracking and B2B exposure-reporting concepts include Cushion (US), GDS Link (US), and the Qlarifi–Equifax partnership (UK, September 2025). Full source links are kept in the project's research notes.</w:t>
      </w:r>
    </w:p>
    <w:p>
      <w:pPr>
        <w:pStyle w:val="Heading1"/>
        <w:pBdr>
          <w:bottom w:val="single" w:color="1F3864" w:sz="6" w:space="4"/>
        </w:pBdr>
        <w:spacing w:after="140" w:before="320"/>
      </w:pPr>
      <w:r>
        <w:rPr>
          <w:b/>
          <w:bCs/>
          <w:color w:val="1F3864"/>
          <w:sz w:val="27"/>
          <w:szCs w:val="27"/>
        </w:rPr>
        <w:t xml:space="preserve">13.  Document Approval</w:t>
      </w:r>
    </w:p>
    <w:p>
      <w:pPr>
        <w:spacing w:after="160" w:line="276" w:lineRule="auto"/>
        <w:jc w:val="both"/>
      </w:pPr>
      <w:r>
        <w:t xml:space="preserve">By signing below, the undersigned confirm their review and approval of this Business Requirements Document.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66"/>
        <w:gridCol w:w="2500"/>
        <w:gridCol w:w="2500"/>
        <w:gridCol w:w="2500"/>
      </w:tblGrid>
      <w:tr>
        <w:trPr>
          <w:tblHeader/>
        </w:trPr>
        <w:tc>
          <w:tcPr>
            <w:tcW w:type="dxa" w:w="2966"/>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25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Name</w:t>
            </w:r>
          </w:p>
        </w:tc>
        <w:tc>
          <w:tcPr>
            <w:tcW w:type="dxa" w:w="25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Signature</w:t>
            </w:r>
          </w:p>
        </w:tc>
        <w:tc>
          <w:tcPr>
            <w:tcW w:type="dxa" w:w="2500"/>
            <w:tcBorders>
              <w:top w:val="single" w:color="B7B7B7" w:sz="2"/>
              <w:left w:val="single" w:color="B7B7B7" w:sz="2"/>
              <w:bottom w:val="single" w:color="B7B7B7" w:sz="2"/>
              <w:right w:val="single" w:color="B7B7B7" w:sz="2"/>
            </w:tcBorders>
            <w:shd w:fill="1F3864"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29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Business Sponsor</w:t>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r>
      <w:tr>
        <w:tc>
          <w:tcPr>
            <w:tcW w:type="dxa" w:w="29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Product Manager</w:t>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r>
      <w:tr>
        <w:tc>
          <w:tcPr>
            <w:tcW w:type="dxa" w:w="2966"/>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Compliance Officer</w:t>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tcMar>
              <w:top w:type="dxa" w:w="80"/>
              <w:left w:type="dxa" w:w="100"/>
              <w:bottom w:type="dxa" w:w="80"/>
              <w:right w:type="dxa" w:w="100"/>
            </w:tcMar>
            <w:vAlign w:val="center"/>
          </w:tcPr>
          <w:p>
            <w:pPr>
              <w:jc w:val="left"/>
            </w:pPr>
            <w:r>
              <w:rPr>
                <w:b w:val="false"/>
                <w:bCs w:val="false"/>
                <w:sz w:val="18"/>
                <w:szCs w:val="18"/>
              </w:rPr>
              <w:t xml:space="preserve"/>
            </w:r>
          </w:p>
        </w:tc>
      </w:tr>
      <w:tr>
        <w:tc>
          <w:tcPr>
            <w:tcW w:type="dxa" w:w="2966"/>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Business Analyst</w:t>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c>
          <w:tcPr>
            <w:tcW w:type="dxa" w:w="2500"/>
            <w:tcBorders>
              <w:top w:val="single" w:color="B7B7B7" w:sz="2"/>
              <w:left w:val="single" w:color="B7B7B7" w:sz="2"/>
              <w:bottom w:val="single" w:color="B7B7B7" w:sz="2"/>
              <w:right w:val="single" w:color="B7B7B7" w:sz="2"/>
            </w:tcBorders>
            <w:shd w:fill="F2F2F2" w:val="clear"/>
            <w:tcMar>
              <w:top w:type="dxa" w:w="80"/>
              <w:left w:type="dxa" w:w="100"/>
              <w:bottom w:type="dxa" w:w="80"/>
              <w:right w:type="dxa" w:w="100"/>
            </w:tcMar>
            <w:vAlign w:val="center"/>
          </w:tcPr>
          <w:p>
            <w:pPr>
              <w:jc w:val="left"/>
            </w:pPr>
            <w:r>
              <w:rPr>
                <w:b w:val="false"/>
                <w:bCs w:val="false"/>
                <w:sz w:val="18"/>
                <w:szCs w:val="18"/>
              </w:rPr>
              <w:t xml:space="preserve"/>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2026-09-06T09:01:50.133Z</dcterms:created>
  <dcterms:modified xsi:type="dcterms:W3CDTF">2026-09-06T09:01:50.143Z</dcterms:modified>
</cp:coreProperties>
</file>

<file path=docProps/custom.xml><?xml version="1.0" encoding="utf-8"?>
<Properties xmlns="http://schemas.openxmlformats.org/officeDocument/2006/custom-properties" xmlns:vt="http://schemas.openxmlformats.org/officeDocument/2006/docPropsVTypes"/>
</file>