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F3864"/>
          <w:sz w:val="52"/>
          <w:szCs w:val="52"/>
        </w:rPr>
        <w:t xml:space="preserve">BNPL COMMAND CENTER</w:t>
      </w:r>
    </w:p>
    <w:p>
      <w:pPr>
        <w:spacing w:after="800" w:before="200"/>
        <w:jc w:val="center"/>
      </w:pPr>
      <w:r>
        <w:rPr>
          <w:color w:val="444444"/>
          <w:sz w:val="30"/>
          <w:szCs w:val="30"/>
        </w:rPr>
        <w:t xml:space="preserve">Power BI Build Guide</w:t>
      </w:r>
    </w:p>
    <w:p>
      <w:pPr>
        <w:jc w:val="center"/>
      </w:pPr>
      <w:r>
        <w:rPr>
          <w:i/>
          <w:iCs/>
          <w:color w:val="666666"/>
          <w:sz w:val="22"/>
          <w:szCs w:val="22"/>
        </w:rPr>
        <w:t xml:space="preserve">Step-by-step instructions for building the internal Risk Exposure Dashboard (FRD Screen S7) in Power BI Desktop</w:t>
      </w:r>
    </w:p>
    <w:p>
      <w:pPr>
        <w:spacing w:before="120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000"/>
        <w:gridCol w:w="6240"/>
      </w:tblGrid>
      <w:tr>
        <w:trPr>
          <w:tblHeader/>
        </w:trPr>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Field</w:t>
            </w:r>
          </w:p>
        </w:tc>
        <w:tc>
          <w:tcPr>
            <w:tcW w:type="dxa" w:w="6240"/>
            <w:shd w:fill="1F3864" w:val="clear"/>
            <w:tcMar>
              <w:top w:type="dxa" w:w="80"/>
              <w:left w:type="dxa" w:w="100"/>
              <w:bottom w:type="dxa" w:w="80"/>
              <w:right w:type="dxa" w:w="100"/>
            </w:tcMar>
            <w:vAlign w:val="center"/>
          </w:tcPr>
          <w:p>
            <w:pPr>
              <w:jc w:val="left"/>
            </w:pPr>
            <w:r>
              <w:rPr>
                <w:b/>
                <w:bCs/>
                <w:color w:val="FFFFFF"/>
                <w:sz w:val="20"/>
                <w:szCs w:val="20"/>
              </w:rPr>
              <w:t xml:space="preserve">Value</w:t>
            </w:r>
          </w:p>
        </w:tc>
      </w:tr>
      <w:tr>
        <w:tc>
          <w:tcPr>
            <w:tcW w:type="dxa" w:w="3000"/>
            <w:tcMar>
              <w:top w:type="dxa" w:w="80"/>
              <w:left w:type="dxa" w:w="100"/>
              <w:bottom w:type="dxa" w:w="80"/>
              <w:right w:type="dxa" w:w="100"/>
            </w:tcMar>
            <w:vAlign w:val="center"/>
          </w:tcPr>
          <w:p>
            <w:pPr>
              <w:jc w:val="left"/>
            </w:pPr>
            <w:r>
              <w:rPr>
                <w:b w:val="false"/>
                <w:bCs w:val="false"/>
                <w:sz w:val="20"/>
                <w:szCs w:val="20"/>
              </w:rPr>
              <w:t xml:space="preserve">Document Type</w:t>
            </w:r>
          </w:p>
        </w:tc>
        <w:tc>
          <w:tcPr>
            <w:tcW w:type="dxa" w:w="6240"/>
            <w:tcMar>
              <w:top w:type="dxa" w:w="80"/>
              <w:left w:type="dxa" w:w="100"/>
              <w:bottom w:type="dxa" w:w="80"/>
              <w:right w:type="dxa" w:w="100"/>
            </w:tcMar>
            <w:vAlign w:val="center"/>
          </w:tcPr>
          <w:p>
            <w:pPr>
              <w:jc w:val="left"/>
            </w:pPr>
            <w:r>
              <w:rPr>
                <w:b w:val="false"/>
                <w:bCs w:val="false"/>
                <w:sz w:val="20"/>
                <w:szCs w:val="20"/>
              </w:rPr>
              <w:t xml:space="preserve">Power BI Build Guide</w:t>
            </w:r>
          </w:p>
        </w:tc>
      </w:tr>
      <w:tr>
        <w:tc>
          <w:tcPr>
            <w:tcW w:type="dxa" w:w="3000"/>
            <w:shd w:fill="F2F2F2" w:val="clear"/>
            <w:tcMar>
              <w:top w:type="dxa" w:w="80"/>
              <w:left w:type="dxa" w:w="100"/>
              <w:bottom w:type="dxa" w:w="80"/>
              <w:right w:type="dxa" w:w="100"/>
            </w:tcMar>
            <w:vAlign w:val="center"/>
          </w:tcPr>
          <w:p>
            <w:pPr>
              <w:jc w:val="left"/>
            </w:pPr>
            <w:r>
              <w:rPr>
                <w:b w:val="false"/>
                <w:bCs w:val="false"/>
                <w:sz w:val="20"/>
                <w:szCs w:val="20"/>
              </w:rPr>
              <w:t xml:space="preserve">Project Name</w:t>
            </w:r>
          </w:p>
        </w:tc>
        <w:tc>
          <w:tcPr>
            <w:tcW w:type="dxa" w:w="6240"/>
            <w:shd w:fill="F2F2F2" w:val="clear"/>
            <w:tcMar>
              <w:top w:type="dxa" w:w="80"/>
              <w:left w:type="dxa" w:w="100"/>
              <w:bottom w:type="dxa" w:w="80"/>
              <w:right w:type="dxa" w:w="100"/>
            </w:tcMar>
            <w:vAlign w:val="center"/>
          </w:tcPr>
          <w:p>
            <w:pPr>
              <w:jc w:val="left"/>
            </w:pPr>
            <w:r>
              <w:rPr>
                <w:b w:val="false"/>
                <w:bCs w:val="false"/>
                <w:sz w:val="20"/>
                <w:szCs w:val="20"/>
              </w:rPr>
              <w:t xml:space="preserve">BNPL Command Center</w:t>
            </w:r>
          </w:p>
        </w:tc>
      </w:tr>
      <w:tr>
        <w:tc>
          <w:tcPr>
            <w:tcW w:type="dxa" w:w="3000"/>
            <w:tcMar>
              <w:top w:type="dxa" w:w="80"/>
              <w:left w:type="dxa" w:w="100"/>
              <w:bottom w:type="dxa" w:w="80"/>
              <w:right w:type="dxa" w:w="100"/>
            </w:tcMar>
            <w:vAlign w:val="center"/>
          </w:tcPr>
          <w:p>
            <w:pPr>
              <w:jc w:val="left"/>
            </w:pPr>
            <w:r>
              <w:rPr>
                <w:b w:val="false"/>
                <w:bCs w:val="false"/>
                <w:sz w:val="20"/>
                <w:szCs w:val="20"/>
              </w:rPr>
              <w:t xml:space="preserve">Version</w:t>
            </w:r>
          </w:p>
        </w:tc>
        <w:tc>
          <w:tcPr>
            <w:tcW w:type="dxa" w:w="6240"/>
            <w:tcMar>
              <w:top w:type="dxa" w:w="80"/>
              <w:left w:type="dxa" w:w="100"/>
              <w:bottom w:type="dxa" w:w="80"/>
              <w:right w:type="dxa" w:w="100"/>
            </w:tcMar>
            <w:vAlign w:val="center"/>
          </w:tcPr>
          <w:p>
            <w:pPr>
              <w:jc w:val="left"/>
            </w:pPr>
            <w:r>
              <w:rPr>
                <w:b w:val="false"/>
                <w:bCs w:val="false"/>
                <w:sz w:val="20"/>
                <w:szCs w:val="20"/>
              </w:rPr>
              <w:t xml:space="preserve">1.0</w:t>
            </w:r>
          </w:p>
        </w:tc>
      </w:tr>
      <w:tr>
        <w:tc>
          <w:tcPr>
            <w:tcW w:type="dxa" w:w="3000"/>
            <w:shd w:fill="F2F2F2" w:val="clear"/>
            <w:tcMar>
              <w:top w:type="dxa" w:w="80"/>
              <w:left w:type="dxa" w:w="100"/>
              <w:bottom w:type="dxa" w:w="80"/>
              <w:right w:type="dxa" w:w="100"/>
            </w:tcMar>
            <w:vAlign w:val="center"/>
          </w:tcPr>
          <w:p>
            <w:pPr>
              <w:jc w:val="left"/>
            </w:pPr>
            <w:r>
              <w:rPr>
                <w:b w:val="false"/>
                <w:bCs w:val="false"/>
                <w:sz w:val="20"/>
                <w:szCs w:val="20"/>
              </w:rPr>
              <w:t xml:space="preserve">Status</w:t>
            </w:r>
          </w:p>
        </w:tc>
        <w:tc>
          <w:tcPr>
            <w:tcW w:type="dxa" w:w="6240"/>
            <w:shd w:fill="F2F2F2" w:val="clear"/>
            <w:tcMar>
              <w:top w:type="dxa" w:w="80"/>
              <w:left w:type="dxa" w:w="100"/>
              <w:bottom w:type="dxa" w:w="80"/>
              <w:right w:type="dxa" w:w="100"/>
            </w:tcMar>
            <w:vAlign w:val="center"/>
          </w:tcPr>
          <w:p>
            <w:pPr>
              <w:jc w:val="left"/>
            </w:pPr>
            <w:r>
              <w:rPr>
                <w:b w:val="false"/>
                <w:bCs w:val="false"/>
                <w:sz w:val="20"/>
                <w:szCs w:val="20"/>
              </w:rPr>
              <w:t xml:space="preserve">Draft</w:t>
            </w:r>
          </w:p>
        </w:tc>
      </w:tr>
      <w:tr>
        <w:tc>
          <w:tcPr>
            <w:tcW w:type="dxa" w:w="3000"/>
            <w:tcMar>
              <w:top w:type="dxa" w:w="80"/>
              <w:left w:type="dxa" w:w="100"/>
              <w:bottom w:type="dxa" w:w="80"/>
              <w:right w:type="dxa" w:w="100"/>
            </w:tcMar>
            <w:vAlign w:val="center"/>
          </w:tcPr>
          <w:p>
            <w:pPr>
              <w:jc w:val="left"/>
            </w:pPr>
            <w:r>
              <w:rPr>
                <w:b w:val="false"/>
                <w:bCs w:val="false"/>
                <w:sz w:val="20"/>
                <w:szCs w:val="20"/>
              </w:rPr>
              <w:t xml:space="preserve">Related Documents</w:t>
            </w:r>
          </w:p>
        </w:tc>
        <w:tc>
          <w:tcPr>
            <w:tcW w:type="dxa" w:w="6240"/>
            <w:tcMar>
              <w:top w:type="dxa" w:w="80"/>
              <w:left w:type="dxa" w:w="100"/>
              <w:bottom w:type="dxa" w:w="80"/>
              <w:right w:type="dxa" w:w="100"/>
            </w:tcMar>
            <w:vAlign w:val="center"/>
          </w:tcPr>
          <w:p>
            <w:pPr>
              <w:jc w:val="left"/>
            </w:pPr>
            <w:r>
              <w:rPr>
                <w:b w:val="false"/>
                <w:bCs w:val="false"/>
                <w:sz w:val="20"/>
                <w:szCs w:val="20"/>
              </w:rPr>
              <w:t xml:space="preserve">BRD v1.0, FRD v1.0 (Screen S7), SQL deliverable (Q11 funnel)</w:t>
            </w:r>
          </w:p>
        </w:tc>
      </w:tr>
      <w:tr>
        <w:tc>
          <w:tcPr>
            <w:tcW w:type="dxa" w:w="3000"/>
            <w:shd w:fill="F2F2F2" w:val="clear"/>
            <w:tcMar>
              <w:top w:type="dxa" w:w="80"/>
              <w:left w:type="dxa" w:w="100"/>
              <w:bottom w:type="dxa" w:w="80"/>
              <w:right w:type="dxa" w:w="100"/>
            </w:tcMar>
            <w:vAlign w:val="center"/>
          </w:tcPr>
          <w:p>
            <w:pPr>
              <w:jc w:val="left"/>
            </w:pPr>
            <w:r>
              <w:rPr>
                <w:b w:val="false"/>
                <w:bCs w:val="false"/>
                <w:sz w:val="20"/>
                <w:szCs w:val="20"/>
              </w:rPr>
              <w:t xml:space="preserve">Prepared By</w:t>
            </w:r>
          </w:p>
        </w:tc>
        <w:tc>
          <w:tcPr>
            <w:tcW w:type="dxa" w:w="6240"/>
            <w:shd w:fill="F2F2F2" w:val="clear"/>
            <w:tcMar>
              <w:top w:type="dxa" w:w="80"/>
              <w:left w:type="dxa" w:w="100"/>
              <w:bottom w:type="dxa" w:w="80"/>
              <w:right w:type="dxa" w:w="100"/>
            </w:tcMar>
            <w:vAlign w:val="center"/>
          </w:tcPr>
          <w:p>
            <w:pPr>
              <w:jc w:val="left"/>
            </w:pPr>
            <w:r>
              <w:rPr>
                <w:b w:val="false"/>
                <w:bCs w:val="false"/>
                <w:sz w:val="20"/>
                <w:szCs w:val="20"/>
              </w:rPr>
              <w:t xml:space="preserve">[Your Name]</w:t>
            </w:r>
          </w:p>
        </w:tc>
      </w:tr>
      <w:tr>
        <w:tc>
          <w:tcPr>
            <w:tcW w:type="dxa" w:w="3000"/>
            <w:tcMar>
              <w:top w:type="dxa" w:w="80"/>
              <w:left w:type="dxa" w:w="100"/>
              <w:bottom w:type="dxa" w:w="80"/>
              <w:right w:type="dxa" w:w="100"/>
            </w:tcMar>
            <w:vAlign w:val="center"/>
          </w:tcPr>
          <w:p>
            <w:pPr>
              <w:jc w:val="left"/>
            </w:pPr>
            <w:r>
              <w:rPr>
                <w:b w:val="false"/>
                <w:bCs w:val="false"/>
                <w:sz w:val="20"/>
                <w:szCs w:val="20"/>
              </w:rPr>
              <w:t xml:space="preserve">Date</w:t>
            </w:r>
          </w:p>
        </w:tc>
        <w:tc>
          <w:tcPr>
            <w:tcW w:type="dxa" w:w="6240"/>
            <w:tcMar>
              <w:top w:type="dxa" w:w="80"/>
              <w:left w:type="dxa" w:w="100"/>
              <w:bottom w:type="dxa" w:w="80"/>
              <w:right w:type="dxa" w:w="100"/>
            </w:tcMar>
            <w:vAlign w:val="center"/>
          </w:tcPr>
          <w:p>
            <w:pPr>
              <w:jc w:val="left"/>
            </w:pPr>
            <w:r>
              <w:rPr>
                <w:b w:val="false"/>
                <w:bCs w:val="false"/>
                <w:sz w:val="20"/>
                <w:szCs w:val="20"/>
              </w:rPr>
              <w:t xml:space="preserve">September 2026</w:t>
            </w:r>
          </w:p>
        </w:tc>
      </w:tr>
    </w:tbl>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Prerequisites</w:t>
      </w:r>
    </w:p>
    <w:p>
      <w:pPr>
        <w:spacing w:after="160"/>
      </w:pPr>
      <w:r>
        <w:t xml:space="preserve">This guide turns the star-schema data files in this folder's data/ subfolder into a working Power BI dashboard — the same dashboard the FRD calls Screen S7 (Internal Risk Exposure Dashboard, staff-facing), used by Risk &amp; Compliance and Product staff to see stacking exposure, late-payment trends, and the consolidation funnel at a glance.</w:t>
      </w:r>
    </w:p>
    <w:p>
      <w:pPr>
        <w:spacing w:after="160"/>
      </w:pPr>
      <w:r>
        <w:t xml:space="preserve">What you need:</w:t>
      </w:r>
    </w:p>
    <w:p>
      <w:pPr>
        <w:pStyle w:val="ListParagraph"/>
        <w:numPr>
          <w:ilvl w:val="0"/>
          <w:numId w:val="2"/>
        </w:numPr>
        <w:spacing w:after="80"/>
      </w:pPr>
      <w:r>
        <w:t xml:space="preserve">Power BI Desktop — free, Windows only. Download from Microsoft's official site if it isn't already installed.</w:t>
      </w:r>
    </w:p>
    <w:p>
      <w:pPr>
        <w:pStyle w:val="ListParagraph"/>
        <w:numPr>
          <w:ilvl w:val="0"/>
          <w:numId w:val="2"/>
        </w:numPr>
        <w:spacing w:after="80"/>
      </w:pPr>
      <w:r>
        <w:t xml:space="preserve">The 5 CSV files in data/: dim_customer.csv, dim_provider.csv, dim_date.csv, fact_obligation.csv, fact_offer.csv.</w:t>
      </w:r>
    </w:p>
    <w:p>
      <w:pPr>
        <w:spacing w:after="160"/>
      </w:pPr>
      <w:r>
        <w:t>A finished .pbix (BNPL_Command_Center_PowerBI_Dashboard.pbix) is included in this folder, built by following the steps below. Power BI Desktop is a Windows desktop application and couldn't be driven from the cloud workspace this project was otherwise built in, so the data model and every DAX measure in it were built by hand on a local machine, step by step — which is also genuinely how the skill forms. This guide documents that same process so it can be reproduced or reviewed.</w:t>
      </w:r>
    </w:p>
    <w:p>
      <w:pPr>
        <w:pStyle w:val="Heading1"/>
        <w:spacing w:after="160" w:before="360"/>
      </w:pPr>
      <w:r>
        <w:t xml:space="preserve">2. The Data Model (Star Schema)</w:t>
      </w:r>
    </w:p>
    <w:p>
      <w:pPr>
        <w:spacing w:after="160"/>
      </w:pPr>
      <w:r>
        <w:t xml:space="preserve">This project uses a star schema — the standard data modeling pattern for BI tools (Power BI, Tableau, and most data warehouses). It splits data into two kinds of tables:</w:t>
      </w:r>
    </w:p>
    <w:p>
      <w:pPr>
        <w:pStyle w:val="ListParagraph"/>
        <w:numPr>
          <w:ilvl w:val="0"/>
          <w:numId w:val="2"/>
        </w:numPr>
        <w:spacing w:after="80"/>
      </w:pPr>
      <w:r>
        <w:t xml:space="preserve">Fact tables — the events being measured. Here: fact_obligation (one row per BNPL repayment cycle) and fact_offer (one row per consolidation loan offer). Fact tables are usually long (many rows) and narrow (mostly numbers and foreign keys).</w:t>
      </w:r>
    </w:p>
    <w:p>
      <w:pPr>
        <w:pStyle w:val="ListParagraph"/>
        <w:numPr>
          <w:ilvl w:val="0"/>
          <w:numId w:val="2"/>
        </w:numPr>
        <w:spacing w:after="80"/>
      </w:pPr>
      <w:r>
        <w:t xml:space="preserve">Dimension tables — the things the events happened to or on. Here: dim_customer (who), dim_provider (which BNPL provider), dim_date (when). Dimension tables are usually short and wide (mostly descriptive text).</w:t>
      </w:r>
    </w:p>
    <w:p>
      <w:pPr>
        <w:spacing w:after="160"/>
      </w:pPr>
      <w:r>
        <w:t xml:space="preserve">The shape (why it's called a 'star'):</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Star schema — fact tables in the center, dimensions around them</w:t>
            </w:r>
          </w:p>
          <w:p>
            <w:pPr>
              <w:spacing w:after="40"/>
            </w:pPr>
            <w:r>
              <w:rPr>
                <w:rFonts w:ascii="Consolas" w:cs="Consolas" w:eastAsia="Consolas" w:hAnsi="Consolas"/>
                <w:sz w:val="20"/>
                <w:szCs w:val="20"/>
              </w:rPr>
              <w:t xml:space="preserve">                dim_customer</w:t>
            </w:r>
          </w:p>
          <w:p>
            <w:pPr>
              <w:spacing w:after="40"/>
            </w:pPr>
            <w:r>
              <w:rPr>
                <w:rFonts w:ascii="Consolas" w:cs="Consolas" w:eastAsia="Consolas" w:hAnsi="Consolas"/>
                <w:sz w:val="20"/>
                <w:szCs w:val="20"/>
              </w:rPr>
              <w:t xml:space="preserve">                     |</w:t>
            </w:r>
          </w:p>
          <w:p>
            <w:pPr>
              <w:spacing w:after="40"/>
            </w:pPr>
            <w:r>
              <w:rPr>
                <w:rFonts w:ascii="Consolas" w:cs="Consolas" w:eastAsia="Consolas" w:hAnsi="Consolas"/>
                <w:sz w:val="20"/>
                <w:szCs w:val="20"/>
              </w:rPr>
              <w:t xml:space="preserve">                     | CustomerID</w:t>
            </w:r>
          </w:p>
          <w:p>
            <w:pPr>
              <w:spacing w:after="40"/>
            </w:pPr>
            <w:r>
              <w:rPr>
                <w:rFonts w:ascii="Consolas" w:cs="Consolas" w:eastAsia="Consolas" w:hAnsi="Consolas"/>
                <w:sz w:val="20"/>
                <w:szCs w:val="20"/>
              </w:rPr>
              <w:t xml:space="preserve">                     |</w:t>
            </w:r>
          </w:p>
          <w:p>
            <w:pPr>
              <w:spacing w:after="40"/>
            </w:pPr>
            <w:r>
              <w:rPr>
                <w:rFonts w:ascii="Consolas" w:cs="Consolas" w:eastAsia="Consolas" w:hAnsi="Consolas"/>
                <w:sz w:val="20"/>
                <w:szCs w:val="20"/>
              </w:rPr>
              <w:t xml:space="preserve">  dim_provider ---- fact_obligation ---- dim_date</w:t>
            </w:r>
          </w:p>
          <w:p>
            <w:pPr>
              <w:spacing w:after="40"/>
            </w:pPr>
            <w:r>
              <w:rPr>
                <w:rFonts w:ascii="Consolas" w:cs="Consolas" w:eastAsia="Consolas" w:hAnsi="Consolas"/>
                <w:sz w:val="20"/>
                <w:szCs w:val="20"/>
              </w:rPr>
              <w:t xml:space="preserve">   ProviderID            |              DueDateKey</w:t>
            </w:r>
          </w:p>
          <w:p>
            <w:pPr>
              <w:spacing w:after="40"/>
            </w:pPr>
            <w:r>
              <w:rPr>
                <w:rFonts w:ascii="Consolas" w:cs="Consolas" w:eastAsia="Consolas" w:hAnsi="Consolas"/>
                <w:sz w:val="20"/>
                <w:szCs w:val="20"/>
              </w:rPr>
              <w:t xml:space="preserve">                         |</w:t>
            </w:r>
          </w:p>
          <w:p>
            <w:pPr>
              <w:spacing w:after="40"/>
            </w:pPr>
            <w:r>
              <w:rPr>
                <w:rFonts w:ascii="Consolas" w:cs="Consolas" w:eastAsia="Consolas" w:hAnsi="Consolas"/>
                <w:sz w:val="20"/>
                <w:szCs w:val="20"/>
              </w:rPr>
              <w:t xml:space="preserve">                    (also used by)</w:t>
            </w:r>
          </w:p>
          <w:p>
            <w:pPr>
              <w:spacing w:after="40"/>
            </w:pPr>
            <w:r>
              <w:rPr>
                <w:rFonts w:ascii="Consolas" w:cs="Consolas" w:eastAsia="Consolas" w:hAnsi="Consolas"/>
                <w:sz w:val="20"/>
                <w:szCs w:val="20"/>
              </w:rPr>
              <w:t xml:space="preserve">                         |</w:t>
            </w:r>
          </w:p>
          <w:p>
            <w:pPr>
              <w:spacing w:after="40"/>
            </w:pPr>
            <w:r>
              <w:rPr>
                <w:rFonts w:ascii="Consolas" w:cs="Consolas" w:eastAsia="Consolas" w:hAnsi="Consolas"/>
                <w:sz w:val="20"/>
                <w:szCs w:val="20"/>
              </w:rPr>
              <w:t xml:space="preserve">                    fact_offer ---- dim_date</w:t>
            </w:r>
          </w:p>
          <w:p>
            <w:pPr>
              <w:spacing w:after="40"/>
            </w:pPr>
            <w:r>
              <w:rPr>
                <w:rFonts w:ascii="Consolas" w:cs="Consolas" w:eastAsia="Consolas" w:hAnsi="Consolas"/>
                <w:sz w:val="20"/>
                <w:szCs w:val="20"/>
              </w:rPr>
              <w:t xml:space="preserve">                         |           OfferDateKey</w:t>
            </w:r>
          </w:p>
          <w:p>
            <w:pPr>
              <w:spacing w:after="40"/>
            </w:pPr>
            <w:r>
              <w:rPr>
                <w:rFonts w:ascii="Consolas" w:cs="Consolas" w:eastAsia="Consolas" w:hAnsi="Consolas"/>
                <w:sz w:val="20"/>
                <w:szCs w:val="20"/>
              </w:rPr>
              <w:t xml:space="preserve">                    CustomerID</w:t>
            </w:r>
          </w:p>
          <w:p>
            <w:pPr>
              <w:spacing w:after="40"/>
            </w:pPr>
            <w:r>
              <w:rPr>
                <w:rFonts w:ascii="Consolas" w:cs="Consolas" w:eastAsia="Consolas" w:hAnsi="Consolas"/>
                <w:sz w:val="20"/>
                <w:szCs w:val="20"/>
              </w:rPr>
              <w:t xml:space="preserve">                    (back to dim_customer)</w:t>
            </w:r>
          </w:p>
        </w:tc>
      </w:tr>
    </w:tbl>
    <w:p>
      <w:pPr>
        <w:spacing w:after="160"/>
      </w:pPr>
      <w:r>
        <w:t xml:space="preserve">Table reference:</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000"/>
        <w:gridCol w:w="264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Table</w:t>
            </w:r>
          </w:p>
        </w:tc>
        <w:tc>
          <w:tcPr>
            <w:tcW w:type="dxa" w:w="2200"/>
            <w:shd w:fill="1F3864" w:val="clear"/>
            <w:tcMar>
              <w:top w:type="dxa" w:w="80"/>
              <w:left w:type="dxa" w:w="100"/>
              <w:bottom w:type="dxa" w:w="80"/>
              <w:right w:type="dxa" w:w="100"/>
            </w:tcMar>
            <w:vAlign w:val="center"/>
          </w:tcPr>
          <w:p>
            <w:pPr>
              <w:jc w:val="left"/>
            </w:pPr>
            <w:r>
              <w:rPr>
                <w:b/>
                <w:bCs/>
                <w:color w:val="FFFFFF"/>
                <w:sz w:val="20"/>
                <w:szCs w:val="20"/>
              </w:rPr>
              <w:t xml:space="preserve">Grain (1 row =)</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Key</w:t>
            </w:r>
          </w:p>
        </w:tc>
        <w:tc>
          <w:tcPr>
            <w:tcW w:type="dxa" w:w="2640"/>
            <w:shd w:fill="1F3864" w:val="clear"/>
            <w:tcMar>
              <w:top w:type="dxa" w:w="80"/>
              <w:left w:type="dxa" w:w="100"/>
              <w:bottom w:type="dxa" w:w="80"/>
              <w:right w:type="dxa" w:w="100"/>
            </w:tcMar>
            <w:vAlign w:val="center"/>
          </w:tcPr>
          <w:p>
            <w:pPr>
              <w:jc w:val="left"/>
            </w:pPr>
            <w:r>
              <w:rPr>
                <w:b/>
                <w:bCs/>
                <w:color w:val="FFFFFF"/>
                <w:sz w:val="20"/>
                <w:szCs w:val="20"/>
              </w:rPr>
              <w:t xml:space="preserve">Row Count (sample data)</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dim_customer</w:t>
            </w:r>
          </w:p>
        </w:tc>
        <w:tc>
          <w:tcPr>
            <w:tcW w:type="dxa" w:w="2200"/>
            <w:tcMar>
              <w:top w:type="dxa" w:w="80"/>
              <w:left w:type="dxa" w:w="100"/>
              <w:bottom w:type="dxa" w:w="80"/>
              <w:right w:type="dxa" w:w="100"/>
            </w:tcMar>
            <w:vAlign w:val="center"/>
          </w:tcPr>
          <w:p>
            <w:pPr>
              <w:jc w:val="left"/>
            </w:pPr>
            <w:r>
              <w:rPr>
                <w:b w:val="false"/>
                <w:bCs w:val="false"/>
                <w:sz w:val="20"/>
                <w:szCs w:val="20"/>
              </w:rPr>
              <w:t xml:space="preserve">one customer</w:t>
            </w:r>
          </w:p>
        </w:tc>
        <w:tc>
          <w:tcPr>
            <w:tcW w:type="dxa" w:w="2000"/>
            <w:tcMar>
              <w:top w:type="dxa" w:w="80"/>
              <w:left w:type="dxa" w:w="100"/>
              <w:bottom w:type="dxa" w:w="80"/>
              <w:right w:type="dxa" w:w="100"/>
            </w:tcMar>
            <w:vAlign w:val="center"/>
          </w:tcPr>
          <w:p>
            <w:pPr>
              <w:jc w:val="left"/>
            </w:pPr>
            <w:r>
              <w:rPr>
                <w:b w:val="false"/>
                <w:bCs w:val="false"/>
                <w:sz w:val="20"/>
                <w:szCs w:val="20"/>
              </w:rPr>
              <w:t xml:space="preserve">CustomerID</w:t>
            </w:r>
          </w:p>
        </w:tc>
        <w:tc>
          <w:tcPr>
            <w:tcW w:type="dxa" w:w="2640"/>
            <w:tcMar>
              <w:top w:type="dxa" w:w="80"/>
              <w:left w:type="dxa" w:w="100"/>
              <w:bottom w:type="dxa" w:w="80"/>
              <w:right w:type="dxa" w:w="100"/>
            </w:tcMar>
            <w:vAlign w:val="center"/>
          </w:tcPr>
          <w:p>
            <w:pPr>
              <w:jc w:val="left"/>
            </w:pPr>
            <w:r>
              <w:rPr>
                <w:b w:val="false"/>
                <w:bCs w:val="false"/>
                <w:sz w:val="20"/>
                <w:szCs w:val="20"/>
              </w:rPr>
              <w:t xml:space="preserve">20</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dim_provider</w:t>
            </w:r>
          </w:p>
        </w:tc>
        <w:tc>
          <w:tcPr>
            <w:tcW w:type="dxa" w:w="2200"/>
            <w:shd w:fill="F2F2F2" w:val="clear"/>
            <w:tcMar>
              <w:top w:type="dxa" w:w="80"/>
              <w:left w:type="dxa" w:w="100"/>
              <w:bottom w:type="dxa" w:w="80"/>
              <w:right w:type="dxa" w:w="100"/>
            </w:tcMar>
            <w:vAlign w:val="center"/>
          </w:tcPr>
          <w:p>
            <w:pPr>
              <w:jc w:val="left"/>
            </w:pPr>
            <w:r>
              <w:rPr>
                <w:b w:val="false"/>
                <w:bCs w:val="false"/>
                <w:sz w:val="20"/>
                <w:szCs w:val="20"/>
              </w:rPr>
              <w:t xml:space="preserve">one BNPL provider</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ProviderID</w:t>
            </w:r>
          </w:p>
        </w:tc>
        <w:tc>
          <w:tcPr>
            <w:tcW w:type="dxa" w:w="2640"/>
            <w:shd w:fill="F2F2F2" w:val="clear"/>
            <w:tcMar>
              <w:top w:type="dxa" w:w="80"/>
              <w:left w:type="dxa" w:w="100"/>
              <w:bottom w:type="dxa" w:w="80"/>
              <w:right w:type="dxa" w:w="100"/>
            </w:tcMar>
            <w:vAlign w:val="center"/>
          </w:tcPr>
          <w:p>
            <w:pPr>
              <w:jc w:val="left"/>
            </w:pPr>
            <w:r>
              <w:rPr>
                <w:b w:val="false"/>
                <w:bCs w:val="false"/>
                <w:sz w:val="20"/>
                <w:szCs w:val="20"/>
              </w:rPr>
              <w:t xml:space="preserve">5</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dim_date</w:t>
            </w:r>
          </w:p>
        </w:tc>
        <w:tc>
          <w:tcPr>
            <w:tcW w:type="dxa" w:w="2200"/>
            <w:tcMar>
              <w:top w:type="dxa" w:w="80"/>
              <w:left w:type="dxa" w:w="100"/>
              <w:bottom w:type="dxa" w:w="80"/>
              <w:right w:type="dxa" w:w="100"/>
            </w:tcMar>
            <w:vAlign w:val="center"/>
          </w:tcPr>
          <w:p>
            <w:pPr>
              <w:jc w:val="left"/>
            </w:pPr>
            <w:r>
              <w:rPr>
                <w:b w:val="false"/>
                <w:bCs w:val="false"/>
                <w:sz w:val="20"/>
                <w:szCs w:val="20"/>
              </w:rPr>
              <w:t xml:space="preserve">one calendar date</w:t>
            </w:r>
          </w:p>
        </w:tc>
        <w:tc>
          <w:tcPr>
            <w:tcW w:type="dxa" w:w="2000"/>
            <w:tcMar>
              <w:top w:type="dxa" w:w="80"/>
              <w:left w:type="dxa" w:w="100"/>
              <w:bottom w:type="dxa" w:w="80"/>
              <w:right w:type="dxa" w:w="100"/>
            </w:tcMar>
            <w:vAlign w:val="center"/>
          </w:tcPr>
          <w:p>
            <w:pPr>
              <w:jc w:val="left"/>
            </w:pPr>
            <w:r>
              <w:rPr>
                <w:b w:val="false"/>
                <w:bCs w:val="false"/>
                <w:sz w:val="20"/>
                <w:szCs w:val="20"/>
              </w:rPr>
              <w:t xml:space="preserve">DateKey</w:t>
            </w:r>
          </w:p>
        </w:tc>
        <w:tc>
          <w:tcPr>
            <w:tcW w:type="dxa" w:w="2640"/>
            <w:tcMar>
              <w:top w:type="dxa" w:w="80"/>
              <w:left w:type="dxa" w:w="100"/>
              <w:bottom w:type="dxa" w:w="80"/>
              <w:right w:type="dxa" w:w="100"/>
            </w:tcMar>
            <w:vAlign w:val="center"/>
          </w:tcPr>
          <w:p>
            <w:pPr>
              <w:jc w:val="left"/>
            </w:pPr>
            <w:r>
              <w:rPr>
                <w:b w:val="false"/>
                <w:bCs w:val="false"/>
                <w:sz w:val="20"/>
                <w:szCs w:val="20"/>
              </w:rPr>
              <w:t xml:space="preserve">67</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fact_obligation</w:t>
            </w:r>
          </w:p>
        </w:tc>
        <w:tc>
          <w:tcPr>
            <w:tcW w:type="dxa" w:w="2200"/>
            <w:shd w:fill="F2F2F2" w:val="clear"/>
            <w:tcMar>
              <w:top w:type="dxa" w:w="80"/>
              <w:left w:type="dxa" w:w="100"/>
              <w:bottom w:type="dxa" w:w="80"/>
              <w:right w:type="dxa" w:w="100"/>
            </w:tcMar>
            <w:vAlign w:val="center"/>
          </w:tcPr>
          <w:p>
            <w:pPr>
              <w:jc w:val="left"/>
            </w:pPr>
            <w:r>
              <w:rPr>
                <w:b w:val="false"/>
                <w:bCs w:val="false"/>
                <w:sz w:val="20"/>
                <w:szCs w:val="20"/>
              </w:rPr>
              <w:t xml:space="preserve">one repayment cycle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ObligationID</w:t>
            </w:r>
          </w:p>
        </w:tc>
        <w:tc>
          <w:tcPr>
            <w:tcW w:type="dxa" w:w="2640"/>
            <w:shd w:fill="F2F2F2" w:val="clear"/>
            <w:tcMar>
              <w:top w:type="dxa" w:w="80"/>
              <w:left w:type="dxa" w:w="100"/>
              <w:bottom w:type="dxa" w:w="80"/>
              <w:right w:type="dxa" w:w="100"/>
            </w:tcMar>
            <w:vAlign w:val="center"/>
          </w:tcPr>
          <w:p>
            <w:pPr>
              <w:jc w:val="left"/>
            </w:pPr>
            <w:r>
              <w:rPr>
                <w:b w:val="false"/>
                <w:bCs w:val="false"/>
                <w:sz w:val="20"/>
                <w:szCs w:val="20"/>
              </w:rPr>
              <w:t xml:space="preserve">90</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fact_offer</w:t>
            </w:r>
          </w:p>
        </w:tc>
        <w:tc>
          <w:tcPr>
            <w:tcW w:type="dxa" w:w="2200"/>
            <w:tcMar>
              <w:top w:type="dxa" w:w="80"/>
              <w:left w:type="dxa" w:w="100"/>
              <w:bottom w:type="dxa" w:w="80"/>
              <w:right w:type="dxa" w:w="100"/>
            </w:tcMar>
            <w:vAlign w:val="center"/>
          </w:tcPr>
          <w:p>
            <w:pPr>
              <w:jc w:val="left"/>
            </w:pPr>
            <w:r>
              <w:rPr>
                <w:b w:val="false"/>
                <w:bCs w:val="false"/>
                <w:sz w:val="20"/>
                <w:szCs w:val="20"/>
              </w:rPr>
              <w:t xml:space="preserve">one consolidation offer</w:t>
            </w:r>
          </w:p>
        </w:tc>
        <w:tc>
          <w:tcPr>
            <w:tcW w:type="dxa" w:w="2000"/>
            <w:tcMar>
              <w:top w:type="dxa" w:w="80"/>
              <w:left w:type="dxa" w:w="100"/>
              <w:bottom w:type="dxa" w:w="80"/>
              <w:right w:type="dxa" w:w="100"/>
            </w:tcMar>
            <w:vAlign w:val="center"/>
          </w:tcPr>
          <w:p>
            <w:pPr>
              <w:jc w:val="left"/>
            </w:pPr>
            <w:r>
              <w:rPr>
                <w:b w:val="false"/>
                <w:bCs w:val="false"/>
                <w:sz w:val="20"/>
                <w:szCs w:val="20"/>
              </w:rPr>
              <w:t xml:space="preserve">OfferID</w:t>
            </w:r>
          </w:p>
        </w:tc>
        <w:tc>
          <w:tcPr>
            <w:tcW w:type="dxa" w:w="2640"/>
            <w:tcMar>
              <w:top w:type="dxa" w:w="80"/>
              <w:left w:type="dxa" w:w="100"/>
              <w:bottom w:type="dxa" w:w="80"/>
              <w:right w:type="dxa" w:w="100"/>
            </w:tcMar>
            <w:vAlign w:val="center"/>
          </w:tcPr>
          <w:p>
            <w:pPr>
              <w:jc w:val="left"/>
            </w:pPr>
            <w:r>
              <w:rPr>
                <w:b w:val="false"/>
                <w:bCs w:val="false"/>
                <w:sz w:val="20"/>
                <w:szCs w:val="20"/>
              </w:rPr>
              <w:t xml:space="preserve">4</w:t>
            </w:r>
          </w:p>
        </w:tc>
      </w:tr>
    </w:tbl>
    <w:p>
      <w:pPr>
        <w:spacing w:after="160"/>
      </w:pPr>
      <w:r>
        <w:t xml:space="preserve">Why bother with a star schema instead of one big flat table? Two reasons that matter in real BI work: (1) it avoids repeating customer/provider details on every single transaction row, which keeps the file size down and avoids inconsistent copies of the same fact; (2) Power BI's DAX language is specifically optimized to calculate across relationships between fact and dimension tables — most performance problems in real Power BI reports trace back to someone not using a star schema.</w:t>
      </w:r>
    </w:p>
    <w:p>
      <w:pPr>
        <w:pStyle w:val="Heading1"/>
        <w:spacing w:after="160" w:before="360"/>
      </w:pPr>
      <w:r>
        <w:t xml:space="preserve">3. Step 1 — Import the Data</w:t>
      </w:r>
    </w:p>
    <w:p>
      <w:pPr>
        <w:pStyle w:val="ListParagraph"/>
        <w:numPr>
          <w:ilvl w:val="0"/>
          <w:numId w:val="3"/>
        </w:numPr>
        <w:spacing w:after="100"/>
      </w:pPr>
      <w:r>
        <w:t xml:space="preserve">Open Power BI Desktop. Choose Get Data -&gt; Text/CSV.</w:t>
      </w:r>
    </w:p>
    <w:p>
      <w:pPr>
        <w:pStyle w:val="ListParagraph"/>
        <w:numPr>
          <w:ilvl w:val="0"/>
          <w:numId w:val="3"/>
        </w:numPr>
        <w:spacing w:after="100"/>
      </w:pPr>
      <w:r>
        <w:t xml:space="preserve">Select dim_customer.csv. Power BI will preview the data — check that the column types look right (CustomerID as Whole Number, MonthlyIncome as Decimal Number, etc.), then click Load.</w:t>
      </w:r>
    </w:p>
    <w:p>
      <w:pPr>
        <w:pStyle w:val="ListParagraph"/>
        <w:numPr>
          <w:ilvl w:val="0"/>
          <w:numId w:val="3"/>
        </w:numPr>
        <w:spacing w:after="100"/>
      </w:pPr>
      <w:r>
        <w:t xml:space="preserve">Repeat for dim_provider.csv, dim_date.csv, fact_obligation.csv, and fact_offer.csv.</w:t>
      </w:r>
    </w:p>
    <w:p>
      <w:pPr>
        <w:pStyle w:val="ListParagraph"/>
        <w:numPr>
          <w:ilvl w:val="0"/>
          <w:numId w:val="3"/>
        </w:numPr>
        <w:spacing w:after="100"/>
      </w:pPr>
      <w:r>
        <w:t xml:space="preserve">In the Fields pane (right side), confirm all 5 tables now appear.</w:t>
      </w:r>
    </w:p>
    <w:p>
      <w:pPr>
        <w:spacing w:after="160"/>
      </w:pPr>
      <w:r>
        <w:t xml:space="preserve">Tip: if a date column loads as text instead of a date, click the column header in Power Query Editor (Transform Data) and change its type to Date before loading — DAX date functions and Power BI's built-in date hierarchy both depend on the column actually being typed as a date, not text that merely looks like one.</w:t>
      </w:r>
    </w:p>
    <w:p>
      <w:pPr>
        <w:pStyle w:val="Heading1"/>
        <w:spacing w:after="160" w:before="360"/>
      </w:pPr>
      <w:r>
        <w:t xml:space="preserve">4. Step 2 — Build the Relationships (Model View)</w:t>
      </w:r>
    </w:p>
    <w:p>
      <w:pPr>
        <w:spacing w:after="160"/>
      </w:pPr>
      <w:r>
        <w:t xml:space="preserve">Switch to Model view (the icon on the left sidebar that looks like connected boxes). Power BI often auto-detects relationships when column names match exactly — verify every one rather than trusting it blindly, since a wrong auto-detected relationship silently produces wrong numbers everywhere downstream.</w:t>
      </w:r>
    </w:p>
    <w:p>
      <w:pPr>
        <w:spacing w:after="160"/>
      </w:pPr>
      <w:r>
        <w:t xml:space="preserve">Create these relationships by dragging from the first column to the second (or use Manage Relationships -&gt; New if autodetect already created one and you're checking it):</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1600"/>
        <w:gridCol w:w="1840"/>
      </w:tblGrid>
      <w:tr>
        <w:trPr>
          <w:tblHeader/>
        </w:trPr>
        <w:tc>
          <w:tcPr>
            <w:tcW w:type="dxa" w:w="2900"/>
            <w:shd w:fill="1F3864" w:val="clear"/>
            <w:tcMar>
              <w:top w:type="dxa" w:w="80"/>
              <w:left w:type="dxa" w:w="100"/>
              <w:bottom w:type="dxa" w:w="80"/>
              <w:right w:type="dxa" w:w="100"/>
            </w:tcMar>
            <w:vAlign w:val="center"/>
          </w:tcPr>
          <w:p>
            <w:pPr>
              <w:jc w:val="left"/>
            </w:pPr>
            <w:r>
              <w:rPr>
                <w:b/>
                <w:bCs/>
                <w:color w:val="FFFFFF"/>
                <w:sz w:val="20"/>
                <w:szCs w:val="20"/>
              </w:rPr>
              <w:t xml:space="preserve">From</w:t>
            </w:r>
          </w:p>
        </w:tc>
        <w:tc>
          <w:tcPr>
            <w:tcW w:type="dxa" w:w="2900"/>
            <w:shd w:fill="1F3864" w:val="clear"/>
            <w:tcMar>
              <w:top w:type="dxa" w:w="80"/>
              <w:left w:type="dxa" w:w="100"/>
              <w:bottom w:type="dxa" w:w="80"/>
              <w:right w:type="dxa" w:w="100"/>
            </w:tcMar>
            <w:vAlign w:val="center"/>
          </w:tcPr>
          <w:p>
            <w:pPr>
              <w:jc w:val="left"/>
            </w:pPr>
            <w:r>
              <w:rPr>
                <w:b/>
                <w:bCs/>
                <w:color w:val="FFFFFF"/>
                <w:sz w:val="20"/>
                <w:szCs w:val="20"/>
              </w:rPr>
              <w:t xml:space="preserve">To</w:t>
            </w:r>
          </w:p>
        </w:tc>
        <w:tc>
          <w:tcPr>
            <w:tcW w:type="dxa" w:w="1600"/>
            <w:shd w:fill="1F3864" w:val="clear"/>
            <w:tcMar>
              <w:top w:type="dxa" w:w="80"/>
              <w:left w:type="dxa" w:w="100"/>
              <w:bottom w:type="dxa" w:w="80"/>
              <w:right w:type="dxa" w:w="100"/>
            </w:tcMar>
            <w:vAlign w:val="center"/>
          </w:tcPr>
          <w:p>
            <w:pPr>
              <w:jc w:val="left"/>
            </w:pPr>
            <w:r>
              <w:rPr>
                <w:b/>
                <w:bCs/>
                <w:color w:val="FFFFFF"/>
                <w:sz w:val="20"/>
                <w:szCs w:val="20"/>
              </w:rPr>
              <w:t xml:space="preserve">Cardinality</w:t>
            </w:r>
          </w:p>
        </w:tc>
        <w:tc>
          <w:tcPr>
            <w:tcW w:type="dxa" w:w="1840"/>
            <w:shd w:fill="1F3864" w:val="clear"/>
            <w:tcMar>
              <w:top w:type="dxa" w:w="80"/>
              <w:left w:type="dxa" w:w="100"/>
              <w:bottom w:type="dxa" w:w="80"/>
              <w:right w:type="dxa" w:w="100"/>
            </w:tcMar>
            <w:vAlign w:val="center"/>
          </w:tcPr>
          <w:p>
            <w:pPr>
              <w:jc w:val="left"/>
            </w:pPr>
            <w:r>
              <w:rPr>
                <w:b/>
                <w:bCs/>
                <w:color w:val="FFFFFF"/>
                <w:sz w:val="20"/>
                <w:szCs w:val="20"/>
              </w:rPr>
              <w:t xml:space="preserve">Cross-filter</w:t>
            </w:r>
          </w:p>
        </w:tc>
      </w:tr>
      <w:tr>
        <w:tc>
          <w:tcPr>
            <w:tcW w:type="dxa" w:w="2900"/>
            <w:tcMar>
              <w:top w:type="dxa" w:w="80"/>
              <w:left w:type="dxa" w:w="100"/>
              <w:bottom w:type="dxa" w:w="80"/>
              <w:right w:type="dxa" w:w="100"/>
            </w:tcMar>
            <w:vAlign w:val="center"/>
          </w:tcPr>
          <w:p>
            <w:pPr>
              <w:jc w:val="left"/>
            </w:pPr>
            <w:r>
              <w:rPr>
                <w:b w:val="false"/>
                <w:bCs w:val="false"/>
                <w:sz w:val="20"/>
                <w:szCs w:val="20"/>
              </w:rPr>
              <w:t xml:space="preserve">fact_obligation[CustomerID]</w:t>
            </w:r>
          </w:p>
        </w:tc>
        <w:tc>
          <w:tcPr>
            <w:tcW w:type="dxa" w:w="2900"/>
            <w:tcMar>
              <w:top w:type="dxa" w:w="80"/>
              <w:left w:type="dxa" w:w="100"/>
              <w:bottom w:type="dxa" w:w="80"/>
              <w:right w:type="dxa" w:w="100"/>
            </w:tcMar>
            <w:vAlign w:val="center"/>
          </w:tcPr>
          <w:p>
            <w:pPr>
              <w:jc w:val="left"/>
            </w:pPr>
            <w:r>
              <w:rPr>
                <w:b w:val="false"/>
                <w:bCs w:val="false"/>
                <w:sz w:val="20"/>
                <w:szCs w:val="20"/>
              </w:rPr>
              <w:t xml:space="preserve">dim_customer[CustomerID]</w:t>
            </w:r>
          </w:p>
        </w:tc>
        <w:tc>
          <w:tcPr>
            <w:tcW w:type="dxa" w:w="1600"/>
            <w:tcMar>
              <w:top w:type="dxa" w:w="80"/>
              <w:left w:type="dxa" w:w="100"/>
              <w:bottom w:type="dxa" w:w="80"/>
              <w:right w:type="dxa" w:w="100"/>
            </w:tcMar>
            <w:vAlign w:val="center"/>
          </w:tcPr>
          <w:p>
            <w:pPr>
              <w:jc w:val="left"/>
            </w:pPr>
            <w:r>
              <w:rPr>
                <w:b w:val="false"/>
                <w:bCs w:val="false"/>
                <w:sz w:val="20"/>
                <w:szCs w:val="20"/>
              </w:rPr>
              <w:t xml:space="preserve">Many-to-one</w:t>
            </w:r>
          </w:p>
        </w:tc>
        <w:tc>
          <w:tcPr>
            <w:tcW w:type="dxa" w:w="1840"/>
            <w:tcMar>
              <w:top w:type="dxa" w:w="80"/>
              <w:left w:type="dxa" w:w="100"/>
              <w:bottom w:type="dxa" w:w="80"/>
              <w:right w:type="dxa" w:w="100"/>
            </w:tcMar>
            <w:vAlign w:val="center"/>
          </w:tcPr>
          <w:p>
            <w:pPr>
              <w:jc w:val="left"/>
            </w:pPr>
            <w:r>
              <w:rPr>
                <w:b w:val="false"/>
                <w:bCs w:val="false"/>
                <w:sz w:val="20"/>
                <w:szCs w:val="20"/>
              </w:rPr>
              <w:t xml:space="preserve">Single</w:t>
            </w:r>
          </w:p>
        </w:tc>
      </w:tr>
      <w:tr>
        <w:tc>
          <w:tcPr>
            <w:tcW w:type="dxa" w:w="2900"/>
            <w:shd w:fill="F2F2F2" w:val="clear"/>
            <w:tcMar>
              <w:top w:type="dxa" w:w="80"/>
              <w:left w:type="dxa" w:w="100"/>
              <w:bottom w:type="dxa" w:w="80"/>
              <w:right w:type="dxa" w:w="100"/>
            </w:tcMar>
            <w:vAlign w:val="center"/>
          </w:tcPr>
          <w:p>
            <w:pPr>
              <w:jc w:val="left"/>
            </w:pPr>
            <w:r>
              <w:rPr>
                <w:b w:val="false"/>
                <w:bCs w:val="false"/>
                <w:sz w:val="20"/>
                <w:szCs w:val="20"/>
              </w:rPr>
              <w:t xml:space="preserve">fact_obligation[ProviderID]</w:t>
            </w:r>
          </w:p>
        </w:tc>
        <w:tc>
          <w:tcPr>
            <w:tcW w:type="dxa" w:w="2900"/>
            <w:shd w:fill="F2F2F2" w:val="clear"/>
            <w:tcMar>
              <w:top w:type="dxa" w:w="80"/>
              <w:left w:type="dxa" w:w="100"/>
              <w:bottom w:type="dxa" w:w="80"/>
              <w:right w:type="dxa" w:w="100"/>
            </w:tcMar>
            <w:vAlign w:val="center"/>
          </w:tcPr>
          <w:p>
            <w:pPr>
              <w:jc w:val="left"/>
            </w:pPr>
            <w:r>
              <w:rPr>
                <w:b w:val="false"/>
                <w:bCs w:val="false"/>
                <w:sz w:val="20"/>
                <w:szCs w:val="20"/>
              </w:rPr>
              <w:t xml:space="preserve">dim_provider[ProviderID]</w:t>
            </w:r>
          </w:p>
        </w:tc>
        <w:tc>
          <w:tcPr>
            <w:tcW w:type="dxa" w:w="1600"/>
            <w:shd w:fill="F2F2F2" w:val="clear"/>
            <w:tcMar>
              <w:top w:type="dxa" w:w="80"/>
              <w:left w:type="dxa" w:w="100"/>
              <w:bottom w:type="dxa" w:w="80"/>
              <w:right w:type="dxa" w:w="100"/>
            </w:tcMar>
            <w:vAlign w:val="center"/>
          </w:tcPr>
          <w:p>
            <w:pPr>
              <w:jc w:val="left"/>
            </w:pPr>
            <w:r>
              <w:rPr>
                <w:b w:val="false"/>
                <w:bCs w:val="false"/>
                <w:sz w:val="20"/>
                <w:szCs w:val="20"/>
              </w:rPr>
              <w:t xml:space="preserve">Many-to-one</w:t>
            </w:r>
          </w:p>
        </w:tc>
        <w:tc>
          <w:tcPr>
            <w:tcW w:type="dxa" w:w="1840"/>
            <w:shd w:fill="F2F2F2" w:val="clear"/>
            <w:tcMar>
              <w:top w:type="dxa" w:w="80"/>
              <w:left w:type="dxa" w:w="100"/>
              <w:bottom w:type="dxa" w:w="80"/>
              <w:right w:type="dxa" w:w="100"/>
            </w:tcMar>
            <w:vAlign w:val="center"/>
          </w:tcPr>
          <w:p>
            <w:pPr>
              <w:jc w:val="left"/>
            </w:pPr>
            <w:r>
              <w:rPr>
                <w:b w:val="false"/>
                <w:bCs w:val="false"/>
                <w:sz w:val="20"/>
                <w:szCs w:val="20"/>
              </w:rPr>
              <w:t xml:space="preserve">Single</w:t>
            </w:r>
          </w:p>
        </w:tc>
      </w:tr>
      <w:tr>
        <w:tc>
          <w:tcPr>
            <w:tcW w:type="dxa" w:w="2900"/>
            <w:tcMar>
              <w:top w:type="dxa" w:w="80"/>
              <w:left w:type="dxa" w:w="100"/>
              <w:bottom w:type="dxa" w:w="80"/>
              <w:right w:type="dxa" w:w="100"/>
            </w:tcMar>
            <w:vAlign w:val="center"/>
          </w:tcPr>
          <w:p>
            <w:pPr>
              <w:jc w:val="left"/>
            </w:pPr>
            <w:r>
              <w:rPr>
                <w:b w:val="false"/>
                <w:bCs w:val="false"/>
                <w:sz w:val="20"/>
                <w:szCs w:val="20"/>
              </w:rPr>
              <w:t xml:space="preserve">fact_obligation[DueDateKey]</w:t>
            </w:r>
          </w:p>
        </w:tc>
        <w:tc>
          <w:tcPr>
            <w:tcW w:type="dxa" w:w="2900"/>
            <w:tcMar>
              <w:top w:type="dxa" w:w="80"/>
              <w:left w:type="dxa" w:w="100"/>
              <w:bottom w:type="dxa" w:w="80"/>
              <w:right w:type="dxa" w:w="100"/>
            </w:tcMar>
            <w:vAlign w:val="center"/>
          </w:tcPr>
          <w:p>
            <w:pPr>
              <w:jc w:val="left"/>
            </w:pPr>
            <w:r>
              <w:rPr>
                <w:b w:val="false"/>
                <w:bCs w:val="false"/>
                <w:sz w:val="20"/>
                <w:szCs w:val="20"/>
              </w:rPr>
              <w:t xml:space="preserve">dim_date[DateKey]</w:t>
            </w:r>
          </w:p>
        </w:tc>
        <w:tc>
          <w:tcPr>
            <w:tcW w:type="dxa" w:w="1600"/>
            <w:tcMar>
              <w:top w:type="dxa" w:w="80"/>
              <w:left w:type="dxa" w:w="100"/>
              <w:bottom w:type="dxa" w:w="80"/>
              <w:right w:type="dxa" w:w="100"/>
            </w:tcMar>
            <w:vAlign w:val="center"/>
          </w:tcPr>
          <w:p>
            <w:pPr>
              <w:jc w:val="left"/>
            </w:pPr>
            <w:r>
              <w:rPr>
                <w:b w:val="false"/>
                <w:bCs w:val="false"/>
                <w:sz w:val="20"/>
                <w:szCs w:val="20"/>
              </w:rPr>
              <w:t xml:space="preserve">Many-to-one</w:t>
            </w:r>
          </w:p>
        </w:tc>
        <w:tc>
          <w:tcPr>
            <w:tcW w:type="dxa" w:w="1840"/>
            <w:tcMar>
              <w:top w:type="dxa" w:w="80"/>
              <w:left w:type="dxa" w:w="100"/>
              <w:bottom w:type="dxa" w:w="80"/>
              <w:right w:type="dxa" w:w="100"/>
            </w:tcMar>
            <w:vAlign w:val="center"/>
          </w:tcPr>
          <w:p>
            <w:pPr>
              <w:jc w:val="left"/>
            </w:pPr>
            <w:r>
              <w:rPr>
                <w:b w:val="false"/>
                <w:bCs w:val="false"/>
                <w:sz w:val="20"/>
                <w:szCs w:val="20"/>
              </w:rPr>
              <w:t xml:space="preserve">Single</w:t>
            </w:r>
          </w:p>
        </w:tc>
      </w:tr>
      <w:tr>
        <w:tc>
          <w:tcPr>
            <w:tcW w:type="dxa" w:w="2900"/>
            <w:shd w:fill="F2F2F2" w:val="clear"/>
            <w:tcMar>
              <w:top w:type="dxa" w:w="80"/>
              <w:left w:type="dxa" w:w="100"/>
              <w:bottom w:type="dxa" w:w="80"/>
              <w:right w:type="dxa" w:w="100"/>
            </w:tcMar>
            <w:vAlign w:val="center"/>
          </w:tcPr>
          <w:p>
            <w:pPr>
              <w:jc w:val="left"/>
            </w:pPr>
            <w:r>
              <w:rPr>
                <w:b w:val="false"/>
                <w:bCs w:val="false"/>
                <w:sz w:val="20"/>
                <w:szCs w:val="20"/>
              </w:rPr>
              <w:t xml:space="preserve">fact_offer[CustomerID]</w:t>
            </w:r>
          </w:p>
        </w:tc>
        <w:tc>
          <w:tcPr>
            <w:tcW w:type="dxa" w:w="2900"/>
            <w:shd w:fill="F2F2F2" w:val="clear"/>
            <w:tcMar>
              <w:top w:type="dxa" w:w="80"/>
              <w:left w:type="dxa" w:w="100"/>
              <w:bottom w:type="dxa" w:w="80"/>
              <w:right w:type="dxa" w:w="100"/>
            </w:tcMar>
            <w:vAlign w:val="center"/>
          </w:tcPr>
          <w:p>
            <w:pPr>
              <w:jc w:val="left"/>
            </w:pPr>
            <w:r>
              <w:rPr>
                <w:b w:val="false"/>
                <w:bCs w:val="false"/>
                <w:sz w:val="20"/>
                <w:szCs w:val="20"/>
              </w:rPr>
              <w:t xml:space="preserve">dim_customer[CustomerID]</w:t>
            </w:r>
          </w:p>
        </w:tc>
        <w:tc>
          <w:tcPr>
            <w:tcW w:type="dxa" w:w="1600"/>
            <w:shd w:fill="F2F2F2" w:val="clear"/>
            <w:tcMar>
              <w:top w:type="dxa" w:w="80"/>
              <w:left w:type="dxa" w:w="100"/>
              <w:bottom w:type="dxa" w:w="80"/>
              <w:right w:type="dxa" w:w="100"/>
            </w:tcMar>
            <w:vAlign w:val="center"/>
          </w:tcPr>
          <w:p>
            <w:pPr>
              <w:jc w:val="left"/>
            </w:pPr>
            <w:r>
              <w:rPr>
                <w:b w:val="false"/>
                <w:bCs w:val="false"/>
                <w:sz w:val="20"/>
                <w:szCs w:val="20"/>
              </w:rPr>
              <w:t xml:space="preserve">Many-to-one</w:t>
            </w:r>
          </w:p>
        </w:tc>
        <w:tc>
          <w:tcPr>
            <w:tcW w:type="dxa" w:w="1840"/>
            <w:shd w:fill="F2F2F2" w:val="clear"/>
            <w:tcMar>
              <w:top w:type="dxa" w:w="80"/>
              <w:left w:type="dxa" w:w="100"/>
              <w:bottom w:type="dxa" w:w="80"/>
              <w:right w:type="dxa" w:w="100"/>
            </w:tcMar>
            <w:vAlign w:val="center"/>
          </w:tcPr>
          <w:p>
            <w:pPr>
              <w:jc w:val="left"/>
            </w:pPr>
            <w:r>
              <w:rPr>
                <w:b w:val="false"/>
                <w:bCs w:val="false"/>
                <w:sz w:val="20"/>
                <w:szCs w:val="20"/>
              </w:rPr>
              <w:t xml:space="preserve">Single</w:t>
            </w:r>
          </w:p>
        </w:tc>
      </w:tr>
      <w:tr>
        <w:tc>
          <w:tcPr>
            <w:tcW w:type="dxa" w:w="2900"/>
            <w:tcMar>
              <w:top w:type="dxa" w:w="80"/>
              <w:left w:type="dxa" w:w="100"/>
              <w:bottom w:type="dxa" w:w="80"/>
              <w:right w:type="dxa" w:w="100"/>
            </w:tcMar>
            <w:vAlign w:val="center"/>
          </w:tcPr>
          <w:p>
            <w:pPr>
              <w:jc w:val="left"/>
            </w:pPr>
            <w:r>
              <w:rPr>
                <w:b w:val="false"/>
                <w:bCs w:val="false"/>
                <w:sz w:val="20"/>
                <w:szCs w:val="20"/>
              </w:rPr>
              <w:t xml:space="preserve">fact_offer[OfferDateKey]</w:t>
            </w:r>
          </w:p>
        </w:tc>
        <w:tc>
          <w:tcPr>
            <w:tcW w:type="dxa" w:w="2900"/>
            <w:tcMar>
              <w:top w:type="dxa" w:w="80"/>
              <w:left w:type="dxa" w:w="100"/>
              <w:bottom w:type="dxa" w:w="80"/>
              <w:right w:type="dxa" w:w="100"/>
            </w:tcMar>
            <w:vAlign w:val="center"/>
          </w:tcPr>
          <w:p>
            <w:pPr>
              <w:jc w:val="left"/>
            </w:pPr>
            <w:r>
              <w:rPr>
                <w:b w:val="false"/>
                <w:bCs w:val="false"/>
                <w:sz w:val="20"/>
                <w:szCs w:val="20"/>
              </w:rPr>
              <w:t xml:space="preserve">dim_date[DateKey]</w:t>
            </w:r>
          </w:p>
        </w:tc>
        <w:tc>
          <w:tcPr>
            <w:tcW w:type="dxa" w:w="1600"/>
            <w:tcMar>
              <w:top w:type="dxa" w:w="80"/>
              <w:left w:type="dxa" w:w="100"/>
              <w:bottom w:type="dxa" w:w="80"/>
              <w:right w:type="dxa" w:w="100"/>
            </w:tcMar>
            <w:vAlign w:val="center"/>
          </w:tcPr>
          <w:p>
            <w:pPr>
              <w:jc w:val="left"/>
            </w:pPr>
            <w:r>
              <w:rPr>
                <w:b w:val="false"/>
                <w:bCs w:val="false"/>
                <w:sz w:val="20"/>
                <w:szCs w:val="20"/>
              </w:rPr>
              <w:t xml:space="preserve">Many-to-one</w:t>
            </w:r>
          </w:p>
        </w:tc>
        <w:tc>
          <w:tcPr>
            <w:tcW w:type="dxa" w:w="1840"/>
            <w:tcMar>
              <w:top w:type="dxa" w:w="80"/>
              <w:left w:type="dxa" w:w="100"/>
              <w:bottom w:type="dxa" w:w="80"/>
              <w:right w:type="dxa" w:w="100"/>
            </w:tcMar>
            <w:vAlign w:val="center"/>
          </w:tcPr>
          <w:p>
            <w:pPr>
              <w:jc w:val="left"/>
            </w:pPr>
            <w:r>
              <w:rPr>
                <w:b w:val="false"/>
                <w:bCs w:val="false"/>
                <w:sz w:val="20"/>
                <w:szCs w:val="20"/>
              </w:rPr>
              <w:t xml:space="preserve">Single</w:t>
            </w:r>
          </w:p>
        </w:tc>
      </w:tr>
    </w:tbl>
    <w:p>
      <w:pPr>
        <w:spacing w:after="160"/>
      </w:pPr>
      <w:r>
        <w:t xml:space="preserve">'Many-to-one, Single direction' is the correct choice for every one of these: many obligation rows point to one customer, and filtering a dimension (e.g. picking one Segment in dim_customer) should filter the fact table, not the other way around. If Power BI proposes 'Both' for cross-filter direction on any of these, change it to Single — bidirectional filtering between a fact and its dimensions is a common source of double-counted totals later.</w:t>
      </w:r>
    </w:p>
    <w:p>
      <w:pPr>
        <w:pStyle w:val="Heading1"/>
        <w:spacing w:after="160" w:before="360"/>
      </w:pPr>
      <w:r>
        <w:t xml:space="preserve">5. Step 3 — Write the DAX Measures</w:t>
      </w:r>
    </w:p>
    <w:p>
      <w:pPr>
        <w:spacing w:after="160"/>
      </w:pPr>
      <w:r>
        <w:t xml:space="preserve">A measure is a calculation that responds to whatever filters are active on the report (a slicer, a visual, a drill-down) — this is what makes a Power BI report interactive instead of static. Create each of these with Home -&gt; New Measure, typing the formula exactly as shown, on the table named in the heading.</w:t>
      </w:r>
    </w:p>
    <w:p>
      <w:pPr>
        <w:pStyle w:val="Heading2"/>
        <w:spacing w:after="120" w:before="280"/>
      </w:pPr>
      <w:r>
        <w:t xml:space="preserve">5.1 Total Expected Amount (on fact_obligation)</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Total Expected Amount = SUM(fact_obligation[ExpectedAmount])</w:t>
            </w:r>
          </w:p>
        </w:tc>
      </w:tr>
    </w:tbl>
    <w:p>
      <w:pPr>
        <w:pStyle w:val="Heading2"/>
        <w:spacing w:after="120" w:before="280"/>
      </w:pPr>
      <w:r>
        <w:t xml:space="preserve">5.2 Total Actual Paid (on fact_obligation)</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Total Actual Paid = SUM(fact_obligation[ActualPaidAmount])</w:t>
            </w:r>
          </w:p>
        </w:tc>
      </w:tr>
    </w:tbl>
    <w:p>
      <w:pPr>
        <w:pStyle w:val="Heading2"/>
        <w:spacing w:after="120" w:before="280"/>
      </w:pPr>
      <w:r>
        <w:t xml:space="preserve">5.3 Total Late Fees Charged (on fact_obligation)</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Total Late Fees Charged = SUM(fact_obligation[ExtraCharged])</w:t>
            </w:r>
          </w:p>
        </w:tc>
      </w:tr>
    </w:tbl>
    <w:p>
      <w:pPr>
        <w:spacing w:after="160"/>
      </w:pPr>
      <w:r>
        <w:t xml:space="preserve">ExtraCharged is already pre-calculated in the fact table (ActualPaidAmount minus ExpectedAmount) — the same technique used in the SQL and Excel deliverables: compute it once upstream, then just SUM it everywhere downstream instead of re-deriving it in every report.</w:t>
      </w:r>
    </w:p>
    <w:p>
      <w:pPr>
        <w:pStyle w:val="Heading2"/>
        <w:spacing w:after="120" w:before="280"/>
      </w:pPr>
      <w:r>
        <w:t xml:space="preserve">5.4 Late Payment Rate % (on fact_obligation)</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Late Payment Rate % =</w:t>
            </w:r>
          </w:p>
          <w:p>
            <w:pPr>
              <w:spacing w:after="40"/>
            </w:pPr>
            <w:r>
              <w:rPr>
                <w:rFonts w:ascii="Consolas" w:cs="Consolas" w:eastAsia="Consolas" w:hAnsi="Consolas"/>
                <w:sz w:val="20"/>
                <w:szCs w:val="20"/>
              </w:rPr>
              <w:t xml:space="preserve">DIVIDE(</w:t>
            </w:r>
          </w:p>
          <w:p>
            <w:pPr>
              <w:spacing w:after="40"/>
            </w:pPr>
            <w:r>
              <w:rPr>
                <w:rFonts w:ascii="Consolas" w:cs="Consolas" w:eastAsia="Consolas" w:hAnsi="Consolas"/>
                <w:sz w:val="20"/>
                <w:szCs w:val="20"/>
              </w:rPr>
              <w:t xml:space="preserve">    CALCULATE(COUNTROWS(fact_obligation), fact_obligation[DaysLate] &gt; 3),</w:t>
            </w:r>
          </w:p>
          <w:p>
            <w:pPr>
              <w:spacing w:after="40"/>
            </w:pPr>
            <w:r>
              <w:rPr>
                <w:rFonts w:ascii="Consolas" w:cs="Consolas" w:eastAsia="Consolas" w:hAnsi="Consolas"/>
                <w:sz w:val="20"/>
                <w:szCs w:val="20"/>
              </w:rPr>
              <w:t xml:space="preserve">    COUNTROWS(fact_obligation)</w:t>
            </w:r>
          </w:p>
          <w:p>
            <w:pPr>
              <w:spacing w:after="40"/>
            </w:pPr>
            <w:r>
              <w:rPr>
                <w:rFonts w:ascii="Consolas" w:cs="Consolas" w:eastAsia="Consolas" w:hAnsi="Consolas"/>
                <w:sz w:val="20"/>
                <w:szCs w:val="20"/>
              </w:rPr>
              <w:t xml:space="preserve">)</w:t>
            </w:r>
          </w:p>
        </w:tc>
      </w:tr>
    </w:tbl>
    <w:p>
      <w:pPr>
        <w:spacing w:after="160"/>
      </w:pPr>
      <w:r>
        <w:t xml:space="preserve">DIVIDE (rather than the plain / operator) is the standard DAX habit here — it returns blank instead of an error when the denominator is zero, which matters the moment a filter narrows the report down to a provider or month with no rows.</w:t>
      </w:r>
    </w:p>
    <w:p>
      <w:pPr>
        <w:pStyle w:val="Heading2"/>
        <w:spacing w:after="120" w:before="280"/>
      </w:pPr>
      <w:r>
        <w:t xml:space="preserve">5.5 Stacked Customer Count (on dim_customer)</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Stacked Customer Count =</w:t>
            </w:r>
          </w:p>
          <w:p>
            <w:pPr>
              <w:spacing w:after="40"/>
            </w:pPr>
            <w:r>
              <w:rPr>
                <w:rFonts w:ascii="Consolas" w:cs="Consolas" w:eastAsia="Consolas" w:hAnsi="Consolas"/>
                <w:sz w:val="20"/>
                <w:szCs w:val="20"/>
              </w:rPr>
              <w:t xml:space="preserve">CALCULATE(</w:t>
            </w:r>
          </w:p>
          <w:p>
            <w:pPr>
              <w:spacing w:after="40"/>
            </w:pPr>
            <w:r>
              <w:rPr>
                <w:rFonts w:ascii="Consolas" w:cs="Consolas" w:eastAsia="Consolas" w:hAnsi="Consolas"/>
                <w:sz w:val="20"/>
                <w:szCs w:val="20"/>
              </w:rPr>
              <w:t xml:space="preserve">    DISTINCTCOUNT(dim_customer[CustomerID]),</w:t>
            </w:r>
          </w:p>
          <w:p>
            <w:pPr>
              <w:spacing w:after="40"/>
            </w:pPr>
            <w:r>
              <w:rPr>
                <w:rFonts w:ascii="Consolas" w:cs="Consolas" w:eastAsia="Consolas" w:hAnsi="Consolas"/>
                <w:sz w:val="20"/>
                <w:szCs w:val="20"/>
              </w:rPr>
              <w:t xml:space="preserve">    dim_customer[Segment] IN {"Stacked - healthy", "Stacked - at risk"}</w:t>
            </w:r>
          </w:p>
          <w:p>
            <w:pPr>
              <w:spacing w:after="40"/>
            </w:pPr>
            <w:r>
              <w:rPr>
                <w:rFonts w:ascii="Consolas" w:cs="Consolas" w:eastAsia="Consolas" w:hAnsi="Consolas"/>
                <w:sz w:val="20"/>
                <w:szCs w:val="20"/>
              </w:rPr>
              <w:t xml:space="preserve">)</w:t>
            </w:r>
          </w:p>
        </w:tc>
      </w:tr>
    </w:tbl>
    <w:p>
      <w:pPr>
        <w:spacing w:after="160"/>
      </w:pPr>
      <w:r>
        <w:t xml:space="preserve">This measure reads the Segment column that was already computed upstream (the same CASE WHEN logic from SQL Q9). This is a realistic and common pattern in BI work: some business logic lives in the data model (computed once, upstream, in SQL) and some lives in DAX (computed live, for interactivity) — deciding which goes where is itself a BA/DA skill worth thinking about deliberately, not an accident.</w:t>
      </w:r>
    </w:p>
    <w:p>
      <w:pPr>
        <w:pStyle w:val="Heading2"/>
        <w:spacing w:after="120" w:before="280"/>
      </w:pPr>
      <w:r>
        <w:t xml:space="preserve">5.6 Consolidation Candidate Count (on dim_customer)</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Consolidation Candidate Count =</w:t>
            </w:r>
          </w:p>
          <w:p>
            <w:pPr>
              <w:spacing w:after="40"/>
            </w:pPr>
            <w:r>
              <w:rPr>
                <w:rFonts w:ascii="Consolas" w:cs="Consolas" w:eastAsia="Consolas" w:hAnsi="Consolas"/>
                <w:sz w:val="20"/>
                <w:szCs w:val="20"/>
              </w:rPr>
              <w:t xml:space="preserve">CALCULATE(</w:t>
            </w:r>
          </w:p>
          <w:p>
            <w:pPr>
              <w:spacing w:after="40"/>
            </w:pPr>
            <w:r>
              <w:rPr>
                <w:rFonts w:ascii="Consolas" w:cs="Consolas" w:eastAsia="Consolas" w:hAnsi="Consolas"/>
                <w:sz w:val="20"/>
                <w:szCs w:val="20"/>
              </w:rPr>
              <w:t xml:space="preserve">    DISTINCTCOUNT(dim_customer[CustomerID]),</w:t>
            </w:r>
          </w:p>
          <w:p>
            <w:pPr>
              <w:spacing w:after="40"/>
            </w:pPr>
            <w:r>
              <w:rPr>
                <w:rFonts w:ascii="Consolas" w:cs="Consolas" w:eastAsia="Consolas" w:hAnsi="Consolas"/>
                <w:sz w:val="20"/>
                <w:szCs w:val="20"/>
              </w:rPr>
              <w:t xml:space="preserve">    dim_customer[Segment] = "Stacked - at risk"</w:t>
            </w:r>
          </w:p>
          <w:p>
            <w:pPr>
              <w:spacing w:after="40"/>
            </w:pPr>
            <w:r>
              <w:rPr>
                <w:rFonts w:ascii="Consolas" w:cs="Consolas" w:eastAsia="Consolas" w:hAnsi="Consolas"/>
                <w:sz w:val="20"/>
                <w:szCs w:val="20"/>
              </w:rPr>
              <w:t xml:space="preserve">)</w:t>
            </w:r>
          </w:p>
        </w:tc>
      </w:tr>
    </w:tbl>
    <w:p>
      <w:pPr>
        <w:pStyle w:val="Heading2"/>
        <w:spacing w:after="120" w:before="280"/>
      </w:pPr>
      <w:r>
        <w:t xml:space="preserve">5.7 Screening Pass Rate % (on dim_customer)</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Screening Pass Rate % =</w:t>
            </w:r>
          </w:p>
          <w:p>
            <w:pPr>
              <w:spacing w:after="40"/>
            </w:pPr>
            <w:r>
              <w:rPr>
                <w:rFonts w:ascii="Consolas" w:cs="Consolas" w:eastAsia="Consolas" w:hAnsi="Consolas"/>
                <w:sz w:val="20"/>
                <w:szCs w:val="20"/>
              </w:rPr>
              <w:t xml:space="preserve">DIVIDE(</w:t>
            </w:r>
          </w:p>
          <w:p>
            <w:pPr>
              <w:spacing w:after="40"/>
            </w:pPr>
            <w:r>
              <w:rPr>
                <w:rFonts w:ascii="Consolas" w:cs="Consolas" w:eastAsia="Consolas" w:hAnsi="Consolas"/>
                <w:sz w:val="20"/>
                <w:szCs w:val="20"/>
              </w:rPr>
              <w:t xml:space="preserve">    CALCULATE(COUNTROWS(dim_customer), dim_customer[EligibilityOutcome] = "Eligible"),</w:t>
            </w:r>
          </w:p>
          <w:p>
            <w:pPr>
              <w:spacing w:after="40"/>
            </w:pPr>
            <w:r>
              <w:rPr>
                <w:rFonts w:ascii="Consolas" w:cs="Consolas" w:eastAsia="Consolas" w:hAnsi="Consolas"/>
                <w:sz w:val="20"/>
                <w:szCs w:val="20"/>
              </w:rPr>
              <w:t xml:space="preserve">    CALCULATE(COUNTROWS(dim_customer), dim_customer[EligibilityOutcome] &lt;&gt; "Not Screened")</w:t>
            </w:r>
          </w:p>
          <w:p>
            <w:pPr>
              <w:spacing w:after="40"/>
            </w:pPr>
            <w:r>
              <w:rPr>
                <w:rFonts w:ascii="Consolas" w:cs="Consolas" w:eastAsia="Consolas" w:hAnsi="Consolas"/>
                <w:sz w:val="20"/>
                <w:szCs w:val="20"/>
              </w:rPr>
              <w:t xml:space="preserve">)</w:t>
            </w:r>
          </w:p>
        </w:tc>
      </w:tr>
    </w:tbl>
    <w:p>
      <w:pPr>
        <w:pStyle w:val="Heading2"/>
        <w:spacing w:after="120" w:before="280"/>
      </w:pPr>
      <w:r>
        <w:t xml:space="preserve">5.8 Offer Acceptance Rate % (on fact_offer)</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Offer Acceptance Rate % =</w:t>
            </w:r>
          </w:p>
          <w:p>
            <w:pPr>
              <w:spacing w:after="40"/>
            </w:pPr>
            <w:r>
              <w:rPr>
                <w:rFonts w:ascii="Consolas" w:cs="Consolas" w:eastAsia="Consolas" w:hAnsi="Consolas"/>
                <w:sz w:val="20"/>
                <w:szCs w:val="20"/>
              </w:rPr>
              <w:t xml:space="preserve">DIVIDE(</w:t>
            </w:r>
          </w:p>
          <w:p>
            <w:pPr>
              <w:spacing w:after="40"/>
            </w:pPr>
            <w:r>
              <w:rPr>
                <w:rFonts w:ascii="Consolas" w:cs="Consolas" w:eastAsia="Consolas" w:hAnsi="Consolas"/>
                <w:sz w:val="20"/>
                <w:szCs w:val="20"/>
              </w:rPr>
              <w:t xml:space="preserve">    CALCULATE(COUNTROWS(fact_offer), fact_offer[Status] = "Accepted"),</w:t>
            </w:r>
          </w:p>
          <w:p>
            <w:pPr>
              <w:spacing w:after="40"/>
            </w:pPr>
            <w:r>
              <w:rPr>
                <w:rFonts w:ascii="Consolas" w:cs="Consolas" w:eastAsia="Consolas" w:hAnsi="Consolas"/>
                <w:sz w:val="20"/>
                <w:szCs w:val="20"/>
              </w:rPr>
              <w:t xml:space="preserve">    COUNTROWS(fact_offer)</w:t>
            </w:r>
          </w:p>
          <w:p>
            <w:pPr>
              <w:spacing w:after="40"/>
            </w:pPr>
            <w:r>
              <w:rPr>
                <w:rFonts w:ascii="Consolas" w:cs="Consolas" w:eastAsia="Consolas" w:hAnsi="Consolas"/>
                <w:sz w:val="20"/>
                <w:szCs w:val="20"/>
              </w:rPr>
              <w:t xml:space="preserve">)</w:t>
            </w:r>
          </w:p>
        </w:tc>
      </w:tr>
    </w:tbl>
    <w:p>
      <w:pPr>
        <w:pStyle w:val="Heading2"/>
        <w:spacing w:after="120" w:before="280"/>
      </w:pPr>
      <w:r>
        <w:t xml:space="preserve">5.9 Estimated Monthly Interest Revenue (on fact_offer)</w:t>
      </w:r>
    </w:p>
    <w:tbl>
      <w:tblPr>
        <w:tblW w:type="dxa" w:w="9240"/>
        <w:tblBorders>
          <w:top w:val="single" w:color="1F3864" w:sz="6"/>
          <w:left w:val="single" w:color="1F3864" w:sz="6"/>
          <w:bottom w:val="single" w:color="1F3864" w:sz="6"/>
          <w:right w:val="single" w:color="1F3864" w:sz="6"/>
          <w:insideH w:val="single" w:color="auto" w:sz="4"/>
          <w:insideV w:val="single" w:color="auto" w:sz="4"/>
        </w:tblBorders>
      </w:tblPr>
      <w:tblGrid>
        <w:gridCol w:w="9240"/>
      </w:tblGrid>
      <w:tr>
        <w:tc>
          <w:tcPr>
            <w:tcW w:type="dxa" w:w="9240"/>
            <w:shd w:fill="F7F9FC" w:val="clear"/>
            <w:tcMar>
              <w:top w:type="dxa" w:w="160"/>
              <w:left w:type="dxa" w:w="200"/>
              <w:bottom w:type="dxa" w:w="160"/>
              <w:right w:type="dxa" w:w="200"/>
            </w:tcMar>
          </w:tcPr>
          <w:p>
            <w:pPr>
              <w:spacing w:after="120"/>
            </w:pPr>
            <w:r>
              <w:rPr>
                <w:b/>
                <w:bCs/>
                <w:color w:val="1F3864"/>
                <w:sz w:val="22"/>
                <w:szCs w:val="22"/>
              </w:rPr>
              <w:t xml:space="preserve">New Measure</w:t>
            </w:r>
          </w:p>
          <w:p>
            <w:pPr>
              <w:spacing w:after="40"/>
            </w:pPr>
            <w:r>
              <w:rPr>
                <w:rFonts w:ascii="Consolas" w:cs="Consolas" w:eastAsia="Consolas" w:hAnsi="Consolas"/>
                <w:sz w:val="20"/>
                <w:szCs w:val="20"/>
              </w:rPr>
              <w:t xml:space="preserve">Estimated Monthly Interest Revenue =</w:t>
            </w:r>
          </w:p>
          <w:p>
            <w:pPr>
              <w:spacing w:after="40"/>
            </w:pPr>
            <w:r>
              <w:rPr>
                <w:rFonts w:ascii="Consolas" w:cs="Consolas" w:eastAsia="Consolas" w:hAnsi="Consolas"/>
                <w:sz w:val="20"/>
                <w:szCs w:val="20"/>
              </w:rPr>
              <w:t xml:space="preserve">CALCULATE(</w:t>
            </w:r>
          </w:p>
          <w:p>
            <w:pPr>
              <w:spacing w:after="40"/>
            </w:pPr>
            <w:r>
              <w:rPr>
                <w:rFonts w:ascii="Consolas" w:cs="Consolas" w:eastAsia="Consolas" w:hAnsi="Consolas"/>
                <w:sz w:val="20"/>
                <w:szCs w:val="20"/>
              </w:rPr>
              <w:t xml:space="preserve">    SUMX(</w:t>
            </w:r>
          </w:p>
          <w:p>
            <w:pPr>
              <w:spacing w:after="40"/>
            </w:pPr>
            <w:r>
              <w:rPr>
                <w:rFonts w:ascii="Consolas" w:cs="Consolas" w:eastAsia="Consolas" w:hAnsi="Consolas"/>
                <w:sz w:val="20"/>
                <w:szCs w:val="20"/>
              </w:rPr>
              <w:t xml:space="preserve">        fact_offer,</w:t>
            </w:r>
          </w:p>
          <w:p>
            <w:pPr>
              <w:spacing w:after="40"/>
            </w:pPr>
            <w:r>
              <w:rPr>
                <w:rFonts w:ascii="Consolas" w:cs="Consolas" w:eastAsia="Consolas" w:hAnsi="Consolas"/>
                <w:sz w:val="20"/>
                <w:szCs w:val="20"/>
              </w:rPr>
              <w:t xml:space="preserve">        fact_offer[TotalAmount] * fact_offer[OfferedRatePct] / 12</w:t>
            </w:r>
          </w:p>
          <w:p>
            <w:pPr>
              <w:spacing w:after="40"/>
            </w:pPr>
            <w:r>
              <w:rPr>
                <w:rFonts w:ascii="Consolas" w:cs="Consolas" w:eastAsia="Consolas" w:hAnsi="Consolas"/>
                <w:sz w:val="20"/>
                <w:szCs w:val="20"/>
              </w:rPr>
              <w:t xml:space="preserve">    ),</w:t>
            </w:r>
          </w:p>
          <w:p>
            <w:pPr>
              <w:spacing w:after="40"/>
            </w:pPr>
            <w:r>
              <w:rPr>
                <w:rFonts w:ascii="Consolas" w:cs="Consolas" w:eastAsia="Consolas" w:hAnsi="Consolas"/>
                <w:sz w:val="20"/>
                <w:szCs w:val="20"/>
              </w:rPr>
              <w:t xml:space="preserve">    fact_offer[Status] = "Accepted"</w:t>
            </w:r>
          </w:p>
          <w:p>
            <w:pPr>
              <w:spacing w:after="40"/>
            </w:pPr>
            <w:r>
              <w:rPr>
                <w:rFonts w:ascii="Consolas" w:cs="Consolas" w:eastAsia="Consolas" w:hAnsi="Consolas"/>
                <w:sz w:val="20"/>
                <w:szCs w:val="20"/>
              </w:rPr>
              <w:t xml:space="preserve">)</w:t>
            </w:r>
          </w:p>
        </w:tc>
      </w:tr>
    </w:tbl>
    <w:p>
      <w:pPr>
        <w:spacing w:after="160"/>
      </w:pPr>
      <w:r>
        <w:t xml:space="preserve">SUMX is a row-by-row iterator: it computes TotalAmount * OfferedRatePct / 12 separately for each accepted offer row, then adds up the results. This matters because OfferedRatePct differs slightly between customers (14-15% in the sample data) — a plain SUM(TotalAmount) * average rate would give a slightly wrong answer, while SUMX gets it exactly right by calculating per-row before summing. This is the single most-tested DAX concept in real interviews: knowing when a calculation needs an iterator (X-suffixed function) instead of a plain aggregate.</w:t>
      </w:r>
    </w:p>
    <w:p>
      <w:pPr>
        <w:pStyle w:val="Heading1"/>
        <w:spacing w:after="160" w:before="360"/>
      </w:pPr>
      <w:r>
        <w:t xml:space="preserve">6. Step 4 — Build the Report Pages</w:t>
      </w:r>
    </w:p>
    <w:p>
      <w:pPr>
        <w:spacing w:after="160"/>
      </w:pPr>
      <w:r>
        <w:t xml:space="preserve">Create 4 report pages (right-click the page tab at the bottom -&gt; rename). Suggested layout for each:</w:t>
      </w:r>
    </w:p>
    <w:p>
      <w:pPr>
        <w:pStyle w:val="Heading2"/>
        <w:spacing w:after="120" w:before="280"/>
      </w:pPr>
      <w:r>
        <w:t xml:space="preserve">6.1 Page 1 — Executive Overview</w:t>
      </w:r>
    </w:p>
    <w:p>
      <w:pPr>
        <w:pStyle w:val="ListParagraph"/>
        <w:numPr>
          <w:ilvl w:val="0"/>
          <w:numId w:val="2"/>
        </w:numPr>
        <w:spacing w:after="80"/>
      </w:pPr>
      <w:r>
        <w:t xml:space="preserve">4 Card visuals across the top: Stacked Customer Count, Consolidation Candidate Count, Screening Pass Rate %, Offer Acceptance Rate %.</w:t>
      </w:r>
    </w:p>
    <w:p>
      <w:pPr>
        <w:pStyle w:val="ListParagraph"/>
        <w:numPr>
          <w:ilvl w:val="0"/>
          <w:numId w:val="2"/>
        </w:numPr>
        <w:spacing w:after="80"/>
      </w:pPr>
      <w:r>
        <w:t xml:space="preserve">1 Funnel visual: Power BI's star schema doesn't have a single 'funnel stage' column, so build a small manual table first — Home -&gt; Enter Data -&gt; two columns, Stage and Count -&gt; type in the 5 rows from the SQL/Excel funnel deliverables (Total Customers, Stacked, Stacked+Late, Passed Screening, Accepted Offer) -&gt; Load. Then build the Funnel visual from that table's Stage (Category) and Count (Values).</w:t>
      </w:r>
    </w:p>
    <w:p>
      <w:pPr>
        <w:pStyle w:val="ListParagraph"/>
        <w:numPr>
          <w:ilvl w:val="0"/>
          <w:numId w:val="2"/>
        </w:numPr>
        <w:spacing w:after="80"/>
      </w:pPr>
      <w:r>
        <w:t xml:space="preserve">1 Line chart: DueDateKey (from dim_date, by Month) on the X-axis, Total Late Fees Charged on the Y-axis — shows whether late fees are trending up or down month over month.</w:t>
      </w:r>
    </w:p>
    <w:p>
      <w:pPr>
        <w:pStyle w:val="Heading2"/>
        <w:spacing w:after="120" w:before="280"/>
      </w:pPr>
      <w:r>
        <w:t xml:space="preserve">6.2 Page 2 — Provider Analysis</w:t>
      </w:r>
    </w:p>
    <w:p>
      <w:pPr>
        <w:pStyle w:val="ListParagraph"/>
        <w:numPr>
          <w:ilvl w:val="0"/>
          <w:numId w:val="2"/>
        </w:numPr>
        <w:spacing w:after="80"/>
      </w:pPr>
      <w:r>
        <w:t xml:space="preserve">1 Clustered bar chart: ProviderName (dim_provider) on the axis, Total Expected Amount and Total Actual Paid as two value fields — read the gap between the two bars per provider to see which provider's customers get charged the most in penalties relative to what they originally owed.</w:t>
      </w:r>
    </w:p>
    <w:p>
      <w:pPr>
        <w:pStyle w:val="ListParagraph"/>
        <w:numPr>
          <w:ilvl w:val="0"/>
          <w:numId w:val="2"/>
        </w:numPr>
        <w:spacing w:after="80"/>
      </w:pPr>
      <w:r>
        <w:t xml:space="preserve">1 Table visual: ProviderName, TypicalLateRatePct, Total Late Fees Charged, sorted descending by Total Late Fees Charged.</w:t>
      </w:r>
    </w:p>
    <w:p>
      <w:pPr>
        <w:pStyle w:val="Heading2"/>
        <w:spacing w:after="120" w:before="280"/>
      </w:pPr>
      <w:r>
        <w:t xml:space="preserve">6.3 Page 3 — Customer Segment Drilldown</w:t>
      </w:r>
    </w:p>
    <w:p>
      <w:pPr>
        <w:pStyle w:val="ListParagraph"/>
        <w:numPr>
          <w:ilvl w:val="0"/>
          <w:numId w:val="2"/>
        </w:numPr>
        <w:spacing w:after="80"/>
      </w:pPr>
      <w:r>
        <w:t xml:space="preserve">1 Slicer: dim_customer[Segment].</w:t>
      </w:r>
    </w:p>
    <w:p>
      <w:pPr>
        <w:pStyle w:val="ListParagraph"/>
        <w:numPr>
          <w:ilvl w:val="0"/>
          <w:numId w:val="2"/>
        </w:numPr>
        <w:spacing w:after="80"/>
      </w:pPr>
      <w:r>
        <w:t xml:space="preserve">1 Matrix visual: Rows = dim_customer[FullName], Values = Total Expected Amount, Total Actual Paid, Total Late Fees Charged — lets Risk &amp; Compliance staff click a segment in the slicer and see exactly which customers make it up.</w:t>
      </w:r>
    </w:p>
    <w:p>
      <w:pPr>
        <w:pStyle w:val="Heading2"/>
        <w:spacing w:after="120" w:before="280"/>
      </w:pPr>
      <w:r>
        <w:t xml:space="preserve">6.4 Page 4 — Revenue &amp; Offers</w:t>
      </w:r>
    </w:p>
    <w:p>
      <w:pPr>
        <w:pStyle w:val="ListParagraph"/>
        <w:numPr>
          <w:ilvl w:val="0"/>
          <w:numId w:val="2"/>
        </w:numPr>
        <w:spacing w:after="80"/>
      </w:pPr>
      <w:r>
        <w:t xml:space="preserve">2 Card visuals: Estimated Monthly Interest Revenue, Offer Acceptance Rate %.</w:t>
      </w:r>
    </w:p>
    <w:p>
      <w:pPr>
        <w:pStyle w:val="ListParagraph"/>
        <w:numPr>
          <w:ilvl w:val="0"/>
          <w:numId w:val="2"/>
        </w:numPr>
        <w:spacing w:after="80"/>
      </w:pPr>
      <w:r>
        <w:t xml:space="preserve">1 Stacked bar chart: fact_offer[Status] on the axis, Count of OfferID as the value — shows Offered vs. Accepted vs. Declined at a glance.</w:t>
      </w:r>
    </w:p>
    <w:p>
      <w:pPr>
        <w:pStyle w:val="ListParagraph"/>
        <w:numPr>
          <w:ilvl w:val="0"/>
          <w:numId w:val="2"/>
        </w:numPr>
        <w:spacing w:after="80"/>
      </w:pPr>
      <w:r>
        <w:t xml:space="preserve">1 Table visual: FullName (via the CustomerID relationship), TotalAmount, OfferedRatePct, Status — the same information as the Raw_Offers tab in the Excel deliverable, now filterable and drillable instead of static.</w:t>
      </w:r>
    </w:p>
    <w:p>
      <w:pPr>
        <w:pStyle w:val="Heading1"/>
        <w:spacing w:after="160" w:before="360"/>
      </w:pPr>
      <w:r>
        <w:t xml:space="preserve">7. Step 5 — Polish and (Optionally) Publish</w:t>
      </w:r>
    </w:p>
    <w:p>
      <w:pPr>
        <w:pStyle w:val="ListParagraph"/>
        <w:numPr>
          <w:ilvl w:val="0"/>
          <w:numId w:val="2"/>
        </w:numPr>
        <w:spacing w:after="80"/>
      </w:pPr>
      <w:r>
        <w:t xml:space="preserve">Apply a consistent theme: View -&gt; Themes -&gt; pick one, or match the navy/light-blue palette used in the BRD and FRD documents for visual consistency across the whole project.</w:t>
      </w:r>
    </w:p>
    <w:p>
      <w:pPr>
        <w:pStyle w:val="ListParagraph"/>
        <w:numPr>
          <w:ilvl w:val="0"/>
          <w:numId w:val="2"/>
        </w:numPr>
        <w:spacing w:after="80"/>
      </w:pPr>
      <w:r>
        <w:t xml:space="preserve">Give every visual a clear title (double-click it) — a report meant for someone else to read should never require the presenter to explain what a chart is showing.</w:t>
      </w:r>
    </w:p>
    <w:p>
      <w:pPr>
        <w:pStyle w:val="ListParagraph"/>
        <w:numPr>
          <w:ilvl w:val="0"/>
          <w:numId w:val="2"/>
        </w:numPr>
        <w:spacing w:after="80"/>
      </w:pPr>
      <w:r>
        <w:t xml:space="preserve">Publishing to the Power BI Service (the cloud version, for sharing with others) requires a Microsoft/Power BI account — optional, and not required for this to count as a complete, working deliverable on your own machine.</w:t>
      </w:r>
    </w:p>
    <w:p>
      <w:pPr>
        <w:pStyle w:val="Heading1"/>
        <w:spacing w:after="160" w:before="360"/>
      </w:pPr>
      <w:r>
        <w:t xml:space="preserve">8. Appendix — Data Dictionary</w:t>
      </w:r>
    </w:p>
    <w:p>
      <w:pPr>
        <w:pStyle w:val="Heading2"/>
        <w:spacing w:after="120" w:before="280"/>
      </w:pPr>
      <w:r>
        <w:t xml:space="preserve">dim_customer.csv</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84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Column</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Type</w:t>
            </w:r>
          </w:p>
        </w:tc>
        <w:tc>
          <w:tcPr>
            <w:tcW w:type="dxa" w:w="4840"/>
            <w:shd w:fill="1F3864" w:val="clear"/>
            <w:tcMar>
              <w:top w:type="dxa" w:w="80"/>
              <w:left w:type="dxa" w:w="100"/>
              <w:bottom w:type="dxa" w:w="80"/>
              <w:right w:type="dxa" w:w="100"/>
            </w:tcMar>
            <w:vAlign w:val="center"/>
          </w:tcPr>
          <w:p>
            <w:pPr>
              <w:jc w:val="left"/>
            </w:pPr>
            <w:r>
              <w:rPr>
                <w:b/>
                <w:bCs/>
                <w:color w:val="FFFFFF"/>
                <w:sz w:val="20"/>
                <w:szCs w:val="20"/>
              </w:rPr>
              <w:t xml:space="preserve">Notes</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CustomerID</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Primary key.</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FullName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MonthlyIncome</w:t>
            </w:r>
          </w:p>
        </w:tc>
        <w:tc>
          <w:tcPr>
            <w:tcW w:type="dxa" w:w="2000"/>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Self-declared monthly income, THB.</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CreditScore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Blank if the customer was never screened (not yet a Consolidation Candidate).</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DSR_Pct</w:t>
            </w:r>
          </w:p>
        </w:tc>
        <w:tc>
          <w:tcPr>
            <w:tcW w:type="dxa" w:w="2000"/>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Debt-Service Ratio, as a percentage.</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EligibilityOutcome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'Eligible', 'Not Eligible', or 'Not Screened'.</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Segment</w:t>
            </w:r>
          </w:p>
        </w:tc>
        <w:tc>
          <w:tcPr>
            <w:tcW w:type="dxa" w:w="2000"/>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tcMar>
              <w:top w:type="dxa" w:w="80"/>
              <w:left w:type="dxa" w:w="100"/>
              <w:bottom w:type="dxa" w:w="80"/>
              <w:right w:type="dxa" w:w="100"/>
            </w:tcMar>
            <w:vAlign w:val="center"/>
          </w:tcPr>
          <w:p>
            <w:pPr>
              <w:jc w:val="left"/>
            </w:pPr>
            <w:r>
              <w:rPr>
                <w:b w:val="false"/>
                <w:bCs w:val="false"/>
                <w:sz w:val="20"/>
                <w:szCs w:val="20"/>
              </w:rPr>
              <w:t xml:space="preserve">'Not a BNPL user' / 'Single provider' / 'Stacked - healthy' / 'Stacked - at risk'.</w:t>
            </w:r>
          </w:p>
        </w:tc>
      </w:tr>
    </w:tbl>
    <w:p>
      <w:pPr>
        <w:pStyle w:val="Heading2"/>
        <w:spacing w:after="120" w:before="280"/>
      </w:pPr>
      <w:r>
        <w:t xml:space="preserve">dim_provider.csv</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84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Column</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Type</w:t>
            </w:r>
          </w:p>
        </w:tc>
        <w:tc>
          <w:tcPr>
            <w:tcW w:type="dxa" w:w="4840"/>
            <w:shd w:fill="1F3864" w:val="clear"/>
            <w:tcMar>
              <w:top w:type="dxa" w:w="80"/>
              <w:left w:type="dxa" w:w="100"/>
              <w:bottom w:type="dxa" w:w="80"/>
              <w:right w:type="dxa" w:w="100"/>
            </w:tcMar>
            <w:vAlign w:val="center"/>
          </w:tcPr>
          <w:p>
            <w:pPr>
              <w:jc w:val="left"/>
            </w:pPr>
            <w:r>
              <w:rPr>
                <w:b/>
                <w:bCs/>
                <w:color w:val="FFFFFF"/>
                <w:sz w:val="20"/>
                <w:szCs w:val="20"/>
              </w:rPr>
              <w:t xml:space="preserve">Notes</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ProviderID</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Primary key.</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ProviderName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TypicalLateRatePct</w:t>
            </w:r>
          </w:p>
        </w:tc>
        <w:tc>
          <w:tcPr>
            <w:tcW w:type="dxa" w:w="2000"/>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Annualised penalty interest rate once a payment is late.</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ReportsToCreditBureau</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True/False</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Only Shopee SPayLater reports to Thailand's National Credit Bureau as of the sample data.</w:t>
            </w:r>
          </w:p>
        </w:tc>
      </w:tr>
    </w:tbl>
    <w:p>
      <w:pPr>
        <w:pStyle w:val="Heading2"/>
        <w:spacing w:after="120" w:before="280"/>
      </w:pPr>
      <w:r>
        <w:t xml:space="preserve">dim_date.csv</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84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Column</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Type</w:t>
            </w:r>
          </w:p>
        </w:tc>
        <w:tc>
          <w:tcPr>
            <w:tcW w:type="dxa" w:w="4840"/>
            <w:shd w:fill="1F3864" w:val="clear"/>
            <w:tcMar>
              <w:top w:type="dxa" w:w="80"/>
              <w:left w:type="dxa" w:w="100"/>
              <w:bottom w:type="dxa" w:w="80"/>
              <w:right w:type="dxa" w:w="100"/>
            </w:tcMar>
            <w:vAlign w:val="center"/>
          </w:tcPr>
          <w:p>
            <w:pPr>
              <w:jc w:val="left"/>
            </w:pPr>
            <w:r>
              <w:rPr>
                <w:b/>
                <w:bCs/>
                <w:color w:val="FFFFFF"/>
                <w:sz w:val="20"/>
                <w:szCs w:val="20"/>
              </w:rPr>
              <w:t xml:space="preserve">Notes</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DateKey</w:t>
            </w:r>
          </w:p>
        </w:tc>
        <w:tc>
          <w:tcPr>
            <w:tcW w:type="dxa" w:w="2000"/>
            <w:tcMar>
              <w:top w:type="dxa" w:w="80"/>
              <w:left w:type="dxa" w:w="100"/>
              <w:bottom w:type="dxa" w:w="80"/>
              <w:right w:type="dxa" w:w="100"/>
            </w:tcMar>
            <w:vAlign w:val="center"/>
          </w:tcPr>
          <w:p>
            <w:pPr>
              <w:jc w:val="left"/>
            </w:pPr>
            <w:r>
              <w:rPr>
                <w:b w:val="false"/>
                <w:bCs w:val="false"/>
                <w:sz w:val="20"/>
                <w:szCs w:val="20"/>
              </w:rPr>
              <w:t xml:space="preserve">Date</w:t>
            </w:r>
          </w:p>
        </w:tc>
        <w:tc>
          <w:tcPr>
            <w:tcW w:type="dxa" w:w="4840"/>
            <w:tcMar>
              <w:top w:type="dxa" w:w="80"/>
              <w:left w:type="dxa" w:w="100"/>
              <w:bottom w:type="dxa" w:w="80"/>
              <w:right w:type="dxa" w:w="100"/>
            </w:tcMar>
            <w:vAlign w:val="center"/>
          </w:tcPr>
          <w:p>
            <w:pPr>
              <w:jc w:val="left"/>
            </w:pPr>
            <w:r>
              <w:rPr>
                <w:b w:val="false"/>
                <w:bCs w:val="false"/>
                <w:sz w:val="20"/>
                <w:szCs w:val="20"/>
              </w:rPr>
              <w:t xml:space="preserve">Primary key. One row per date that appears in either fact table.</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Year</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Month</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1-12.</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MonthName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Quarter</w:t>
            </w:r>
          </w:p>
        </w:tc>
        <w:tc>
          <w:tcPr>
            <w:tcW w:type="dxa" w:w="2000"/>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tcMar>
              <w:top w:type="dxa" w:w="80"/>
              <w:left w:type="dxa" w:w="100"/>
              <w:bottom w:type="dxa" w:w="80"/>
              <w:right w:type="dxa" w:w="100"/>
            </w:tcMar>
            <w:vAlign w:val="center"/>
          </w:tcPr>
          <w:p>
            <w:pPr>
              <w:jc w:val="left"/>
            </w:pPr>
            <w:r>
              <w:rPr>
                <w:b w:val="false"/>
                <w:bCs w:val="false"/>
                <w:sz w:val="20"/>
                <w:szCs w:val="20"/>
              </w:rPr>
              <w:t xml:space="preserve">'Q1', 'Q2', etc.</w:t>
            </w:r>
          </w:p>
        </w:tc>
      </w:tr>
    </w:tbl>
    <w:p>
      <w:pPr>
        <w:pStyle w:val="Heading2"/>
        <w:spacing w:after="120" w:before="280"/>
      </w:pPr>
      <w:r>
        <w:t xml:space="preserve">fact_obligation.csv</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84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Column</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Type</w:t>
            </w:r>
          </w:p>
        </w:tc>
        <w:tc>
          <w:tcPr>
            <w:tcW w:type="dxa" w:w="4840"/>
            <w:shd w:fill="1F3864" w:val="clear"/>
            <w:tcMar>
              <w:top w:type="dxa" w:w="80"/>
              <w:left w:type="dxa" w:w="100"/>
              <w:bottom w:type="dxa" w:w="80"/>
              <w:right w:type="dxa" w:w="100"/>
            </w:tcMar>
            <w:vAlign w:val="center"/>
          </w:tcPr>
          <w:p>
            <w:pPr>
              <w:jc w:val="left"/>
            </w:pPr>
            <w:r>
              <w:rPr>
                <w:b/>
                <w:bCs/>
                <w:color w:val="FFFFFF"/>
                <w:sz w:val="20"/>
                <w:szCs w:val="20"/>
              </w:rPr>
              <w:t xml:space="preserve">Notes</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ObligationID</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Primary key.</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CustomerID</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Foreign key -&gt; dim_customer.</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ProviderID</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Foreign key -&gt; dim_provider.</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DueDateKey</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Date</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Foreign key -&gt; dim_date.</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ExpectedAmount</w:t>
            </w:r>
          </w:p>
        </w:tc>
        <w:tc>
          <w:tcPr>
            <w:tcW w:type="dxa" w:w="2000"/>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THB.</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ActualPaidAmount</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THB.</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DaysLate</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0 if paid on time.</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Cycle</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Which installment cycle (1st, 2nd, 3rd...).</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ExtraCharged</w:t>
            </w:r>
          </w:p>
        </w:tc>
        <w:tc>
          <w:tcPr>
            <w:tcW w:type="dxa" w:w="2000"/>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ActualPaidAmount minus ExpectedAmount, pre-calculated.</w:t>
            </w:r>
          </w:p>
        </w:tc>
      </w:tr>
    </w:tbl>
    <w:p>
      <w:pPr>
        <w:pStyle w:val="Heading2"/>
        <w:spacing w:after="120" w:before="280"/>
      </w:pPr>
      <w:r>
        <w:t xml:space="preserve">fact_offer.csv</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84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Column</w:t>
            </w:r>
          </w:p>
        </w:tc>
        <w:tc>
          <w:tcPr>
            <w:tcW w:type="dxa" w:w="2000"/>
            <w:shd w:fill="1F3864" w:val="clear"/>
            <w:tcMar>
              <w:top w:type="dxa" w:w="80"/>
              <w:left w:type="dxa" w:w="100"/>
              <w:bottom w:type="dxa" w:w="80"/>
              <w:right w:type="dxa" w:w="100"/>
            </w:tcMar>
            <w:vAlign w:val="center"/>
          </w:tcPr>
          <w:p>
            <w:pPr>
              <w:jc w:val="left"/>
            </w:pPr>
            <w:r>
              <w:rPr>
                <w:b/>
                <w:bCs/>
                <w:color w:val="FFFFFF"/>
                <w:sz w:val="20"/>
                <w:szCs w:val="20"/>
              </w:rPr>
              <w:t xml:space="preserve">Type</w:t>
            </w:r>
          </w:p>
        </w:tc>
        <w:tc>
          <w:tcPr>
            <w:tcW w:type="dxa" w:w="4840"/>
            <w:shd w:fill="1F3864" w:val="clear"/>
            <w:tcMar>
              <w:top w:type="dxa" w:w="80"/>
              <w:left w:type="dxa" w:w="100"/>
              <w:bottom w:type="dxa" w:w="80"/>
              <w:right w:type="dxa" w:w="100"/>
            </w:tcMar>
            <w:vAlign w:val="center"/>
          </w:tcPr>
          <w:p>
            <w:pPr>
              <w:jc w:val="left"/>
            </w:pPr>
            <w:r>
              <w:rPr>
                <w:b/>
                <w:bCs/>
                <w:color w:val="FFFFFF"/>
                <w:sz w:val="20"/>
                <w:szCs w:val="20"/>
              </w:rPr>
              <w:t xml:space="preserve">Notes</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OfferID</w:t>
            </w:r>
          </w:p>
        </w:tc>
        <w:tc>
          <w:tcPr>
            <w:tcW w:type="dxa" w:w="2000"/>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Primary key.</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CustomerID</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Whole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Foreign key -&gt; dim_customer.</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OfferDateKey</w:t>
            </w:r>
          </w:p>
        </w:tc>
        <w:tc>
          <w:tcPr>
            <w:tcW w:type="dxa" w:w="2000"/>
            <w:tcMar>
              <w:top w:type="dxa" w:w="80"/>
              <w:left w:type="dxa" w:w="100"/>
              <w:bottom w:type="dxa" w:w="80"/>
              <w:right w:type="dxa" w:w="100"/>
            </w:tcMar>
            <w:vAlign w:val="center"/>
          </w:tcPr>
          <w:p>
            <w:pPr>
              <w:jc w:val="left"/>
            </w:pPr>
            <w:r>
              <w:rPr>
                <w:b w:val="false"/>
                <w:bCs w:val="false"/>
                <w:sz w:val="20"/>
                <w:szCs w:val="20"/>
              </w:rPr>
              <w:t xml:space="preserve">Date</w:t>
            </w:r>
          </w:p>
        </w:tc>
        <w:tc>
          <w:tcPr>
            <w:tcW w:type="dxa" w:w="4840"/>
            <w:tcMar>
              <w:top w:type="dxa" w:w="80"/>
              <w:left w:type="dxa" w:w="100"/>
              <w:bottom w:type="dxa" w:w="80"/>
              <w:right w:type="dxa" w:w="100"/>
            </w:tcMar>
            <w:vAlign w:val="center"/>
          </w:tcPr>
          <w:p>
            <w:pPr>
              <w:jc w:val="left"/>
            </w:pPr>
            <w:r>
              <w:rPr>
                <w:b w:val="false"/>
                <w:bCs w:val="false"/>
                <w:sz w:val="20"/>
                <w:szCs w:val="20"/>
              </w:rPr>
              <w:t xml:space="preserve">Foreign key -&gt; dim_date.</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TotalAmount</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THB.</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OfferedRatePct</w:t>
            </w:r>
          </w:p>
        </w:tc>
        <w:tc>
          <w:tcPr>
            <w:tcW w:type="dxa" w:w="2000"/>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tcMar>
              <w:top w:type="dxa" w:w="80"/>
              <w:left w:type="dxa" w:w="100"/>
              <w:bottom w:type="dxa" w:w="80"/>
              <w:right w:type="dxa" w:w="100"/>
            </w:tcMar>
            <w:vAlign w:val="center"/>
          </w:tcPr>
          <w:p>
            <w:pPr>
              <w:jc w:val="left"/>
            </w:pPr>
            <w:r>
              <w:rPr>
                <w:b w:val="false"/>
                <w:bCs w:val="false"/>
                <w:sz w:val="20"/>
                <w:szCs w:val="20"/>
              </w:rPr>
              <w:t xml:space="preserve">Annual interest rate offered.</w:t>
            </w:r>
          </w:p>
        </w:tc>
      </w:tr>
      <w:tr>
        <w:tc>
          <w:tcPr>
            <w:tcW w:type="dxa" w:w="2400"/>
            <w:shd w:fill="F2F2F2" w:val="clear"/>
            <w:tcMar>
              <w:top w:type="dxa" w:w="80"/>
              <w:left w:type="dxa" w:w="100"/>
              <w:bottom w:type="dxa" w:w="80"/>
              <w:right w:type="dxa" w:w="100"/>
            </w:tcMar>
            <w:vAlign w:val="center"/>
          </w:tcPr>
          <w:p>
            <w:pPr>
              <w:jc w:val="left"/>
            </w:pPr>
            <w:r>
              <w:rPr>
                <w:b w:val="false"/>
                <w:bCs w:val="false"/>
                <w:sz w:val="20"/>
                <w:szCs w:val="20"/>
              </w:rPr>
              <w:t xml:space="preserve">MonthlyPayment</w:t>
            </w:r>
          </w:p>
        </w:tc>
        <w:tc>
          <w:tcPr>
            <w:tcW w:type="dxa" w:w="2000"/>
            <w:shd w:fill="F2F2F2" w:val="clear"/>
            <w:tcMar>
              <w:top w:type="dxa" w:w="80"/>
              <w:left w:type="dxa" w:w="100"/>
              <w:bottom w:type="dxa" w:w="80"/>
              <w:right w:type="dxa" w:w="100"/>
            </w:tcMar>
            <w:vAlign w:val="center"/>
          </w:tcPr>
          <w:p>
            <w:pPr>
              <w:jc w:val="left"/>
            </w:pPr>
            <w:r>
              <w:rPr>
                <w:b w:val="false"/>
                <w:bCs w:val="false"/>
                <w:sz w:val="20"/>
                <w:szCs w:val="20"/>
              </w:rPr>
              <w:t xml:space="preserve">Decimal Number</w:t>
            </w:r>
          </w:p>
        </w:tc>
        <w:tc>
          <w:tcPr>
            <w:tcW w:type="dxa" w:w="4840"/>
            <w:shd w:fill="F2F2F2" w:val="clear"/>
            <w:tcMar>
              <w:top w:type="dxa" w:w="80"/>
              <w:left w:type="dxa" w:w="100"/>
              <w:bottom w:type="dxa" w:w="80"/>
              <w:right w:type="dxa" w:w="100"/>
            </w:tcMar>
            <w:vAlign w:val="center"/>
          </w:tcPr>
          <w:p>
            <w:pPr>
              <w:jc w:val="left"/>
            </w:pPr>
            <w:r>
              <w:rPr>
                <w:b w:val="false"/>
                <w:bCs w:val="false"/>
                <w:sz w:val="20"/>
                <w:szCs w:val="20"/>
              </w:rPr>
              <w:t xml:space="preserve">THB.</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Status</w:t>
            </w:r>
          </w:p>
        </w:tc>
        <w:tc>
          <w:tcPr>
            <w:tcW w:type="dxa" w:w="2000"/>
            <w:tcMar>
              <w:top w:type="dxa" w:w="80"/>
              <w:left w:type="dxa" w:w="100"/>
              <w:bottom w:type="dxa" w:w="80"/>
              <w:right w:type="dxa" w:w="100"/>
            </w:tcMar>
            <w:vAlign w:val="center"/>
          </w:tcPr>
          <w:p>
            <w:pPr>
              <w:jc w:val="left"/>
            </w:pPr>
            <w:r>
              <w:rPr>
                <w:b w:val="false"/>
                <w:bCs w:val="false"/>
                <w:sz w:val="20"/>
                <w:szCs w:val="20"/>
              </w:rPr>
              <w:t xml:space="preserve">Text</w:t>
            </w:r>
          </w:p>
        </w:tc>
        <w:tc>
          <w:tcPr>
            <w:tcW w:type="dxa" w:w="4840"/>
            <w:tcMar>
              <w:top w:type="dxa" w:w="80"/>
              <w:left w:type="dxa" w:w="100"/>
              <w:bottom w:type="dxa" w:w="80"/>
              <w:right w:type="dxa" w:w="100"/>
            </w:tcMar>
            <w:vAlign w:val="center"/>
          </w:tcPr>
          <w:p>
            <w:pPr>
              <w:jc w:val="left"/>
            </w:pPr>
            <w:r>
              <w:rPr>
                <w:b w:val="false"/>
                <w:bCs w:val="false"/>
                <w:sz w:val="20"/>
                <w:szCs w:val="20"/>
              </w:rPr>
              <w:t xml:space="preserve">'Offered', 'Accepted', or 'Declined'.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BNPL Command Center — Power BI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2026-09-06T08:30:29.674Z</dcterms:created>
  <dcterms:modified xsi:type="dcterms:W3CDTF">2026-09-06T08:30:29.674Z</dcterms:modified>
</cp:coreProperties>
</file>

<file path=docProps/custom.xml><?xml version="1.0" encoding="utf-8"?>
<Properties xmlns="http://schemas.openxmlformats.org/officeDocument/2006/custom-properties" xmlns:vt="http://schemas.openxmlformats.org/officeDocument/2006/docPropsVTypes"/>
</file>