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8F" w:rsidRPr="00427434" w:rsidRDefault="00B178A5" w:rsidP="001B2354">
      <w:pPr>
        <w:spacing w:before="156" w:after="156"/>
        <w:ind w:firstLineChars="0" w:firstLine="0"/>
        <w:jc w:val="center"/>
        <w:rPr>
          <w:rFonts w:ascii="宋体" w:eastAsia="宋体" w:hAnsi="宋体"/>
          <w:b/>
          <w:sz w:val="32"/>
          <w:szCs w:val="32"/>
        </w:rPr>
      </w:pPr>
      <w:r w:rsidRPr="00427434">
        <w:rPr>
          <w:rFonts w:ascii="宋体" w:eastAsia="宋体" w:hAnsi="宋体" w:hint="eastAsia"/>
          <w:b/>
          <w:sz w:val="32"/>
          <w:szCs w:val="32"/>
        </w:rPr>
        <w:t>基于秘密共享的多方协作撮合服务系统设计</w:t>
      </w:r>
    </w:p>
    <w:p w:rsidR="001C368F" w:rsidRDefault="001C368F" w:rsidP="006F0474">
      <w:pPr>
        <w:spacing w:before="156" w:after="156"/>
        <w:ind w:firstLine="480"/>
      </w:pPr>
    </w:p>
    <w:p w:rsidR="00C23115" w:rsidRPr="0006704C" w:rsidRDefault="006F0474" w:rsidP="0006704C">
      <w:pPr>
        <w:pStyle w:val="-"/>
        <w:spacing w:before="156" w:after="156"/>
      </w:pPr>
      <w:r w:rsidRPr="0006704C">
        <w:rPr>
          <w:rFonts w:hint="eastAsia"/>
        </w:rPr>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56" w:after="156"/>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56" w:after="156"/>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r w:rsidR="00042453" w:rsidRPr="00097ACD">
        <w:rPr>
          <w:rFonts w:hint="eastAsia"/>
        </w:rPr>
        <w:t>的</w:t>
      </w:r>
      <w:r w:rsidR="00DA4EBC" w:rsidRPr="00097ACD">
        <w:rPr>
          <w:rFonts w:hint="eastAsia"/>
        </w:rPr>
        <w:t>众包</w:t>
      </w:r>
      <w:r w:rsidR="00042453" w:rsidRPr="00097ACD">
        <w:rPr>
          <w:rFonts w:hint="eastAsia"/>
        </w:rPr>
        <w:t>服务，不利于保护用户的创意、隐私等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AF0D7E" w:rsidRDefault="00DB0AB6" w:rsidP="00B02904">
      <w:pPr>
        <w:spacing w:before="156" w:after="156"/>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C621C0" w:rsidRDefault="00C621C0" w:rsidP="00B02904">
      <w:pPr>
        <w:spacing w:before="156" w:after="156"/>
        <w:ind w:firstLine="480"/>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56" w:after="156"/>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w:t>
      </w:r>
      <w:r w:rsidR="00460000">
        <w:rPr>
          <w:rFonts w:hint="eastAsia"/>
        </w:rPr>
        <w:lastRenderedPageBreak/>
        <w:t>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是服务众包平台，创办于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0174C0" w:rsidRDefault="003027A5" w:rsidP="00B02904">
      <w:pPr>
        <w:spacing w:before="156" w:after="156"/>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r w:rsidR="003D4B19">
        <w:rPr>
          <w:rFonts w:hint="eastAsia"/>
        </w:rPr>
        <w:t>MatchPool</w:t>
      </w:r>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r w:rsidR="00F33A52">
        <w:rPr>
          <w:rFonts w:hint="eastAsia"/>
        </w:rPr>
        <w:t>MatchPool</w:t>
      </w:r>
      <w:r w:rsidR="00F33A52">
        <w:rPr>
          <w:rFonts w:hint="eastAsia"/>
        </w:rPr>
        <w:t>”则基于虚拟货币以及区块链等技术，加之新的匹配机制和算法，提供一个去中心化的用户社交匹配服务方案。</w:t>
      </w:r>
    </w:p>
    <w:p w:rsidR="00C621C0" w:rsidRPr="00144841" w:rsidRDefault="00C621C0" w:rsidP="00B02904">
      <w:pPr>
        <w:spacing w:before="156" w:after="156"/>
        <w:ind w:firstLine="480"/>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56" w:after="156"/>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D95EE0" w:rsidRDefault="00D65BE3" w:rsidP="0054056A">
      <w:pPr>
        <w:spacing w:before="156" w:after="156"/>
        <w:ind w:firstLine="480"/>
      </w:pPr>
      <w:r>
        <w:rPr>
          <w:rFonts w:hint="eastAsia"/>
        </w:rPr>
        <w:t>其次，大部分</w:t>
      </w:r>
      <w:r w:rsidR="0054056A">
        <w:rPr>
          <w:rFonts w:hint="eastAsia"/>
        </w:rPr>
        <w:t>众包网站都像中介机构一样工作，</w:t>
      </w:r>
      <w:r>
        <w:rPr>
          <w:rFonts w:hint="eastAsia"/>
        </w:rPr>
        <w:t>其重点是把工作伙伴介绍</w:t>
      </w:r>
      <w:r w:rsidR="0054056A">
        <w:rPr>
          <w:rFonts w:hint="eastAsia"/>
        </w:rPr>
        <w:t>到一起，但</w:t>
      </w:r>
      <w:r>
        <w:rPr>
          <w:rFonts w:hint="eastAsia"/>
        </w:rPr>
        <w:t>之后</w:t>
      </w:r>
      <w:r w:rsidR="0054056A">
        <w:rPr>
          <w:rFonts w:hint="eastAsia"/>
        </w:rPr>
        <w:t>对后续工作漠不关心。用户来到网站，使用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r w:rsidR="00712816">
        <w:rPr>
          <w:rFonts w:hint="eastAsia"/>
        </w:rPr>
        <w:t>作出</w:t>
      </w:r>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w:t>
      </w:r>
      <w:r w:rsidR="0054056A">
        <w:rPr>
          <w:rFonts w:hint="eastAsia"/>
        </w:rPr>
        <w:lastRenderedPageBreak/>
        <w:t>用</w:t>
      </w:r>
      <w:r w:rsidR="00336280">
        <w:rPr>
          <w:rFonts w:hint="eastAsia"/>
        </w:rPr>
        <w:t>智能合约</w:t>
      </w:r>
      <w:r w:rsidR="0054056A">
        <w:rPr>
          <w:rFonts w:hint="eastAsia"/>
        </w:rPr>
        <w:t>技术，</w:t>
      </w:r>
      <w:r w:rsidR="00146534">
        <w:rPr>
          <w:rFonts w:hint="eastAsia"/>
        </w:rPr>
        <w:t>让解决方案能够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基于块链的概念和技术，它们像标记化程序一样运行，它们像网络上的任何其他东西一样具有公钥，但是它们具有代码，可以像存储过程那样“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56" w:after="156"/>
        <w:ind w:firstLine="480"/>
      </w:pPr>
    </w:p>
    <w:p w:rsidR="00D95EE0" w:rsidRPr="001149FF" w:rsidRDefault="00D95EE0" w:rsidP="001149FF">
      <w:pPr>
        <w:pStyle w:val="-0"/>
      </w:pPr>
      <w:r w:rsidRPr="001149FF">
        <w:rPr>
          <w:rFonts w:hint="eastAsia"/>
        </w:rPr>
        <w:t xml:space="preserve">1.4 </w:t>
      </w:r>
      <w:r w:rsidRPr="001149FF">
        <w:t>使用的</w:t>
      </w:r>
      <w:r w:rsidR="00266AD4">
        <w:t>概念和</w:t>
      </w:r>
      <w:r w:rsidRPr="001149FF">
        <w:t>技术</w:t>
      </w:r>
    </w:p>
    <w:p w:rsidR="00F140D0" w:rsidRDefault="00F140D0" w:rsidP="0006704C">
      <w:pPr>
        <w:pStyle w:val="-1"/>
        <w:spacing w:before="156" w:after="156"/>
      </w:pPr>
      <w:r>
        <w:rPr>
          <w:rFonts w:hint="eastAsia"/>
        </w:rPr>
        <w:t>1.4.1</w:t>
      </w:r>
      <w:r>
        <w:t xml:space="preserve"> </w:t>
      </w:r>
      <w:r>
        <w:t>中心化概念</w:t>
      </w:r>
    </w:p>
    <w:p w:rsidR="00F140D0" w:rsidRDefault="00B33E2D" w:rsidP="00F140D0">
      <w:pPr>
        <w:spacing w:before="156" w:after="156"/>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。其特点是所有的客户节点主要负者提出服务要求并接受和处理由服务端返回的数据，而服务端主要负责处理来自客户端的请求。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56" w:after="156"/>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3DF56" id="_x0000_t202" coordsize="21600,21600" o:spt="202" path="m,l,21600r21600,l21600,xe">
                <v:stroke joinstyle="miter"/>
                <v:path gradientshapeok="t" o:connecttype="rect"/>
              </v:shapetype>
              <v:shape id="文本框 1" o:spid="_x0000_s1026"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rFonts w:hint="eastAsia"/>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939C5" w:rsidRDefault="00A96376" w:rsidP="00F140D0">
      <w:pPr>
        <w:spacing w:before="156" w:after="156"/>
        <w:ind w:firstLine="480"/>
      </w:pPr>
      <w:r w:rsidRPr="00A96376">
        <w:rPr>
          <w:rFonts w:hint="eastAsia"/>
        </w:rPr>
        <w:t>之所以说它是中心化架构，关键特征是其存在共享的数据存储。部署在两个</w:t>
      </w:r>
      <w:r w:rsidRPr="00A96376">
        <w:rPr>
          <w:rFonts w:hint="eastAsia"/>
        </w:rPr>
        <w:lastRenderedPageBreak/>
        <w:t>数据中心的应用需要共享访问统一的数据存储，而这种共享访问实际是依赖数据中心之间的专线连通，这样的架构也限制了能选取的数据中心地理位置的距离。而实现去中心架构的关键点就在于规避跨数据中心的共享存储访问，使得应用在其自身数据中心实现访问闭环。</w:t>
      </w:r>
    </w:p>
    <w:p w:rsidR="00304111" w:rsidRPr="00F140D0" w:rsidRDefault="00304111" w:rsidP="00F140D0">
      <w:pPr>
        <w:spacing w:before="156" w:after="156"/>
        <w:ind w:firstLine="480"/>
      </w:pPr>
    </w:p>
    <w:p w:rsidR="004673CE" w:rsidRPr="0006704C" w:rsidRDefault="00F140D0" w:rsidP="0006704C">
      <w:pPr>
        <w:pStyle w:val="-1"/>
        <w:spacing w:before="156" w:after="156"/>
      </w:pPr>
      <w:r>
        <w:rPr>
          <w:rFonts w:hint="eastAsia"/>
        </w:rPr>
        <w:t>1.4.2</w:t>
      </w:r>
      <w:r w:rsidR="0006704C" w:rsidRPr="0006704C">
        <w:rPr>
          <w:rFonts w:hint="eastAsia"/>
        </w:rPr>
        <w:t xml:space="preserve"> </w:t>
      </w:r>
      <w:r w:rsidR="0006704C" w:rsidRPr="0006704C">
        <w:rPr>
          <w:rFonts w:hint="eastAsia"/>
        </w:rPr>
        <w:t>去中心化概念</w:t>
      </w:r>
    </w:p>
    <w:p w:rsidR="004673CE" w:rsidRDefault="00C43860" w:rsidP="00B02904">
      <w:pPr>
        <w:spacing w:before="156" w:after="156"/>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F110C5" w:rsidRDefault="00F110C5" w:rsidP="00B02904">
      <w:pPr>
        <w:spacing w:before="156" w:after="156"/>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CC1784" w:rsidP="00B02904">
      <w:pPr>
        <w:spacing w:before="156" w:after="156"/>
        <w:ind w:firstLine="480"/>
      </w:pPr>
    </w:p>
    <w:p w:rsidR="00CC1784" w:rsidRDefault="00B37DBA" w:rsidP="00056FE1">
      <w:pPr>
        <w:pStyle w:val="-1"/>
        <w:spacing w:before="156" w:after="156"/>
      </w:pPr>
      <w:r>
        <w:t>1.4.3</w:t>
      </w:r>
      <w:r w:rsidR="00CC1784">
        <w:t xml:space="preserve"> </w:t>
      </w:r>
      <w:r w:rsidR="00CC1784">
        <w:t>秘密分割方案</w:t>
      </w:r>
    </w:p>
    <w:p w:rsidR="00CC1784" w:rsidRDefault="0052546F" w:rsidP="00B02904">
      <w:pPr>
        <w:spacing w:before="156" w:after="156"/>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56" w:after="156"/>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56" w:after="156"/>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w:t>
      </w:r>
      <w:r w:rsidR="00007339">
        <w:rPr>
          <w:rFonts w:hint="eastAsia"/>
        </w:rPr>
        <w:lastRenderedPageBreak/>
        <w:t>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56" w:after="156"/>
        <w:ind w:firstLine="480"/>
      </w:pPr>
    </w:p>
    <w:p w:rsidR="001130A7" w:rsidRDefault="001130A7" w:rsidP="001130A7">
      <w:pPr>
        <w:pStyle w:val="-1"/>
        <w:spacing w:before="156" w:after="156"/>
      </w:pPr>
      <w:r>
        <w:rPr>
          <w:rFonts w:hint="eastAsia"/>
        </w:rPr>
        <w:t xml:space="preserve">1.4.4 </w:t>
      </w:r>
      <w:r>
        <w:rPr>
          <w:rFonts w:hint="eastAsia"/>
        </w:rPr>
        <w:t>非对称加密</w:t>
      </w:r>
      <w:r w:rsidR="00931044">
        <w:rPr>
          <w:rFonts w:hint="eastAsia"/>
        </w:rPr>
        <w:t>技术</w:t>
      </w:r>
    </w:p>
    <w:p w:rsidR="001130A7" w:rsidRDefault="00931044" w:rsidP="00B02904">
      <w:pPr>
        <w:spacing w:before="156" w:after="156"/>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生成自己的私钥，</w:t>
      </w:r>
      <w:r w:rsidR="005252C5">
        <w:rPr>
          <w:rFonts w:hint="eastAsia"/>
        </w:rPr>
        <w:t>再</w:t>
      </w:r>
      <w:r w:rsidRPr="00931044">
        <w:rPr>
          <w:rFonts w:hint="eastAsia"/>
        </w:rPr>
        <w:t>通过私钥可以生成</w:t>
      </w:r>
      <w:r w:rsidR="005252C5">
        <w:rPr>
          <w:rFonts w:hint="eastAsia"/>
        </w:rPr>
        <w:t>相应的</w:t>
      </w:r>
      <w:r w:rsidRPr="00931044">
        <w:rPr>
          <w:rFonts w:hint="eastAsia"/>
        </w:rPr>
        <w:t>公钥。数</w:t>
      </w:r>
      <w:r w:rsidR="00C33DBC">
        <w:rPr>
          <w:rFonts w:hint="eastAsia"/>
        </w:rPr>
        <w:t>字签名需要私钥进行签名处理，此证书和公钥将发送给收件人进行验证。</w:t>
      </w:r>
      <w:r w:rsidRPr="00931044">
        <w:rPr>
          <w:rFonts w:hint="eastAsia"/>
        </w:rPr>
        <w:t>在比特币</w:t>
      </w:r>
      <w:r w:rsidR="00C33DBC">
        <w:rPr>
          <w:rFonts w:hint="eastAsia"/>
        </w:rPr>
        <w:t>的</w:t>
      </w:r>
      <w:r w:rsidR="00C33DBC">
        <w:rPr>
          <w:rFonts w:hint="eastAsia"/>
        </w:rPr>
        <w:t>PoW</w:t>
      </w:r>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。对于交易的验证，它需要使用接收的公钥进行检查，验证</w:t>
      </w:r>
      <w:r w:rsidR="00C33DBC">
        <w:rPr>
          <w:rFonts w:hint="eastAsia"/>
        </w:rPr>
        <w:t>其</w:t>
      </w:r>
      <w:r w:rsidRPr="00931044">
        <w:rPr>
          <w:rFonts w:hint="eastAsia"/>
        </w:rPr>
        <w:t>是否</w:t>
      </w:r>
      <w:r w:rsidR="00C33DBC">
        <w:rPr>
          <w:rFonts w:hint="eastAsia"/>
        </w:rPr>
        <w:t>由私钥持有者发送，并且公钥可以通过两次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生成唯一的地址。验证完成后，地址中的比特币就可以运行。每个用户在比特币钱包应用程序中都有自己的私钥，而且私钥不会在网络上传播，它可以生成独特的相应公钥，公钥可以生成唯一对应的地址。整个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就必须知道相应的私钥。而使用不同明文数据进行安全哈希</w:t>
      </w:r>
      <w:r w:rsidR="00E609B7">
        <w:rPr>
          <w:rFonts w:hint="eastAsia"/>
        </w:rPr>
        <w:t>运算</w:t>
      </w:r>
      <w:r w:rsidR="00C33DBC">
        <w:rPr>
          <w:rFonts w:hint="eastAsia"/>
        </w:rPr>
        <w:t>得到相同哈希值</w:t>
      </w:r>
      <w:r w:rsidRPr="00931044">
        <w:rPr>
          <w:rFonts w:hint="eastAsia"/>
        </w:rPr>
        <w:t>的概率非常低，所以几乎不可能获得与其地址对应的私钥。</w:t>
      </w:r>
    </w:p>
    <w:p w:rsidR="001130A7" w:rsidRDefault="001130A7" w:rsidP="00B02904">
      <w:pPr>
        <w:spacing w:before="156" w:after="156"/>
        <w:ind w:firstLine="480"/>
      </w:pPr>
    </w:p>
    <w:p w:rsidR="007311C4" w:rsidRDefault="001130A7" w:rsidP="007311C4">
      <w:pPr>
        <w:pStyle w:val="-1"/>
        <w:spacing w:before="156" w:after="156"/>
      </w:pPr>
      <w:r>
        <w:rPr>
          <w:rFonts w:hint="eastAsia"/>
        </w:rPr>
        <w:t>1.4.5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56" w:after="156"/>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r w:rsidR="004612EE" w:rsidRPr="00144841">
        <w:rPr>
          <w:rFonts w:hint="eastAsia"/>
        </w:rPr>
        <w:t>Bitcoin</w:t>
      </w:r>
      <w:r w:rsidR="004612EE">
        <w:rPr>
          <w:rFonts w:hint="eastAsia"/>
        </w:rPr>
        <w:t>）</w:t>
      </w:r>
      <w:r w:rsidRPr="00144841">
        <w:rPr>
          <w:rFonts w:hint="eastAsia"/>
        </w:rPr>
        <w:t>，</w:t>
      </w:r>
      <w:r w:rsidR="004612EE">
        <w:rPr>
          <w:rFonts w:hint="eastAsia"/>
        </w:rPr>
        <w:t>“以太坊”（</w:t>
      </w:r>
      <w:r w:rsidR="004612EE" w:rsidRPr="00144841">
        <w:rPr>
          <w:rFonts w:hint="eastAsia"/>
        </w:rPr>
        <w:t>Ethereum</w:t>
      </w:r>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56" w:after="156"/>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C621C0" w:rsidRDefault="0080562F" w:rsidP="00B02904">
      <w:pPr>
        <w:spacing w:before="156" w:after="156"/>
        <w:ind w:firstLine="480"/>
      </w:pPr>
      <w:r>
        <w:rPr>
          <w:rFonts w:hint="eastAsia"/>
        </w:rPr>
        <w:lastRenderedPageBreak/>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r w:rsidR="00524382">
        <w:rPr>
          <w:rFonts w:hint="eastAsia"/>
        </w:rPr>
        <w:t>安全哈希</w:t>
      </w:r>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为了能保证匿名功能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来支持比特币地址的相关操作。</w:t>
      </w:r>
    </w:p>
    <w:p w:rsidR="00C621C0" w:rsidRDefault="00C621C0" w:rsidP="00B02904">
      <w:pPr>
        <w:spacing w:before="156" w:after="156"/>
        <w:ind w:firstLine="480"/>
      </w:pPr>
    </w:p>
    <w:p w:rsidR="00C621C0" w:rsidRDefault="00941A03" w:rsidP="00941A03">
      <w:pPr>
        <w:pStyle w:val="-"/>
        <w:spacing w:before="156" w:after="156"/>
      </w:pPr>
      <w:r>
        <w:t>第</w:t>
      </w:r>
      <w:r>
        <w:t>2</w:t>
      </w:r>
      <w:r>
        <w:t>章</w:t>
      </w:r>
    </w:p>
    <w:p w:rsidR="00941A03" w:rsidRDefault="00941A03" w:rsidP="00B02904">
      <w:pPr>
        <w:spacing w:before="156" w:after="156"/>
        <w:ind w:firstLine="480"/>
      </w:pPr>
    </w:p>
    <w:p w:rsidR="00941A03" w:rsidRDefault="00941A03" w:rsidP="00B02904">
      <w:pPr>
        <w:spacing w:before="156" w:after="156"/>
        <w:ind w:firstLine="480"/>
      </w:pPr>
    </w:p>
    <w:p w:rsidR="00941A03" w:rsidRDefault="00941A03" w:rsidP="00B02904">
      <w:pPr>
        <w:spacing w:before="156" w:after="156"/>
        <w:ind w:firstLine="480"/>
      </w:pPr>
    </w:p>
    <w:p w:rsidR="00941A03" w:rsidRDefault="00941A03" w:rsidP="00B02904">
      <w:pPr>
        <w:spacing w:before="156" w:after="156"/>
        <w:ind w:firstLine="480"/>
        <w:rPr>
          <w:rFonts w:hint="eastAsia"/>
        </w:rPr>
      </w:pPr>
      <w:bookmarkStart w:id="0" w:name="_GoBack"/>
      <w:bookmarkEnd w:id="0"/>
    </w:p>
    <w:p w:rsidR="0006704C" w:rsidRDefault="0006704C" w:rsidP="00B02904">
      <w:pPr>
        <w:spacing w:before="156" w:after="156"/>
        <w:ind w:firstLine="480"/>
      </w:pPr>
    </w:p>
    <w:p w:rsidR="00042C1D" w:rsidRDefault="00042C1D" w:rsidP="00B02904">
      <w:pPr>
        <w:spacing w:before="156" w:after="156"/>
        <w:ind w:firstLine="480"/>
      </w:pPr>
    </w:p>
    <w:p w:rsidR="00042C1D" w:rsidRPr="00042C1D" w:rsidRDefault="00042C1D" w:rsidP="00B02904">
      <w:pPr>
        <w:spacing w:before="156" w:after="156"/>
        <w:ind w:firstLine="480"/>
      </w:pPr>
    </w:p>
    <w:sectPr w:rsidR="00042C1D" w:rsidRPr="00042C1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109" w:rsidRDefault="00E52109" w:rsidP="00BA5E91">
      <w:pPr>
        <w:spacing w:before="120" w:after="120" w:line="240" w:lineRule="auto"/>
        <w:ind w:firstLine="480"/>
      </w:pPr>
      <w:r>
        <w:separator/>
      </w:r>
    </w:p>
  </w:endnote>
  <w:endnote w:type="continuationSeparator" w:id="0">
    <w:p w:rsidR="00E52109" w:rsidRDefault="00E52109"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109" w:rsidRDefault="00E52109" w:rsidP="00BA5E91">
      <w:pPr>
        <w:spacing w:before="120" w:after="120" w:line="240" w:lineRule="auto"/>
        <w:ind w:firstLine="480"/>
      </w:pPr>
      <w:r>
        <w:separator/>
      </w:r>
    </w:p>
  </w:footnote>
  <w:footnote w:type="continuationSeparator" w:id="0">
    <w:p w:rsidR="00E52109" w:rsidRDefault="00E52109"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40A63"/>
    <w:rsid w:val="00042453"/>
    <w:rsid w:val="00042C1D"/>
    <w:rsid w:val="00056FE1"/>
    <w:rsid w:val="0006704C"/>
    <w:rsid w:val="00071BA0"/>
    <w:rsid w:val="00092C15"/>
    <w:rsid w:val="00097ACD"/>
    <w:rsid w:val="000D629A"/>
    <w:rsid w:val="000F61F2"/>
    <w:rsid w:val="00102E90"/>
    <w:rsid w:val="00110F61"/>
    <w:rsid w:val="001130A7"/>
    <w:rsid w:val="001149FF"/>
    <w:rsid w:val="0013523A"/>
    <w:rsid w:val="001352EB"/>
    <w:rsid w:val="00144841"/>
    <w:rsid w:val="00146534"/>
    <w:rsid w:val="0018751E"/>
    <w:rsid w:val="001B2354"/>
    <w:rsid w:val="001C24B1"/>
    <w:rsid w:val="001C368F"/>
    <w:rsid w:val="001E1C64"/>
    <w:rsid w:val="001F0BDA"/>
    <w:rsid w:val="002071F3"/>
    <w:rsid w:val="00213614"/>
    <w:rsid w:val="00217179"/>
    <w:rsid w:val="002276E4"/>
    <w:rsid w:val="00247303"/>
    <w:rsid w:val="00250918"/>
    <w:rsid w:val="00251977"/>
    <w:rsid w:val="00254CAF"/>
    <w:rsid w:val="00266AD4"/>
    <w:rsid w:val="0029602A"/>
    <w:rsid w:val="002D7411"/>
    <w:rsid w:val="002E1F6B"/>
    <w:rsid w:val="002E3E52"/>
    <w:rsid w:val="002F2D82"/>
    <w:rsid w:val="002F3C9D"/>
    <w:rsid w:val="003027A5"/>
    <w:rsid w:val="00304111"/>
    <w:rsid w:val="00306658"/>
    <w:rsid w:val="00307571"/>
    <w:rsid w:val="0031675A"/>
    <w:rsid w:val="00336280"/>
    <w:rsid w:val="00342D63"/>
    <w:rsid w:val="00343925"/>
    <w:rsid w:val="003856E3"/>
    <w:rsid w:val="003939C5"/>
    <w:rsid w:val="003D4B19"/>
    <w:rsid w:val="003E794D"/>
    <w:rsid w:val="0040111B"/>
    <w:rsid w:val="004058BD"/>
    <w:rsid w:val="004116BB"/>
    <w:rsid w:val="00427434"/>
    <w:rsid w:val="00441240"/>
    <w:rsid w:val="004517D1"/>
    <w:rsid w:val="00460000"/>
    <w:rsid w:val="004612EE"/>
    <w:rsid w:val="00464D0E"/>
    <w:rsid w:val="004673CE"/>
    <w:rsid w:val="004B612D"/>
    <w:rsid w:val="004C4DEE"/>
    <w:rsid w:val="004E0166"/>
    <w:rsid w:val="005209DF"/>
    <w:rsid w:val="0052150F"/>
    <w:rsid w:val="005223ED"/>
    <w:rsid w:val="00524382"/>
    <w:rsid w:val="005252C5"/>
    <w:rsid w:val="0052546F"/>
    <w:rsid w:val="005323CB"/>
    <w:rsid w:val="0054056A"/>
    <w:rsid w:val="00556231"/>
    <w:rsid w:val="00565BBC"/>
    <w:rsid w:val="005A182A"/>
    <w:rsid w:val="005A5A82"/>
    <w:rsid w:val="005D720E"/>
    <w:rsid w:val="005F0332"/>
    <w:rsid w:val="006221ED"/>
    <w:rsid w:val="00635569"/>
    <w:rsid w:val="0064754D"/>
    <w:rsid w:val="006761EF"/>
    <w:rsid w:val="00690C0C"/>
    <w:rsid w:val="00696828"/>
    <w:rsid w:val="006C249A"/>
    <w:rsid w:val="006D5D7D"/>
    <w:rsid w:val="006F0474"/>
    <w:rsid w:val="006F06B6"/>
    <w:rsid w:val="0071192B"/>
    <w:rsid w:val="00712816"/>
    <w:rsid w:val="007212DC"/>
    <w:rsid w:val="007311C4"/>
    <w:rsid w:val="00746B20"/>
    <w:rsid w:val="00752515"/>
    <w:rsid w:val="007766BC"/>
    <w:rsid w:val="007779B4"/>
    <w:rsid w:val="00782013"/>
    <w:rsid w:val="007B748C"/>
    <w:rsid w:val="007C0C17"/>
    <w:rsid w:val="007C1C89"/>
    <w:rsid w:val="0080562F"/>
    <w:rsid w:val="008510D3"/>
    <w:rsid w:val="00855056"/>
    <w:rsid w:val="00863296"/>
    <w:rsid w:val="00897ADE"/>
    <w:rsid w:val="008C34F0"/>
    <w:rsid w:val="00907E03"/>
    <w:rsid w:val="00920DF5"/>
    <w:rsid w:val="00931044"/>
    <w:rsid w:val="00941A03"/>
    <w:rsid w:val="00946911"/>
    <w:rsid w:val="009813F4"/>
    <w:rsid w:val="0099568F"/>
    <w:rsid w:val="009A146D"/>
    <w:rsid w:val="009A5876"/>
    <w:rsid w:val="009B259E"/>
    <w:rsid w:val="009C2F20"/>
    <w:rsid w:val="009E5D9D"/>
    <w:rsid w:val="009E6891"/>
    <w:rsid w:val="00A0120D"/>
    <w:rsid w:val="00A1387C"/>
    <w:rsid w:val="00A2069F"/>
    <w:rsid w:val="00A3497E"/>
    <w:rsid w:val="00A45C70"/>
    <w:rsid w:val="00A624CE"/>
    <w:rsid w:val="00A71752"/>
    <w:rsid w:val="00A91D7F"/>
    <w:rsid w:val="00A96376"/>
    <w:rsid w:val="00AA10B8"/>
    <w:rsid w:val="00AB02D2"/>
    <w:rsid w:val="00AE56D3"/>
    <w:rsid w:val="00AF0D7E"/>
    <w:rsid w:val="00B02904"/>
    <w:rsid w:val="00B178A5"/>
    <w:rsid w:val="00B22174"/>
    <w:rsid w:val="00B33E2D"/>
    <w:rsid w:val="00B37DBA"/>
    <w:rsid w:val="00B829D4"/>
    <w:rsid w:val="00BA5E91"/>
    <w:rsid w:val="00BB1E19"/>
    <w:rsid w:val="00BB2EF2"/>
    <w:rsid w:val="00BF092B"/>
    <w:rsid w:val="00BF09DA"/>
    <w:rsid w:val="00C01F02"/>
    <w:rsid w:val="00C0295C"/>
    <w:rsid w:val="00C23115"/>
    <w:rsid w:val="00C33DBC"/>
    <w:rsid w:val="00C43860"/>
    <w:rsid w:val="00C47AD6"/>
    <w:rsid w:val="00C57DD4"/>
    <w:rsid w:val="00C621C0"/>
    <w:rsid w:val="00C87255"/>
    <w:rsid w:val="00C947E4"/>
    <w:rsid w:val="00C94AD9"/>
    <w:rsid w:val="00CA05B1"/>
    <w:rsid w:val="00CC1784"/>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44A1D"/>
    <w:rsid w:val="00E502A8"/>
    <w:rsid w:val="00E52109"/>
    <w:rsid w:val="00E609B7"/>
    <w:rsid w:val="00E64B00"/>
    <w:rsid w:val="00E93637"/>
    <w:rsid w:val="00EA71F4"/>
    <w:rsid w:val="00ED3A33"/>
    <w:rsid w:val="00EE4D3B"/>
    <w:rsid w:val="00EF5EB1"/>
    <w:rsid w:val="00F110C5"/>
    <w:rsid w:val="00F140D0"/>
    <w:rsid w:val="00F32DBF"/>
    <w:rsid w:val="00F33A52"/>
    <w:rsid w:val="00F64750"/>
    <w:rsid w:val="00F64D4E"/>
    <w:rsid w:val="00FA3A5F"/>
    <w:rsid w:val="00FA49C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qFormat/>
    <w:rsid w:val="0006704C"/>
    <w:pPr>
      <w:spacing w:before="400" w:after="200"/>
      <w:ind w:firstLineChars="0" w:firstLine="0"/>
    </w:pPr>
    <w:rPr>
      <w:rFonts w:eastAsia="宋体"/>
      <w:b/>
      <w:sz w:val="32"/>
      <w:szCs w:val="24"/>
    </w:rPr>
  </w:style>
  <w:style w:type="paragraph" w:customStyle="1" w:styleId="-0">
    <w:name w:val="标题-节"/>
    <w:basedOn w:val="a"/>
    <w:link w:val="-Char"/>
    <w:qFormat/>
    <w:rsid w:val="0006704C"/>
    <w:pPr>
      <w:spacing w:beforeLines="0" w:afterLines="0"/>
      <w:ind w:firstLineChars="0" w:firstLine="0"/>
    </w:pPr>
    <w:rPr>
      <w:rFonts w:eastAsia="宋体"/>
      <w:b/>
      <w:sz w:val="28"/>
      <w:szCs w:val="28"/>
    </w:rPr>
  </w:style>
  <w:style w:type="character" w:customStyle="1" w:styleId="-Char">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10"/>
    <w:next w:val="-0"/>
    <w:link w:val="-Char0"/>
    <w:qFormat/>
    <w:rsid w:val="0006704C"/>
    <w:pPr>
      <w:spacing w:before="50" w:after="50"/>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0">
    <w:name w:val="标题-段 Char"/>
    <w:basedOn w:val="1Char0"/>
    <w:link w:val="-1"/>
    <w:rsid w:val="0006704C"/>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2147</Words>
  <Characters>2191</Characters>
  <Application>Microsoft Office Word</Application>
  <DocSecurity>0</DocSecurity>
  <Lines>78</Lines>
  <Paragraphs>30</Paragraphs>
  <ScaleCrop>false</ScaleCrop>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179</cp:revision>
  <dcterms:created xsi:type="dcterms:W3CDTF">2017-04-24T06:47:00Z</dcterms:created>
  <dcterms:modified xsi:type="dcterms:W3CDTF">2017-05-08T07:18:00Z</dcterms:modified>
</cp:coreProperties>
</file>