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activeX/activeX9.xml" ContentType="application/vnd.ms-office.activeX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xml" ContentType="application/vnd.ms-office.activeX+xml"/>
  <Override PartName="/word/activeX/activeX4.bin" ContentType="application/vnd.ms-office.activeX"/>
  <Override PartName="/word/activeX/activeX5.bin" ContentType="application/vnd.ms-office.activeX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_rels/activeX1.xml.rels" ContentType="application/vnd.openxmlformats-package.relationships+xml"/>
  <Override PartName="/word/activeX/_rels/activeX26.xml.rels" ContentType="application/vnd.openxmlformats-package.relationships+xml"/>
  <Override PartName="/word/activeX/_rels/activeX9.xml.rels" ContentType="application/vnd.openxmlformats-package.relationships+xml"/>
  <Override PartName="/word/activeX/_rels/activeX2.xml.rels" ContentType="application/vnd.openxmlformats-package.relationships+xml"/>
  <Override PartName="/word/activeX/_rels/activeX3.xml.rels" ContentType="application/vnd.openxmlformats-package.relationships+xml"/>
  <Override PartName="/word/activeX/_rels/activeX20.xml.rels" ContentType="application/vnd.openxmlformats-package.relationships+xml"/>
  <Override PartName="/word/activeX/_rels/activeX21.xml.rels" ContentType="application/vnd.openxmlformats-package.relationships+xml"/>
  <Override PartName="/word/activeX/_rels/activeX4.xml.rels" ContentType="application/vnd.openxmlformats-package.relationships+xml"/>
  <Override PartName="/word/activeX/_rels/activeX5.xml.rels" ContentType="application/vnd.openxmlformats-package.relationships+xml"/>
  <Override PartName="/word/activeX/_rels/activeX22.xml.rels" ContentType="application/vnd.openxmlformats-package.relationships+xml"/>
  <Override PartName="/word/activeX/_rels/activeX6.xml.rels" ContentType="application/vnd.openxmlformats-package.relationships+xml"/>
  <Override PartName="/word/activeX/_rels/activeX23.xml.rels" ContentType="application/vnd.openxmlformats-package.relationships+xml"/>
  <Override PartName="/word/activeX/_rels/activeX7.xml.rels" ContentType="application/vnd.openxmlformats-package.relationships+xml"/>
  <Override PartName="/word/activeX/_rels/activeX24.xml.rels" ContentType="application/vnd.openxmlformats-package.relationships+xml"/>
  <Override PartName="/word/activeX/_rels/activeX8.xml.rels" ContentType="application/vnd.openxmlformats-package.relationships+xml"/>
  <Override PartName="/word/activeX/_rels/activeX25.xml.rels" ContentType="application/vnd.openxmlformats-package.relationships+xml"/>
  <Override PartName="/word/activeX/_rels/activeX18.xml.rels" ContentType="application/vnd.openxmlformats-package.relationships+xml"/>
  <Override PartName="/word/activeX/_rels/activeX10.xml.rels" ContentType="application/vnd.openxmlformats-package.relationships+xml"/>
  <Override PartName="/word/activeX/_rels/activeX19.xml.rels" ContentType="application/vnd.openxmlformats-package.relationships+xml"/>
  <Override PartName="/word/activeX/_rels/activeX11.xml.rels" ContentType="application/vnd.openxmlformats-package.relationships+xml"/>
  <Override PartName="/word/activeX/_rels/activeX12.xml.rels" ContentType="application/vnd.openxmlformats-package.relationships+xml"/>
  <Override PartName="/word/activeX/_rels/activeX13.xml.rels" ContentType="application/vnd.openxmlformats-package.relationships+xml"/>
  <Override PartName="/word/activeX/_rels/activeX14.xml.rels" ContentType="application/vnd.openxmlformats-package.relationships+xml"/>
  <Override PartName="/word/activeX/_rels/activeX15.xml.rels" ContentType="application/vnd.openxmlformats-package.relationships+xml"/>
  <Override PartName="/word/activeX/_rels/activeX16.xml.rels" ContentType="application/vnd.openxmlformats-package.relationships+xml"/>
  <Override PartName="/word/activeX/_rels/activeX17.xml.rels" ContentType="application/vnd.openxmlformats-package.relationships+xml"/>
  <Override PartName="/word/activeX/activeX7.bin" ContentType="application/vnd.ms-office.activeX"/>
  <Override PartName="/word/activeX/activeX20.xml" ContentType="application/vnd.ms-office.activeX+xml"/>
  <Override PartName="/word/activeX/activeX7.xml" ContentType="application/vnd.ms-office.activeX+xml"/>
  <Override PartName="/word/activeX/activeX8.bin" ContentType="application/vnd.ms-office.activeX"/>
  <Override PartName="/word/activeX/activeX21.xml" ContentType="application/vnd.ms-office.activeX+xml"/>
  <Override PartName="/word/activeX/activeX8.xml" ContentType="application/vnd.ms-office.activeX+xml"/>
  <Override PartName="/word/activeX/activeX9.bin" ContentType="application/vnd.ms-office.activeX"/>
  <Override PartName="/word/activeX/activeX22.xml" ContentType="application/vnd.ms-office.activeX+xml"/>
  <Override PartName="/word/activeX/activeX10.bin" ContentType="application/vnd.ms-office.activeX"/>
  <Override PartName="/word/activeX/activeX18.xml" ContentType="application/vnd.ms-office.activeX+xml"/>
  <Override PartName="/word/activeX/activeX10.xml" ContentType="application/vnd.ms-office.activeX+xml"/>
  <Override PartName="/word/activeX/activeX11.bin" ContentType="application/vnd.ms-office.activeX"/>
  <Override PartName="/word/activeX/activeX19.xml" ContentType="application/vnd.ms-office.activeX+xml"/>
  <Override PartName="/word/activeX/activeX11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9.bin" ContentType="application/vnd.ms-office.activeX"/>
  <Override PartName="/word/activeX/activeX20.bin" ContentType="application/vnd.ms-office.activeX"/>
  <Override PartName="/word/activeX/activeX21.bin" ContentType="application/vnd.ms-office.activeX"/>
  <Override PartName="/word/activeX/activeX22.bin" ContentType="application/vnd.ms-office.activeX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искать по словам и смыслам</w:t>
      </w:r>
    </w:p>
    <w:p>
      <w:pPr>
        <w:pStyle w:val="BodyText"/>
        <w:bidi w:val="0"/>
        <w:spacing w:before="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~30 минут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</w:p>
    <w:p>
      <w:pPr>
        <w:pStyle w:val="BodyText"/>
        <w:bidi w:val="0"/>
        <w:spacing w:before="300" w:after="283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 прошлом уроке вы познакомились с семантическим поиском, векторным представлением, RAG и fine-tuning, а также поняли, почему у нейросетей не две координаты, а намного больше. Однако, чтобы понять, почему точки‐векторы «сбиваются в стаи», стоит вспомнить, </w:t>
      </w:r>
      <w:r>
        <w:rPr>
          <w:rStyle w:val="Emphasis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именно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векторы получаются. Давайте разбираться, как кодируется текст. </w:t>
      </w:r>
    </w:p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Алгоритмы кодирования текста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Ранние алгоритмы пытались кодировать текст буквально: каждому слову присваивалась отдельная координата, а значение отражало, сколько раз слово встретилось. Отсюда и гигантская, но в основном пустая решётка признаков. Современные модели идут другим путём: они учатся сворачивать всю информацию о контексте в сравнительно короткий непрерывный «отпечаток», где каждая координата отвечает не за конкретное слово, а за абстрактную тему или оттенок смысла. Именно эта компактная, распределённая запись и позволяет фразам с разной лексикой, но близким содержанием «прилипать» друг к другу в пространстве эмбеддингов.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Sparse — разрежённые представления текста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Сейчас мы сделаем небольшой шаг назад и посмотрим, как работают базовые методы информационного поиска. Да, сегодня в крупных, «умных» NLP-системах они почти полностью вытеснились другими подходами (плотными эмбеддингами и трансформерами — о последних речь пойдёт дальше, буквально через урок). Тем не менее базовые методы всё равно используются. Например, они отлично подходят для быстрых прототипов, маленьких датасетов или в случаях, когда нужна простая, объяснимая модель. 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Базовые методы информационного поиска (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bag-of-words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one-hot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TF-IDF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) работают достаточно просто. Они представляют текст как огромный «словарный» вектор. Если в коллекции 50 тысяч уникальных токенов, то и размерность вектора равняется ровно 50 тысячам. В каждом документе или запросе встречаются лишь сотни слов, поэтому 99% координат обнуляются. Такое представление удобно для классических обратных индексов: вместо хранения всех 50 тысяч чисел записываются лишь пары «id слова → вес» (форматы CSR и COO). 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Экономия памяти колоссальная, но у этого есть своя цена. Имя ей —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семантическая глухота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любое морфологическое или синонимическое различие («пароль» / «код доступа») попадает в разные, никак не связанные ячейки;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сходство измеряется чисто статистическими метриками (cosine TF-IDF), которые не знают ни о контексте, ни о значении;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высокая размерность ведёт к «проклятию размерности» — расстояния выравниваются, а индексация усложняется.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Как видите, базовые методы устарели для сложных задач, но не исчезли полностью и остаются классическими рабочими инструментами. 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Dense — плотные представления текста</w:t>
      </w:r>
    </w:p>
    <w:p>
      <w:pPr>
        <w:pStyle w:val="BodyText"/>
        <w:bidi w:val="0"/>
        <w:spacing w:before="18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Нейросетевые модели (word2vec, GloVe, sentence-transformers, E5, GTE, text-embedding-3) обучаются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сжимать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богатую контекстную информацию в компактный,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плотный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эмбеддинг фиксированной длины (256 – 1536 координат). Ни один из элементов не отвечает за конкретное слово. Вместо этого каждая координата кодирует распределённую комбинацию тем, грамматики и «ощущения смысла».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результат получаем: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слова-синонимы (“doctor”, “physician”) и целые парафразы автоматически располагаются рядом, даже если ни одно слово не совпадает;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низкая размерность (в 100–200 раз меньше, чем словарь) ускоряет хранение, умножения и поиск ближайших соседей;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плотные векторы хорошо индексируются методами ANN (HNSW, IVF-PQ, DiskANN) и легко передаются GPU-ядрам батчами.</w:t>
      </w:r>
    </w:p>
    <w:p>
      <w:pPr>
        <w:pStyle w:val="Heading2"/>
        <w:bidi w:val="0"/>
        <w:spacing w:lineRule="atLeast" w:line="420" w:before="600" w:after="180"/>
        <w:ind w:hanging="0" w:start="0" w:end="0"/>
        <w:jc w:val="start"/>
        <w:rPr/>
      </w:pPr>
      <w:r>
        <w:rPr>
          <w:rStyle w:val="Strong"/>
          <w:rFonts w:ascii="Calibri" w:hAnsi="Calibri"/>
          <w:b/>
          <w:bCs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Распределённое кодирование смысла</w:t>
      </w:r>
    </w:p>
    <w:p>
      <w:pPr>
        <w:pStyle w:val="BodyText"/>
        <w:bidi w:val="0"/>
        <w:spacing w:before="18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Другой важный эффект плотности —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распределённое кодирование смысла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Потеря или шум в нескольких координатах почти не влияет на итоговое расстояние: информация «размазана» по всему пространству, благодаря чему модели устойчивы к опечаткам и редким формам слова. Поэтому при сравнении двух фраз их близость, то есть насколько их значения похожи по смыслу, определяется не совпадением индексов, а тем, насколько сильно перекрываются латентные семантические направления в этих векторах. 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Пример латентных семантических направлений</w:t>
      </w:r>
    </w:p>
    <w:tbl>
      <w:tblPr>
        <w:tblW w:w="8759" w:type="dxa"/>
        <w:jc w:val="start"/>
        <w:tblInd w:w="0" w:type="dxa"/>
        <w:tblLayout w:type="fixed"/>
        <w:tblCellMar>
          <w:top w:w="0" w:type="dxa"/>
          <w:start w:w="0" w:type="dxa"/>
          <w:bottom w:w="105" w:type="dxa"/>
          <w:end w:w="0" w:type="dxa"/>
        </w:tblCellMar>
      </w:tblPr>
      <w:tblGrid>
        <w:gridCol w:w="2864"/>
        <w:gridCol w:w="5895"/>
      </w:tblGrid>
      <w:tr>
        <w:trPr>
          <w:tblHeader w:val="true"/>
        </w:trPr>
        <w:tc>
          <w:tcPr>
            <w:tcW w:w="28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Направление</w:t>
            </w:r>
          </w:p>
        </w:tc>
        <w:tc>
          <w:tcPr>
            <w:tcW w:w="58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Что происходит, если двигаться по нему</w:t>
            </w:r>
          </w:p>
        </w:tc>
      </w:tr>
      <w:tr>
        <w:trPr/>
        <w:tc>
          <w:tcPr>
            <w:tcW w:w="28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«Чай ↔ Кофе»</w:t>
            </w:r>
          </w:p>
        </w:tc>
        <w:tc>
          <w:tcPr>
            <w:tcW w:w="58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Меняется тип напитка, остаётся идея «горячего напитка»</w:t>
            </w:r>
          </w:p>
        </w:tc>
      </w:tr>
      <w:tr>
        <w:trPr/>
        <w:tc>
          <w:tcPr>
            <w:tcW w:w="28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«С молоком ↔ Без молока»</w:t>
            </w:r>
          </w:p>
        </w:tc>
        <w:tc>
          <w:tcPr>
            <w:tcW w:w="58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Добавляется / убирается компонент</w:t>
            </w:r>
          </w:p>
        </w:tc>
      </w:tr>
      <w:tr>
        <w:trPr/>
        <w:tc>
          <w:tcPr>
            <w:tcW w:w="28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«Нейтральное ↔ Похвала»</w:t>
            </w:r>
          </w:p>
        </w:tc>
        <w:tc>
          <w:tcPr>
            <w:tcW w:w="58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Становится всё более позитивно</w:t>
            </w:r>
          </w:p>
        </w:tc>
      </w:tr>
      <w:tr>
        <w:trPr/>
        <w:tc>
          <w:tcPr>
            <w:tcW w:w="2864" w:type="dxa"/>
            <w:tcBorders/>
            <w:tcMar>
              <w:bottom w:w="0" w:type="dxa"/>
            </w:tcMar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«Настоящее ↔ Прошлое»</w:t>
            </w:r>
          </w:p>
        </w:tc>
        <w:tc>
          <w:tcPr>
            <w:tcW w:w="5895" w:type="dxa"/>
            <w:tcBorders/>
            <w:tcMar>
              <w:bottom w:w="0" w:type="dxa"/>
            </w:tcMar>
            <w:vAlign w:val="center"/>
          </w:tcPr>
          <w:p>
            <w:pPr>
              <w:pStyle w:val="Style15"/>
              <w:bidi w:val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Время действия уходит в прошлое</w:t>
            </w:r>
          </w:p>
        </w:tc>
      </w:tr>
    </w:tbl>
    <w:p>
      <w:pPr>
        <w:pStyle w:val="BodyText"/>
        <w:bidi w:val="0"/>
        <w:spacing w:before="6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Так «кофе с молоком» и «чай с лимоном» оказываются ближайшими «соседями» внутри одной группы напитков, а любая фраза про погоду улетает далеко-далеко, даже если совпадают отдельные буквы или </w:t>
      </w:r>
      <w:r>
        <w:rPr>
          <w:rFonts w:ascii="Calibri" w:hAnsi="Calibri"/>
          <w:color w:val="000000"/>
          <w:sz w:val="22"/>
          <w:szCs w:val="22"/>
          <w:u w:val="single"/>
          <w14:textFill>
            <w14:solidFill>
              <w14:srgbClr w14:val="000000">
                <w14:alpha w14:val="15000"/>
              </w14:srgbClr>
            </w14:solidFill>
          </w14:textFill>
        </w:rPr>
        <w:t>биграммы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. 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sklearn.feature_extraction.text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TfidfVectorizer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2"/>
          <w:rFonts w:ascii="Calibri" w:hAnsi="Calibri"/>
          <w:i/>
          <w:color w:val="5C6370"/>
          <w:sz w:val="22"/>
          <w:szCs w:val="22"/>
        </w:rPr>
        <w:t># 1️⃣ Корпус: даже одна строка должна быть в списке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corpus = [</w:t>
      </w:r>
      <w:r>
        <w:rPr>
          <w:rStyle w:val="Style12"/>
          <w:rFonts w:ascii="Calibri" w:hAnsi="Calibri"/>
          <w:color w:val="32A846"/>
          <w:sz w:val="22"/>
          <w:szCs w:val="22"/>
        </w:rPr>
        <w:t>"кофе кофе с молоком и сахаром"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</w:t>
      </w:r>
      <w:r>
        <w:rPr>
          <w:rStyle w:val="Style12"/>
          <w:rFonts w:ascii="Calibri" w:hAnsi="Calibri"/>
          <w:color w:val="32A846"/>
          <w:sz w:val="22"/>
          <w:szCs w:val="22"/>
        </w:rPr>
        <w:t>"чай с молоком"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]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2"/>
          <w:rFonts w:ascii="Calibri" w:hAnsi="Calibri"/>
          <w:i/>
          <w:color w:val="5C6370"/>
          <w:sz w:val="22"/>
          <w:szCs w:val="22"/>
        </w:rPr>
        <w:t># 2️⃣ Создаём векторизатор и обучаем его на корпусе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vectorizer = TfidfVectorizer()          </w:t>
      </w:r>
      <w:r>
        <w:rPr>
          <w:rStyle w:val="Style12"/>
          <w:rFonts w:ascii="Calibri" w:hAnsi="Calibri"/>
          <w:i/>
          <w:color w:val="5C6370"/>
          <w:sz w:val="22"/>
          <w:szCs w:val="22"/>
        </w:rPr>
        <w:t># можно задать токенайзер, стоп-слова, n-граммы и т. д.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X = vectorizer.fit_transform(corpus)    </w:t>
      </w:r>
      <w:r>
        <w:rPr>
          <w:rStyle w:val="Style12"/>
          <w:rFonts w:ascii="Calibri" w:hAnsi="Calibri"/>
          <w:i/>
          <w:color w:val="5C6370"/>
          <w:sz w:val="22"/>
          <w:szCs w:val="22"/>
        </w:rPr>
        <w:t># ← результат — scipy.sparse.csr_matrix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2"/>
          <w:rFonts w:ascii="Calibri" w:hAnsi="Calibri"/>
          <w:i/>
          <w:color w:val="5C6370"/>
          <w:sz w:val="22"/>
          <w:szCs w:val="22"/>
        </w:rPr>
        <w:t># 3️⃣ Смотрим, что получилось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A8D3D"/>
          <w:sz w:val="22"/>
          <w:szCs w:val="22"/>
        </w:rPr>
        <w:t>print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(</w:t>
      </w:r>
      <w:r>
        <w:rPr>
          <w:rStyle w:val="Style12"/>
          <w:rFonts w:ascii="Calibri" w:hAnsi="Calibri"/>
          <w:color w:val="C678DD"/>
          <w:sz w:val="22"/>
          <w:szCs w:val="22"/>
        </w:rPr>
        <w:t>type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(X), X.shape)                 </w:t>
      </w:r>
      <w:r>
        <w:rPr>
          <w:rStyle w:val="Style12"/>
          <w:rFonts w:ascii="Calibri" w:hAnsi="Calibri"/>
          <w:i/>
          <w:color w:val="5C6370"/>
          <w:sz w:val="22"/>
          <w:szCs w:val="22"/>
        </w:rPr>
        <w:t># &lt;class 'scipy.sparse.csr.csr_matrix'&gt; (2, 4)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A8D3D"/>
          <w:sz w:val="22"/>
          <w:szCs w:val="22"/>
        </w:rPr>
        <w:t>print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(vectorizer.get_feature_names_out())  </w:t>
      </w:r>
      <w:r>
        <w:rPr>
          <w:rStyle w:val="Style12"/>
          <w:rFonts w:ascii="Calibri" w:hAnsi="Calibri"/>
          <w:i/>
          <w:color w:val="5C6370"/>
          <w:sz w:val="22"/>
          <w:szCs w:val="22"/>
        </w:rPr>
        <w:t># ['кофе' 'молоком' 'сахаром' 'чай']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A8D3D"/>
          <w:sz w:val="22"/>
          <w:szCs w:val="22"/>
        </w:rPr>
        <w:t>print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(X)                                </w:t>
      </w:r>
      <w:r>
        <w:rPr>
          <w:rStyle w:val="Style12"/>
          <w:rFonts w:ascii="Calibri" w:hAnsi="Calibri"/>
          <w:i/>
          <w:color w:val="5C6370"/>
          <w:sz w:val="22"/>
          <w:szCs w:val="22"/>
        </w:rPr>
        <w:t># сам разрежённый вектор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</w:p>
    <w:p>
      <w:pPr>
        <w:pStyle w:val="BodyText"/>
        <w:bidi w:val="0"/>
        <w:spacing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264275" cy="2636520"/>
            <wp:effectExtent l="0" t="0" r="0" b="0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75" cy="263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2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Таблица Coords Values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Показывает, где стоят ненулевые TF-IDF-веса: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(0, 0) → 0.85 — в первом документе слово «кофе».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(0, 1) → 0.30 — там же «молоком».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(0, 2) → 0.43 — там же «сахаром».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(1, 1) → 0.58 — во втором документе «молоком».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(1, 3) → 0.81 — во втором документе «чай».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Сравнение разрежённого (sparse) и плотного (dense) представлений текстов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05" w:type="dxa"/>
          <w:end w:w="0" w:type="dxa"/>
        </w:tblCellMar>
      </w:tblPr>
      <w:tblGrid>
        <w:gridCol w:w="2314"/>
        <w:gridCol w:w="3853"/>
        <w:gridCol w:w="3471"/>
      </w:tblGrid>
      <w:tr>
        <w:trPr>
          <w:tblHeader w:val="true"/>
        </w:trPr>
        <w:tc>
          <w:tcPr>
            <w:tcW w:w="2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Критерий</w:t>
            </w:r>
          </w:p>
        </w:tc>
        <w:tc>
          <w:tcPr>
            <w:tcW w:w="38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Sparse (BoW/TF-IDF)</w:t>
            </w:r>
          </w:p>
        </w:tc>
        <w:tc>
          <w:tcPr>
            <w:tcW w:w="34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Dense (нейросети)</w:t>
            </w:r>
          </w:p>
        </w:tc>
      </w:tr>
      <w:tr>
        <w:trPr/>
        <w:tc>
          <w:tcPr>
            <w:tcW w:w="2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Длина</w:t>
            </w:r>
          </w:p>
        </w:tc>
        <w:tc>
          <w:tcPr>
            <w:tcW w:w="38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= словарю (10³-10⁵)</w:t>
            </w:r>
          </w:p>
        </w:tc>
        <w:tc>
          <w:tcPr>
            <w:tcW w:w="34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фикс. 256-1 024</w:t>
            </w:r>
          </w:p>
        </w:tc>
      </w:tr>
      <w:tr>
        <w:trPr/>
        <w:tc>
          <w:tcPr>
            <w:tcW w:w="2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Заполненность</w:t>
            </w:r>
          </w:p>
        </w:tc>
        <w:tc>
          <w:tcPr>
            <w:tcW w:w="38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&lt; 1%</w:t>
            </w:r>
          </w:p>
        </w:tc>
        <w:tc>
          <w:tcPr>
            <w:tcW w:w="34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~ 100%</w:t>
            </w:r>
          </w:p>
        </w:tc>
      </w:tr>
      <w:tr>
        <w:trPr/>
        <w:tc>
          <w:tcPr>
            <w:tcW w:w="2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Сравнение</w:t>
            </w:r>
          </w:p>
        </w:tc>
        <w:tc>
          <w:tcPr>
            <w:tcW w:w="38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>
                <w:rFonts w:ascii="Calibri" w:hAnsi="Calibri"/>
                <w:b w:val="false"/>
                <w:sz w:val="22"/>
                <w:szCs w:val="22"/>
              </w:rPr>
              <w:t>kos/pkg </w:t>
            </w:r>
            <w:r>
              <w:rPr>
                <w:rStyle w:val="Emphasis"/>
                <w:rFonts w:ascii="Calibri" w:hAnsi="Calibri"/>
                <w:b w:val="false"/>
                <w:sz w:val="22"/>
                <w:szCs w:val="22"/>
              </w:rPr>
              <w:t>+</w:t>
            </w:r>
            <w:r>
              <w:rPr>
                <w:rFonts w:ascii="Calibri" w:hAnsi="Calibri"/>
                <w:b w:val="false"/>
                <w:sz w:val="22"/>
                <w:szCs w:val="22"/>
              </w:rPr>
              <w:t> EV/​Manhattan</w:t>
            </w:r>
          </w:p>
        </w:tc>
        <w:tc>
          <w:tcPr>
            <w:tcW w:w="34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косинус, dot-product</w:t>
            </w:r>
          </w:p>
        </w:tc>
      </w:tr>
      <w:tr>
        <w:trPr/>
        <w:tc>
          <w:tcPr>
            <w:tcW w:w="2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Стоимость памяти</w:t>
            </w:r>
          </w:p>
        </w:tc>
        <w:tc>
          <w:tcPr>
            <w:tcW w:w="38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Растёт cо словарём</w:t>
            </w:r>
          </w:p>
        </w:tc>
        <w:tc>
          <w:tcPr>
            <w:tcW w:w="34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Постоянна</w:t>
            </w:r>
          </w:p>
        </w:tc>
      </w:tr>
      <w:tr>
        <w:trPr/>
        <w:tc>
          <w:tcPr>
            <w:tcW w:w="2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Умение видеть синонимы</w:t>
            </w:r>
          </w:p>
        </w:tc>
        <w:tc>
          <w:tcPr>
            <w:tcW w:w="38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Слабое</w:t>
            </w:r>
          </w:p>
        </w:tc>
        <w:tc>
          <w:tcPr>
            <w:tcW w:w="34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Сильное</w:t>
            </w:r>
          </w:p>
        </w:tc>
      </w:tr>
      <w:tr>
        <w:trPr/>
        <w:tc>
          <w:tcPr>
            <w:tcW w:w="2314" w:type="dxa"/>
            <w:tcBorders/>
            <w:tcMar>
              <w:bottom w:w="0" w:type="dxa"/>
            </w:tcMar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Типичный use-case</w:t>
            </w:r>
          </w:p>
        </w:tc>
        <w:tc>
          <w:tcPr>
            <w:tcW w:w="3853" w:type="dxa"/>
            <w:tcBorders/>
            <w:tcMar>
              <w:bottom w:w="0" w:type="dxa"/>
            </w:tcMar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Классический полнотекстовый поиск, фильтры</w:t>
            </w:r>
          </w:p>
        </w:tc>
        <w:tc>
          <w:tcPr>
            <w:tcW w:w="3471" w:type="dxa"/>
            <w:tcBorders/>
            <w:tcMar>
              <w:bottom w:w="0" w:type="dxa"/>
            </w:tcMar>
            <w:vAlign w:val="center"/>
          </w:tcPr>
          <w:p>
            <w:pPr>
              <w:pStyle w:val="Style15"/>
              <w:bidi w:val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RAG, рекомендации, мультиязычный поиск</w:t>
            </w:r>
          </w:p>
        </w:tc>
      </w:tr>
    </w:tbl>
    <w:p>
      <w:pPr>
        <w:pStyle w:val="BodyText"/>
        <w:bidi w:val="0"/>
        <w:spacing w:before="600" w:after="283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Теперь, когда стало понятно, чем различаются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разрежённые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(sparse) и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плотные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(dense) представления текста, нужно разобраться, а как же измерить «близость» при разрежённом поиске.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BM25</w:t>
      </w:r>
    </w:p>
    <w:p>
      <w:pPr>
        <w:pStyle w:val="BodyText"/>
        <w:bidi w:val="0"/>
        <w:spacing w:before="18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Здесь нам снова надо сделать шаг назад, потому что при sparse-поиске в игру вступает классическая формула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BM25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. Она оценивает документы, опираясь на частоту и редкость слов, при этом компенсируя длину текста. </w:t>
      </w:r>
    </w:p>
    <w:p>
      <w:pPr>
        <w:pStyle w:val="BodyText"/>
        <w:bidi w:val="0"/>
        <w:spacing w:lineRule="atLeast" w:line="420" w:before="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Best Matching 25 (BM25) — это эмпирическая формула, которая присваивает документу оценку релевантности к данному запросу на основе: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частоты термина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в документе (TF —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Term Frequency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);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редкости термина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в коллекции. Её ещё называют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обратной частотой документа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(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Inverse Document Frequency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, или IDF);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длины документа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(коррекция, чтобы длинные тексты не «выигрывали» автоматически).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428105" cy="1990090"/>
            <wp:effectExtent l="0" t="0" r="0" b="0"/>
            <wp:docPr id="3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105" cy="199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4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Эта модель возникла в 1990-х как часть семейства Okapi, поэтому часто можно встретить её второе название — </w:t>
      </w:r>
      <w:r>
        <w:rPr>
          <w:rStyle w:val="Emphasis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Okapi BM25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 Идея состоит в том, что если слово встречается много раз в коротком документе и редко в коллекции, то это сильно повышает релевантность всего текста.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k1k_1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«запирает» вклад TF: если первое-второе вхождение важны, то 20-е уже почти ничего не добавляет.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bb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компенсирует, что длинные статьи статистически содержат больше всего, в том числе нужных слов. Чем выше bb, тем сильнее «штраф» за лишние слова.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Вам не нужно запоминать разницу между k1k_1 и bb, но её важно понимать для контекста.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# pip install rank_bm25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from rank_bm25 import BM25Okapi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# 1) Небольшой корпус документов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corpus = [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"Москва — столица России.",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"Санкт-Петербург известен своими белыми ночами.",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"Новосибирск — крупный научный центр Сибири."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]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# 2) Простейшая токенизация (split по пробелу + lower)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tokenized_corpus = [doc.lower().split() for doc in corpus]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# 3) «Обучаем» BM25 (на деле просто сохраняются частоты слов)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bm25 = BM25Okapi(tokenized_corpus)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# 4) Запрос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query = "столица России"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tokenized_query = query.lower().split()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# 5) Считаем оценки релевантности для каждого документа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scores = bm25.get_scores(tokenized_query)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# 6) Выводим документы, отсортированные по убыванию BM25-скора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for doc, score in sorted(zip(corpus, scores), key=lambda x: x[1], reverse=True):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print(f"{score:.2f}\t{doc}") </w:t>
      </w:r>
    </w:p>
    <w:p>
      <w:pPr>
        <w:pStyle w:val="BodyText"/>
        <w:bidi w:val="0"/>
        <w:spacing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BM25 — «рабочая лошадка» для точного текстового поиска. Это быстрая, простая в настройке и объяснимая модель, поэтому она до сих пор лежит в основе целого ряда технологий. Например, в библиотеке Lucene и, соответственно, в Solr и Elasticsearch, которые используют её как основу своей поисковой функциональности. Также BM25 для sparse-поиска используют Typesense и Milvus. Да и вообще эта формула пригодится везде, где применим «обратный индекс» и требуется простой и быстрый алгоритм.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Однако BM25 опирается исключительно на совпадение слов, поэтому в современных системах её часто объединяют с эмбеддингами (dense) в гибридном поиске, чтобы уловить смысловые перефразы.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05" w:type="dxa"/>
          <w:end w:w="0" w:type="dxa"/>
        </w:tblCellMar>
      </w:tblPr>
      <w:tblGrid>
        <w:gridCol w:w="3799"/>
        <w:gridCol w:w="5839"/>
      </w:tblGrid>
      <w:tr>
        <w:trPr>
          <w:tblHeader w:val="true"/>
        </w:trPr>
        <w:tc>
          <w:tcPr>
            <w:tcW w:w="37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Почему BM25 до сих пор популярен?</w:t>
            </w:r>
          </w:p>
        </w:tc>
        <w:tc>
          <w:tcPr>
            <w:tcW w:w="58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Почему к BM25 добавляют dense-поиск?</w:t>
            </w:r>
          </w:p>
        </w:tc>
      </w:tr>
      <w:tr>
        <w:trPr/>
        <w:tc>
          <w:tcPr>
            <w:tcW w:w="37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Лёгко считать на сотнях миллионов документов</w:t>
            </w:r>
          </w:p>
        </w:tc>
        <w:tc>
          <w:tcPr>
            <w:tcW w:w="58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Не понимает морфологию и синонимы.</w:t>
            </w:r>
          </w:p>
        </w:tc>
      </w:tr>
      <w:tr>
        <w:trPr/>
        <w:tc>
          <w:tcPr>
            <w:tcW w:w="37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Хранит только позиции слов → компактный индекс</w:t>
            </w:r>
          </w:p>
        </w:tc>
        <w:tc>
          <w:tcPr>
            <w:tcW w:w="58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>
                <w:rFonts w:ascii="Calibri" w:hAnsi="Calibri"/>
                <w:b w:val="false"/>
                <w:sz w:val="22"/>
                <w:szCs w:val="22"/>
              </w:rPr>
              <w:t>Не различает контекст: </w:t>
            </w:r>
            <w:r>
              <w:rPr>
                <w:rStyle w:val="Emphasis"/>
                <w:rFonts w:ascii="Calibri" w:hAnsi="Calibri"/>
                <w:b w:val="false"/>
                <w:sz w:val="22"/>
                <w:szCs w:val="22"/>
              </w:rPr>
              <w:t>“apple” — фрукт или компания?</w:t>
            </w:r>
          </w:p>
        </w:tc>
      </w:tr>
      <w:tr>
        <w:trPr/>
        <w:tc>
          <w:tcPr>
            <w:tcW w:w="3799" w:type="dxa"/>
            <w:tcBorders/>
            <w:tcMar>
              <w:bottom w:w="0" w:type="dxa"/>
            </w:tcMar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Даёт объяснимые баллы: видно, какие слова «сыграли»</w:t>
            </w:r>
          </w:p>
        </w:tc>
        <w:tc>
          <w:tcPr>
            <w:tcW w:w="5839" w:type="dxa"/>
            <w:tcBorders/>
            <w:tcMar>
              <w:bottom w:w="0" w:type="dxa"/>
            </w:tcMar>
            <w:vAlign w:val="center"/>
          </w:tcPr>
          <w:p>
            <w:pPr>
              <w:pStyle w:val="Style15"/>
              <w:bidi w:val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«Проклятие размерности» для редких, но важных терминов; никакой смысловой близости</w:t>
            </w:r>
          </w:p>
        </w:tc>
      </w:tr>
    </w:tbl>
    <w:p>
      <w:pPr>
        <w:pStyle w:val="BodyText"/>
        <w:bidi w:val="0"/>
        <w:spacing w:before="6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Однако достоинства BM25 мгновенно становятся ограничениями, когда задача меняется с «найти точное слово» на «принести смысл». </w:t>
      </w:r>
    </w:p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Ограничения BM25</w:t>
      </w:r>
    </w:p>
    <w:p>
      <w:pPr>
        <w:pStyle w:val="BodyText"/>
        <w:bidi w:val="0"/>
        <w:spacing w:before="18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 pipeline RAG извлекатель (Retrieval) должен возвращать фрагменты, которые заполнят контекст для LLM, даже если в них нет ни одного токена из запроса. Синонимы, опечатки, смена формы слова или целого языка — всё это ломает sparse-модель, зато естественно «склеивается» в плотных (dense) эмбеддингах. Поэтому для RAG почти всегда берут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dense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: модель сразу чувствует синонимы, опечатки, контекст и компактнее хранит всё это в векторной базе.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Тем не менее «чистая» плотная семантика закрывает далеко не всё: артикулы товаров, коды ошибок и редкие юридические номера могут «раствориться» в эмбеддинге, тогда как точное совпадение слова критично. Именно поэтому в продакшене к dense-поиску почти всегда подмешивают проверенное sparse-ранжирование. Так получается гибрид, который одновременно чутко ловит смысл и не пропускает буквальные маркеры. Прежде чем раскрыть детали векторных баз данных, выбор эмбеддеров и LLM-оркестровку, разберёмся, как такие гибриды устроены и какую выгоду дают.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/>
      </w:pPr>
      <w:r>
        <w:rPr>
          <w:rStyle w:val="Strong"/>
          <w:rFonts w:ascii="Calibri" w:hAnsi="Calibri"/>
          <w:b/>
          <w:bCs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устроен гибрид dense-поиска и sparse-ранжирования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Представьте международную страховую компанию. 30 тысяч сотрудников по всему миру. Больше миллиона PDF-полисов и предписаний комплаенса. Пользовательские запросы бывают двух типов: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Семантические: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Emphasis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«Что считается “стихийным бедствием” в полисах для фермеров Колорадо?»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Точные: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Emphasis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«Полис № AG-USA-P-74391-2024, пункт 4.2»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Если запустить только dense-поиск (эмбеддинги + k-NN), система найдёт все абстрактно близкие документы, но может пропустить нужный номер полиса. А если оставить чистый BM25, то она увидит номер, но утонет в десятках почти одинаковых версий, игнорируя синонимы и правовые формулировки. Поэтому ребята из data-платформы строят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hybrid retrieval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 то есть они объединяют sparse- и dense-сигналы в одном запросе и «склеивают» ранжирование.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05" w:type="dxa"/>
          <w:end w:w="0" w:type="dxa"/>
        </w:tblCellMar>
      </w:tblPr>
      <w:tblGrid>
        <w:gridCol w:w="2492"/>
        <w:gridCol w:w="3746"/>
        <w:gridCol w:w="3400"/>
      </w:tblGrid>
      <w:tr>
        <w:trPr>
          <w:tblHeader w:val="true"/>
        </w:trPr>
        <w:tc>
          <w:tcPr>
            <w:tcW w:w="24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Компонент</w:t>
            </w:r>
          </w:p>
        </w:tc>
        <w:tc>
          <w:tcPr>
            <w:tcW w:w="37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Что хранится</w:t>
            </w:r>
          </w:p>
        </w:tc>
        <w:tc>
          <w:tcPr>
            <w:tcW w:w="34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Зачем</w:t>
            </w:r>
          </w:p>
        </w:tc>
      </w:tr>
      <w:tr>
        <w:trPr/>
        <w:tc>
          <w:tcPr>
            <w:tcW w:w="24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Calibri" w:hAnsi="Calibri"/>
                <w:b w:val="false"/>
                <w:sz w:val="22"/>
                <w:szCs w:val="22"/>
              </w:rPr>
              <w:t>Инвертированный индекс</w:t>
            </w:r>
            <w:r>
              <w:rPr>
                <w:rFonts w:ascii="Calibri" w:hAnsi="Calibri"/>
                <w:b w:val="false"/>
                <w:sz w:val="22"/>
                <w:szCs w:val="22"/>
              </w:rPr>
              <w:t> (BM25)</w:t>
            </w:r>
          </w:p>
        </w:tc>
        <w:tc>
          <w:tcPr>
            <w:tcW w:w="37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Токены текста + позиции</w:t>
            </w:r>
          </w:p>
        </w:tc>
        <w:tc>
          <w:tcPr>
            <w:tcW w:w="34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Моментально гарантирует совпадение точных слов, цифр, артикулов («AG-USA-P-74391-2024»)</w:t>
            </w:r>
          </w:p>
        </w:tc>
      </w:tr>
      <w:tr>
        <w:trPr/>
        <w:tc>
          <w:tcPr>
            <w:tcW w:w="24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Calibri" w:hAnsi="Calibri"/>
                <w:b w:val="false"/>
                <w:sz w:val="22"/>
                <w:szCs w:val="22"/>
              </w:rPr>
              <w:t>Векторный индекс</w:t>
            </w:r>
            <w:r>
              <w:rPr>
                <w:rFonts w:ascii="Calibri" w:hAnsi="Calibri"/>
                <w:b w:val="false"/>
                <w:sz w:val="22"/>
                <w:szCs w:val="22"/>
              </w:rPr>
              <w:t> (HNSW в Qdrant / Elastic)</w:t>
            </w:r>
          </w:p>
        </w:tc>
        <w:tc>
          <w:tcPr>
            <w:tcW w:w="37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center"/>
              <w:rPr/>
            </w:pPr>
            <w:r>
              <w:rPr>
                <w:rFonts w:ascii="Calibri" w:hAnsi="Calibri"/>
                <w:b w:val="false"/>
                <w:sz w:val="22"/>
                <w:szCs w:val="22"/>
              </w:rPr>
              <w:t>768-мерные эмбеддинги </w:t>
            </w:r>
            <w:r>
              <w:rPr>
                <w:rStyle w:val="Style12"/>
                <w:rFonts w:ascii="Calibri" w:hAnsi="Calibri"/>
                <w:b w:val="false"/>
                <w:color w:val="000000"/>
                <w:sz w:val="22"/>
                <w:szCs w:val="22"/>
                <w:shd w:fill="F5F5F5" w:val="clear"/>
                <w14:textFill>
                  <w14:solidFill>
                    <w14:srgbClr w14:val="000000">
                      <w14:alpha w14:val="75000"/>
                    </w14:srgbClr>
                  </w14:solidFill>
                </w14:textFill>
              </w:rPr>
              <w:t>content_vector</w:t>
            </w:r>
          </w:p>
        </w:tc>
        <w:tc>
          <w:tcPr>
            <w:tcW w:w="34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Ловит смысловые перефразы («форс-мажор», «natural catastrophe»)</w:t>
            </w:r>
          </w:p>
        </w:tc>
      </w:tr>
      <w:tr>
        <w:trPr/>
        <w:tc>
          <w:tcPr>
            <w:tcW w:w="2492" w:type="dxa"/>
            <w:tcBorders/>
            <w:tcMar>
              <w:bottom w:w="0" w:type="dxa"/>
            </w:tcMar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Calibri" w:hAnsi="Calibri"/>
                <w:b w:val="false"/>
                <w:sz w:val="22"/>
                <w:szCs w:val="22"/>
              </w:rPr>
              <w:t>Слой слияния</w:t>
            </w:r>
          </w:p>
        </w:tc>
        <w:tc>
          <w:tcPr>
            <w:tcW w:w="3746" w:type="dxa"/>
            <w:tcBorders/>
            <w:tcMar>
              <w:bottom w:w="0" w:type="dxa"/>
            </w:tcMar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Алгоритм Reciprocal Rank Fusion (RRF) или Linear Combo</w:t>
            </w:r>
          </w:p>
        </w:tc>
        <w:tc>
          <w:tcPr>
            <w:tcW w:w="3400" w:type="dxa"/>
            <w:tcBorders/>
            <w:tcMar>
              <w:bottom w:w="0" w:type="dxa"/>
            </w:tcMar>
            <w:vAlign w:val="center"/>
          </w:tcPr>
          <w:p>
            <w:pPr>
              <w:pStyle w:val="Style15"/>
              <w:bidi w:val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Нормирует два списка результатов и выводит финальный топ-N</w:t>
            </w:r>
          </w:p>
        </w:tc>
      </w:tr>
    </w:tbl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мерить похожесть</w:t>
      </w:r>
    </w:p>
    <w:p>
      <w:pPr>
        <w:pStyle w:val="BodyText"/>
        <w:bidi w:val="0"/>
        <w:spacing w:before="18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Когда текст уже «упакован» в плотный эмбеддинг, самой модели всё равно нужно принять решение,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какие из этих точек считать ближайшими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. По сути, вопрос </w:t>
      </w:r>
      <w:r>
        <w:rPr>
          <w:rStyle w:val="Emphasis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«Похож ли смысл?»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сводится к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геометрической задаче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нам нужно просто измерить расстояние между двумя векторами. От того, какую рулетку мы берём, меняется и итоговый порядок документов в выдаче, и скорость работы индекса.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Чтобы находить похожие объекты (картинки, тексты, пользователей), нужно выбрать, как именно сравнивать векторы. В этом спринте мы глубоко не уходим в каждую меру, но даём карту — чтобы вы знали, куда копать, если потом захотите настроить свою систему поиска или рекомендаций. Если какая-то метрика вас заинтересует — всегда можно изучить её подробнее и попробовать на практике.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05" w:type="dxa"/>
          <w:end w:w="0" w:type="dxa"/>
        </w:tblCellMar>
      </w:tblPr>
      <w:tblGrid>
        <w:gridCol w:w="1657"/>
        <w:gridCol w:w="2223"/>
        <w:gridCol w:w="2500"/>
        <w:gridCol w:w="3258"/>
      </w:tblGrid>
      <w:tr>
        <w:trPr>
          <w:tblHeader w:val="true"/>
        </w:trPr>
        <w:tc>
          <w:tcPr>
            <w:tcW w:w="1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Мера</w:t>
            </w:r>
          </w:p>
        </w:tc>
        <w:tc>
          <w:tcPr>
            <w:tcW w:w="222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Пример</w:t>
            </w:r>
          </w:p>
        </w:tc>
        <w:tc>
          <w:tcPr>
            <w:tcW w:w="25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Что на самом деле сравнивается</w:t>
            </w:r>
          </w:p>
        </w:tc>
        <w:tc>
          <w:tcPr>
            <w:tcW w:w="32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Когда полезна</w:t>
            </w:r>
          </w:p>
        </w:tc>
      </w:tr>
      <w:tr>
        <w:trPr/>
        <w:tc>
          <w:tcPr>
            <w:tcW w:w="1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Евклидова дистанция (L2)</w:t>
            </w:r>
          </w:p>
        </w:tc>
        <w:tc>
          <w:tcPr>
            <w:tcW w:w="222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88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i/>
                <w:caps w:val="false"/>
                <w:smallCaps w:val="false"/>
                <w:sz w:val="22"/>
                <w:szCs w:val="22"/>
              </w:rPr>
              <w:t>k</w:t>
            </w:r>
            <w:r>
              <w:rPr>
                <w:rFonts w:ascii="Calibri" w:hAnsi="Calibri"/>
                <w:b w:val="false"/>
                <w:sz w:val="22"/>
                <w:szCs w:val="22"/>
              </w:rPr>
              <w:t>-NN-поиск похожих картинок по сырым пиксельным признакам; измерение расстояния между центрами кластеров в K-Means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6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175260"/>
                      <wp:effectExtent l="0" t="0" r="0" b="0"/>
                      <wp:wrapNone/>
                      <wp:docPr id="5" name="Врезка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17526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bidi w:val="0"/>
                                    <w:spacing w:before="0" w:after="14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  <w:t>k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k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25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Разность реальных координат</w:t>
            </w:r>
          </w:p>
        </w:tc>
        <w:tc>
          <w:tcPr>
            <w:tcW w:w="32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Кластеризация изображений, когда длина вектора важна (яркость, контраст)</w:t>
            </w:r>
          </w:p>
        </w:tc>
      </w:tr>
      <w:tr>
        <w:trPr/>
        <w:tc>
          <w:tcPr>
            <w:tcW w:w="1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Косинусное сходство</w:t>
            </w:r>
          </w:p>
        </w:tc>
        <w:tc>
          <w:tcPr>
            <w:tcW w:w="222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Поиск семантически близких документов по TF-IDF; подбор «похожих треков» по вектору предпочтений пользователя</w:t>
            </w:r>
          </w:p>
        </w:tc>
        <w:tc>
          <w:tcPr>
            <w:tcW w:w="25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Угол между векторами (масштаб игнорируется)</w:t>
            </w:r>
          </w:p>
        </w:tc>
        <w:tc>
          <w:tcPr>
            <w:tcW w:w="32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Текстовые эмбеддинги, рекомендации, когда «направление мысли» важнее числа слов</w:t>
            </w:r>
          </w:p>
        </w:tc>
      </w:tr>
      <w:tr>
        <w:trPr/>
        <w:tc>
          <w:tcPr>
            <w:tcW w:w="1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Скалярное произведение</w:t>
            </w:r>
          </w:p>
        </w:tc>
        <w:tc>
          <w:tcPr>
            <w:tcW w:w="222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Вычисление attention-оценок: score = qᵀ·k в self-attention; факторизация матриц в рекомендациях (user × item)</w:t>
            </w:r>
          </w:p>
        </w:tc>
        <w:tc>
          <w:tcPr>
            <w:tcW w:w="25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Угол и длина одновременно</w:t>
            </w:r>
          </w:p>
        </w:tc>
        <w:tc>
          <w:tcPr>
            <w:tcW w:w="32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Трансформеры при обучении (softmax over logits)</w:t>
            </w:r>
          </w:p>
        </w:tc>
      </w:tr>
      <w:tr>
        <w:trPr/>
        <w:tc>
          <w:tcPr>
            <w:tcW w:w="1657" w:type="dxa"/>
            <w:tcBorders/>
            <w:tcMar>
              <w:bottom w:w="0" w:type="dxa"/>
            </w:tcMar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Манхэттенское расстояние (L1)</w:t>
            </w:r>
          </w:p>
        </w:tc>
        <w:tc>
          <w:tcPr>
            <w:tcW w:w="2223" w:type="dxa"/>
            <w:tcBorders/>
            <w:tcMar>
              <w:bottom w:w="0" w:type="dxa"/>
            </w:tcMar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L1-регуляризация в Lasso-регрессии; сравнение цветовых гистограмм двух изображений методом city-block</w:t>
            </w:r>
          </w:p>
        </w:tc>
        <w:tc>
          <w:tcPr>
            <w:tcW w:w="2500" w:type="dxa"/>
            <w:tcBorders/>
            <w:tcMar>
              <w:bottom w:w="0" w:type="dxa"/>
            </w:tcMar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Сумма абсолютных разниц по каждой координате. Геометрически это «сколько кварталов пройти по решётке», без диагональных «срезов». Учитывает и направление, и длину вектора, но без квадратичного усиления выбросов, как у L2.</w:t>
            </w:r>
          </w:p>
        </w:tc>
        <w:tc>
          <w:tcPr>
            <w:tcW w:w="3258" w:type="dxa"/>
            <w:tcBorders/>
            <w:tcMar>
              <w:bottom w:w="0" w:type="dxa"/>
            </w:tcMar>
            <w:vAlign w:val="center"/>
          </w:tcPr>
          <w:p>
            <w:pPr>
              <w:pStyle w:val="Style15"/>
              <w:bidi w:val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При очень разрежённых (bag-of-words, one-hot) или бинарных признаках, где косинус быстро «выравнивает» близость. В задачах, где важна количественная разница признаков, а не только угол: city-block в CV, матчинг гистограмм, L1-регуляризация. Когда нужно снизить влияние крупных выбросов по отдельным координатам по сравнению с L2, сохранив линейную зависимость от масштаба.</w:t>
            </w:r>
          </w:p>
        </w:tc>
      </w:tr>
    </w:tbl>
    <w:p>
      <w:pPr>
        <w:pStyle w:val="Style18"/>
        <w:pBdr>
          <w:top w:val="single" w:sz="2" w:space="24" w:color="000000"/>
          <w:bottom w:val="single" w:sz="2" w:space="24" w:color="000000"/>
        </w:pBdr>
        <w:bidi w:val="0"/>
        <w:spacing w:lineRule="atLeast" w:line="420" w:before="0" w:after="0"/>
        <w:ind w:hanging="0" w:start="567" w:end="567"/>
        <w:jc w:val="start"/>
        <w:rPr/>
      </w:pP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Интуиция: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два абзаца про одну и ту же идею могут различаться длиной (10 слов vs 25), но их «направления» в латентном пространстве почти совпадут. Косинус (Cosine similarity) выбирают именно за </w:t>
      </w:r>
      <w:r>
        <w:rPr>
          <w:rStyle w:val="Emphasis"/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масштабную инвариантность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: мы сравниваем не </w:t>
      </w:r>
      <w:r>
        <w:rPr>
          <w:rStyle w:val="Emphasis"/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сколько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они сказали, а </w:t>
      </w:r>
      <w:r>
        <w:rPr>
          <w:rStyle w:val="Emphasis"/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что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они сказали.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Вычислим схожесть на примере косинусного сходства. 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2"/>
          <w:rFonts w:ascii="Calibri" w:hAnsi="Calibri"/>
          <w:i/>
          <w:color w:val="5C6370"/>
          <w:sz w:val="22"/>
          <w:szCs w:val="22"/>
        </w:rPr>
        <w:t># !pip install sentence-transformers scikit-learn  # раскомментируйте при первом запуске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sentence_transformers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SentenceTransformer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sklearn.metrics.pairwise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cosine_similarity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numpy </w:t>
      </w:r>
      <w:r>
        <w:rPr>
          <w:rStyle w:val="Style12"/>
          <w:rFonts w:ascii="Calibri" w:hAnsi="Calibri"/>
          <w:color w:val="C678DD"/>
          <w:sz w:val="22"/>
          <w:szCs w:val="22"/>
        </w:rPr>
        <w:t>as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np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2"/>
          <w:rFonts w:ascii="Calibri" w:hAnsi="Calibri"/>
          <w:i/>
          <w:color w:val="5C6370"/>
          <w:sz w:val="22"/>
          <w:szCs w:val="22"/>
        </w:rPr>
        <w:t># 1. Загружаем модель. Для небольших задач подойдёт компактная all-MiniLM.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model = SentenceTransformer(</w:t>
      </w:r>
      <w:r>
        <w:rPr>
          <w:rStyle w:val="Style12"/>
          <w:rFonts w:ascii="Calibri" w:hAnsi="Calibri"/>
          <w:color w:val="32A846"/>
          <w:sz w:val="22"/>
          <w:szCs w:val="22"/>
        </w:rPr>
        <w:t>"sentence-transformers/all-MiniLM-L6-v2"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2"/>
          <w:rFonts w:ascii="Calibri" w:hAnsi="Calibri"/>
          <w:i/>
          <w:color w:val="5C6370"/>
          <w:sz w:val="22"/>
          <w:szCs w:val="22"/>
        </w:rPr>
        <w:t># 2. Исходные предложения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sentences = [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32A846"/>
          <w:sz w:val="22"/>
          <w:szCs w:val="22"/>
        </w:rPr>
        <w:t>"Кошка сидит на ковре."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32A846"/>
          <w:sz w:val="22"/>
          <w:szCs w:val="22"/>
        </w:rPr>
        <w:t>"На ковролине лежит пёс."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32A846"/>
          <w:sz w:val="22"/>
          <w:szCs w:val="22"/>
        </w:rPr>
        <w:t>"Солнечный день на пляже."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32A846"/>
          <w:sz w:val="22"/>
          <w:szCs w:val="22"/>
        </w:rPr>
        <w:t>"Девочка читает книгу в парке."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32A846"/>
          <w:sz w:val="22"/>
          <w:szCs w:val="22"/>
        </w:rPr>
        <w:t>"Мальчик играет в футбол во дворе."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32A846"/>
          <w:sz w:val="22"/>
          <w:szCs w:val="22"/>
        </w:rPr>
        <w:t>"Пёс бежит по зелёной лужайке."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32A846"/>
          <w:sz w:val="22"/>
          <w:szCs w:val="22"/>
        </w:rPr>
        <w:t>"Яблочный пирог пахнет из кухни."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32A846"/>
          <w:sz w:val="22"/>
          <w:szCs w:val="22"/>
        </w:rPr>
        <w:t>"Фильм начинается поздно вечером."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32A846"/>
          <w:sz w:val="22"/>
          <w:szCs w:val="22"/>
        </w:rPr>
        <w:t>"Поезд прибывает на станцию через пять минут."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32A846"/>
          <w:sz w:val="22"/>
          <w:szCs w:val="22"/>
        </w:rPr>
        <w:t>"Зимой река покрывается льдом."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32A846"/>
          <w:sz w:val="22"/>
          <w:szCs w:val="22"/>
        </w:rPr>
        <w:t>"Кот сидит на полу."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]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2"/>
          <w:rFonts w:ascii="Calibri" w:hAnsi="Calibri"/>
          <w:i/>
          <w:color w:val="5C6370"/>
          <w:sz w:val="22"/>
          <w:szCs w:val="22"/>
        </w:rPr>
        <w:t># 3. Считаем эмбеддинги (по одному вектору на каждый текст)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embeddings = model.encode(sentences, convert_to_numpy=</w:t>
      </w:r>
      <w:r>
        <w:rPr>
          <w:rStyle w:val="Style12"/>
          <w:rFonts w:ascii="Calibri" w:hAnsi="Calibri"/>
          <w:color w:val="C678DD"/>
          <w:sz w:val="22"/>
          <w:szCs w:val="22"/>
        </w:rPr>
        <w:t>True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2"/>
          <w:rFonts w:ascii="Calibri" w:hAnsi="Calibri"/>
          <w:i/>
          <w:color w:val="5C6370"/>
          <w:sz w:val="22"/>
          <w:szCs w:val="22"/>
        </w:rPr>
        <w:t># 4. Косинусное сходство: матрица 3×3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cosine_sim_matrix = cosine_similarity(embeddings)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2"/>
          <w:rFonts w:ascii="Calibri" w:hAnsi="Calibri"/>
          <w:i/>
          <w:color w:val="5C6370"/>
          <w:sz w:val="22"/>
          <w:szCs w:val="22"/>
        </w:rPr>
        <w:t># 5. Для примера выведем сходство первых двух предложений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A8D3D"/>
          <w:sz w:val="22"/>
          <w:szCs w:val="22"/>
        </w:rPr>
        <w:t>print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(</w:t>
      </w:r>
      <w:r>
        <w:rPr>
          <w:rStyle w:val="Style12"/>
          <w:rFonts w:ascii="Calibri" w:hAnsi="Calibri"/>
          <w:color w:val="32A846"/>
          <w:sz w:val="22"/>
          <w:szCs w:val="22"/>
        </w:rPr>
        <w:t xml:space="preserve">f"Cosine similarity between 0 and 1: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{cosine_sim_matrix[</w:t>
      </w:r>
      <w:r>
        <w:rPr>
          <w:rStyle w:val="Style12"/>
          <w:rFonts w:ascii="Calibri" w:hAnsi="Calibri"/>
          <w:color w:val="237B86"/>
          <w:sz w:val="22"/>
          <w:szCs w:val="22"/>
        </w:rPr>
        <w:t>0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</w:t>
      </w:r>
      <w:r>
        <w:rPr>
          <w:rStyle w:val="Style12"/>
          <w:rFonts w:ascii="Calibri" w:hAnsi="Calibri"/>
          <w:color w:val="237B86"/>
          <w:sz w:val="22"/>
          <w:szCs w:val="22"/>
        </w:rPr>
        <w:t>1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]:</w:t>
      </w:r>
      <w:r>
        <w:rPr>
          <w:rStyle w:val="Style12"/>
          <w:rFonts w:ascii="Calibri" w:hAnsi="Calibri"/>
          <w:color w:val="237B86"/>
          <w:sz w:val="22"/>
          <w:szCs w:val="22"/>
        </w:rPr>
        <w:t>.4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f}</w:t>
      </w:r>
      <w:r>
        <w:rPr>
          <w:rStyle w:val="Style12"/>
          <w:rFonts w:ascii="Calibri" w:hAnsi="Calibri"/>
          <w:color w:val="32A846"/>
          <w:sz w:val="22"/>
          <w:szCs w:val="22"/>
        </w:rPr>
        <w:t>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2"/>
          <w:rFonts w:ascii="Calibri" w:hAnsi="Calibri"/>
          <w:i/>
          <w:color w:val="5C6370"/>
          <w:sz w:val="22"/>
          <w:szCs w:val="22"/>
        </w:rPr>
        <w:t># Если нужно узнать наиболее близкое предложение к первому: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closest_idx = np.argsort(-cosine_sim_matrix[</w:t>
      </w:r>
      <w:r>
        <w:rPr>
          <w:rStyle w:val="Style12"/>
          <w:rFonts w:ascii="Calibri" w:hAnsi="Calibri"/>
          <w:color w:val="237B86"/>
          <w:sz w:val="22"/>
          <w:szCs w:val="22"/>
        </w:rPr>
        <w:t>0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])[</w:t>
      </w:r>
      <w:r>
        <w:rPr>
          <w:rStyle w:val="Style12"/>
          <w:rFonts w:ascii="Calibri" w:hAnsi="Calibri"/>
          <w:color w:val="237B86"/>
          <w:sz w:val="22"/>
          <w:szCs w:val="22"/>
        </w:rPr>
        <w:t>1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]  </w:t>
      </w:r>
      <w:r>
        <w:rPr>
          <w:rStyle w:val="Style12"/>
          <w:rFonts w:ascii="Calibri" w:hAnsi="Calibri"/>
          <w:i/>
          <w:color w:val="5C6370"/>
          <w:sz w:val="22"/>
          <w:szCs w:val="22"/>
        </w:rPr>
        <w:t># [0] — само предложение, поэтому берём следующий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A8D3D"/>
          <w:sz w:val="22"/>
          <w:szCs w:val="22"/>
        </w:rPr>
        <w:t>print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(</w:t>
      </w:r>
      <w:r>
        <w:rPr>
          <w:rStyle w:val="Style12"/>
          <w:rFonts w:ascii="Calibri" w:hAnsi="Calibri"/>
          <w:color w:val="32A846"/>
          <w:sz w:val="22"/>
          <w:szCs w:val="22"/>
        </w:rPr>
        <w:t>f"Самое похожее на первое: «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{sentences[closest_idx]}</w:t>
      </w:r>
      <w:r>
        <w:rPr>
          <w:rStyle w:val="Style12"/>
          <w:rFonts w:ascii="Calibri" w:hAnsi="Calibri"/>
          <w:color w:val="32A846"/>
          <w:sz w:val="22"/>
          <w:szCs w:val="22"/>
        </w:rPr>
        <w:t>»"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) </w:t>
      </w:r>
    </w:p>
    <w:p>
      <w:pPr>
        <w:pStyle w:val="BodyText"/>
        <w:bidi w:val="0"/>
        <w:spacing w:before="48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 выводе видно, что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косинус ≈ 0.99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(угол почти нулевой) — фразы про напитки моделям кажутся практически тождественными. Евклидова дистанция, напротив, сохраняет небольшую разницу в «длине» описаний, поэтому выдаёт ненулевое значение.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Пока текст не станет вектором, расстояния измерять нечем. Токенизатор (о нём мы ещё поговорим отдельно буквально в следующем уроке) разбивает поток символов на минимальные единицы — </w:t>
      </w:r>
      <w:r>
        <w:rPr>
          <w:rStyle w:val="Emphasis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токены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 а embedding-слой присваивает каждому из них ID-координаты в пространстве. Их матрицу и «катают» по трансформеру, который сглаживает контекст и выдаёт финальный эмбеддинг: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057900" cy="1266825"/>
            <wp:effectExtent l="0" t="0" r="0" b="0"/>
            <wp:docPr id="6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7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Понимание связки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«токены → векторы → метрика»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снимает магию со всего остального процесса. В следующих уроках мы как раз и углубимся: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выбор размеров эмбеддинга и способы их нормализации;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во внутреннее устройство HNSW, DiskANN и GPU-Flat индексов;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пайплайны, которые склеивают sparse + dense признаки в гибридном поиске;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оркестрацию LLM и стратегию chunk-ранжирования для Retrieval-Augmented Generation.</w:t>
      </w:r>
    </w:p>
    <w:p>
      <w:pPr>
        <w:pStyle w:val="BodyText"/>
        <w:bidi w:val="0"/>
        <w:spacing w:before="300" w:after="283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Так, вооружившись правильной «рулеткой», мы перейдём к выбору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места хранения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самих векторов, подбору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эмбеддеров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под ваш домен и построению полного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RAG-конвейера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 в котором каждая мера сходства, каждый токен и каждый индекс играют заранее понятную роль.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1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 каком случае разрежённое (sparse) представление текста может быть предпочтительнее плотного (dense)? 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Когда нужно обработать большой объём мультимодальных данных (текст+изображения)</w:t>
      </w:r>
      <w: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8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control_shape_0" o:allowincell="t" style="width:9.7pt;height:9.7pt" type="#_x0000_t75"/>
                                <w:control r:id="rId5" w:name="" w:shapeid="control_shape_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" o:allowincell="t" style="width:9.7pt;height:9.7pt" type="#_x0000_t75"/>
                          <w:control r:id="rId6" w:name="" w:shapeid="control_shape_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Когда важна скорость индексации и объяснимость модели при точном совпадении слов</w:t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9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" o:allowincell="t" style="width:9.7pt;height:9.7pt" type="#_x0000_t75"/>
                                <w:control r:id="rId7" w:name="" w:shapeid="control_shape_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" o:allowincell="t" style="width:9.7pt;height:9.7pt" type="#_x0000_t75"/>
                          <w:control r:id="rId8" w:name="" w:shapeid="control_shape_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haracter">
                  <wp:align>left</wp:align>
                </wp:positionH>
                <wp:positionV relativeFrom="line">
                  <wp:align>top</wp:align>
                </wp:positionV>
                <wp:extent cx="14605" cy="3194685"/>
                <wp:effectExtent l="0" t="0" r="0" b="0"/>
                <wp:wrapNone/>
                <wp:docPr id="10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-21.05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Правильно. Sparse-подходы удобны для быстрого точного поиска и дают понятный результат.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Когда нужно автоматически группировать тексты с похожим смыслом, даже если слова не совпадают</w:t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1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4" o:allowincell="t" style="width:9.7pt;height:9.7pt" type="#_x0000_t75"/>
                                <w:control r:id="rId9" w:name="" w:shapeid="control_shape_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5" o:allowincell="t" style="width:9.7pt;height:9.7pt" type="#_x0000_t75"/>
                          <w:control r:id="rId10" w:name="" w:shapeid="control_shape_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75" w:before="120" w:after="283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Когда необходимо сжимать контекст в фиксированный эмбеддинг небольшой длины</w:t>
      </w:r>
      <w:r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2" name="Врезка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6" o:allowincell="t" style="width:9.7pt;height:9.7pt" type="#_x0000_t75"/>
                                <w:control r:id="rId11" w:name="" w:shapeid="control_shape_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7" o:allowincell="t" style="width:9.7pt;height:9.7pt" type="#_x0000_t75"/>
                          <w:control r:id="rId12" w:name="" w:shapeid="control_shape_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2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системе рекомендаций статей пользователь читает тексты про «чёрный чай с бергамотом». Почему модель с плотными эмбеддингами может посоветовать ему «зелёный чай с жасмином»?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Потому что фразы совпадают по точным словам</w:t>
      </w: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3" name="Врезка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8" o:allowincell="t" style="width:9.7pt;height:9.7pt" type="#_x0000_t75"/>
                                <w:control r:id="rId13" w:name="" w:shapeid="control_shape_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9" o:allowincell="t" style="width:9.7pt;height:9.7pt" type="#_x0000_t75"/>
                          <w:control r:id="rId14" w:name="" w:shapeid="control_shape_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Потому что модель обучена хранить токены отдельно</w:t>
      </w:r>
      <w:r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4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0" o:allowincell="t" style="width:9.7pt;height:9.7pt" type="#_x0000_t75"/>
                                <w:control r:id="rId15" w:name="" w:shapeid="control_shape_1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1" o:allowincell="t" style="width:9.7pt;height:9.7pt" type="#_x0000_t75"/>
                          <w:control r:id="rId16" w:name="" w:shapeid="control_shape_1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Потому что эмбеддинги фиксируют общую смысловую категорию «чай» и «ароматные добавки»</w:t>
      </w:r>
      <w: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5" name="Врезка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2" o:allowincell="t" style="width:9.7pt;height:9.7pt" type="#_x0000_t75"/>
                                <w:control r:id="rId17" w:name="" w:shapeid="control_shape_1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3" o:allowincell="t" style="width:9.7pt;height:9.7pt" type="#_x0000_t75"/>
                          <w:control r:id="rId18" w:name="" w:shapeid="control_shape_1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16" name="Врезка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Всё так. Плотное кодирование позволяет находить смысловые группы.</w:t>
      </w:r>
    </w:p>
    <w:p>
      <w:pPr>
        <w:pStyle w:val="BodyText"/>
        <w:bidi w:val="0"/>
        <w:spacing w:lineRule="atLeast" w:line="375" w:before="120" w:after="283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Потому что система использует только обратные индексы</w:t>
      </w:r>
      <w:r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7" name="Врезка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4" o:allowincell="t" style="width:9.7pt;height:9.7pt" type="#_x0000_t75"/>
                                <w:control r:id="rId19" w:name="" w:shapeid="control_shape_1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5" o:allowincell="t" style="width:9.7pt;height:9.7pt" type="#_x0000_t75"/>
                          <w:control r:id="rId20" w:name="" w:shapeid="control_shape_1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3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Какие задачи эффективно решает гибридный поиск? Выберите все правильные ответы.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Поиск уникальных кодов и артикулов</w:t>
      </w:r>
      <w:r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8" name="Врезка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6" o:allowincell="t" style="width:9.7pt;height:9.7pt" type="#_x0000_t75"/>
                                <w:control r:id="rId21" w:name="" w:shapeid="control_shape_1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7" o:allowincell="t" style="width:9.7pt;height:9.7pt" type="#_x0000_t75"/>
                          <w:control r:id="rId22" w:name="" w:shapeid="control_shape_1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19" name="Врезка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Правильно. Точному совпадению помогает sparse-компонент.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Обработка мультимодальных данных</w:t>
      </w:r>
      <w:r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0" name="Врезка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8" o:allowincell="t" style="width:9.7pt;height:9.7pt" type="#_x0000_t75"/>
                                <w:control r:id="rId23" w:name="" w:shapeid="control_shape_1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9" o:allowincell="t" style="width:9.7pt;height:9.7pt" type="#_x0000_t75"/>
                          <w:control r:id="rId24" w:name="" w:shapeid="control_shape_1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Поиск синонимов и перефразированных фраз</w:t>
      </w:r>
      <w:r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1" name="Врезка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0" o:allowincell="t" style="width:9.7pt;height:9.7pt" type="#_x0000_t75"/>
                                <w:control r:id="rId25" w:name="" w:shapeid="control_shape_2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1" o:allowincell="t" style="width:9.7pt;height:9.7pt" type="#_x0000_t75"/>
                          <w:control r:id="rId26" w:name="" w:shapeid="control_shape_2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22" name="Врезка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Да, для этого действительно нужен dense-компонент.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Генерация новых текстов на основе подсказок</w:t>
      </w:r>
      <w:r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3" name="Врезка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2" o:allowincell="t" style="width:9.7pt;height:9.7pt" type="#_x0000_t75"/>
                                <w:control r:id="rId27" w:name="" w:shapeid="control_shape_2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3" o:allowincell="t" style="width:9.7pt;height:9.7pt" type="#_x0000_t75"/>
                          <w:control r:id="rId28" w:name="" w:shapeid="control_shape_2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Одновременная фильтрация по ключевым словам и смыслу</w:t>
      </w:r>
      <w:r>
        <mc:AlternateContent>
          <mc:Choice Requires="wps">
            <w:drawing>
              <wp:anchor behindDoc="0" distT="0" distB="0" distL="0" distR="0" simplePos="0" locked="0" layoutInCell="0" allowOverlap="1" relativeHeight="2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4" name="Врезка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4" o:allowincell="t" style="width:9.7pt;height:9.7pt" type="#_x0000_t75"/>
                                <w:control r:id="rId29" w:name="" w:shapeid="control_shape_2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5" o:allowincell="t" style="width:9.7pt;height:9.7pt" type="#_x0000_t75"/>
                          <w:control r:id="rId30" w:name="" w:shapeid="control_shape_2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597275"/>
                <wp:effectExtent l="0" t="0" r="0" b="0"/>
                <wp:wrapNone/>
                <wp:docPr id="25" name="Врезка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5972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Неправильный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83.2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Неправильный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FF3B30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FF3B30"/>
          <w:sz w:val="22"/>
          <w:szCs w:val="22"/>
        </w:rPr>
        <w:t>Неверно. Гибрид делает это надёжно.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Итоги</w:t>
      </w:r>
    </w:p>
    <w:p>
      <w:pPr>
        <w:pStyle w:val="BodyText"/>
        <w:bidi w:val="0"/>
        <w:spacing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Базовые методы информационного поиска представляют текст как огромный «словарный» вектор. Хотя они позволяют экономить память, но приводят к семантической глухоте. И тем не менее отлично подходят для быстрых прототипов, маленьких датасетов или в случаях, когда нужна простая, объяснимая модель.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Базовые методы устарели для сложных задач, поэтому нейросетевые модели обучаются сжимать богатую контекстную информацию в компактный, плотный эмбеддинг фиксированной длины. Ни один из элементов не отвечает за конкретное слово — каждая координата кодирует распределённую комбинацию тем, грамматики и «ощущения смысла».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Важный эффект плотности — распределённое кодирование смысла. Благодаря ему потеря или шум в нескольких координатах почти не влияет на итоговое расстояние: информация «размазана» по всему пространству, благодаря чему модели устойчивы к опечаткам и редким формам слова.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При разрежённом (sparse) в игру вступает классическая формула BM25. Она оценивает документы, опираясь на частоту и редкость слов, при этом компенсируя длину текста. BM25 до сих пор используется для точного текстового поиска. Однако она опирается исключительно на совпадение слов, поэтому в современных системах её часто объединяют с эмбеддингами (dense) в гибридном поиске, чтобы уловить смысловые перефразы.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«Чистая» плотная семантика закрывает далеко не всё. Из-за этого в ситуациях, когда точное совпадение слова критично, какие-то результаты могут «раствориться» в эмбеддинге. Именно поэтому в продакшене к dense-поиску почти всегда подмешивают проверенное sparse-ранжирование. Так получается гибрид, который одновременно чутко ловит смысл и не пропускает буквальные маркеры.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Когда текст уже «упакован» в плотный эмбеддинг, самой модели нужно принять решение, какие из этих точек считать ближайшими. По сути, вопрос «Похож ли смысл?» сводится к геометрической задаче — необходимости просто измерить расстояние между двумя векторами.</w:t>
      </w:r>
    </w:p>
    <w:p>
      <w:pPr>
        <w:pStyle w:val="BodyText"/>
        <w:bidi w:val="0"/>
        <w:spacing w:before="30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На этом мы заканчиваем разбираться в вопросе, как машины понимают смысл. А дальше мы поговорим о токенах, чанках и метаданных. 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SimSun" w:cs="Arial Unicode MS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 Unicode MS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8">
    <w:name w:val="Блочная цитата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control" Target="activeX/activeX1.xml"/><Relationship Id="rId6" Type="http://schemas.openxmlformats.org/officeDocument/2006/relationships/control" Target="activeX/activeX2.xml"/><Relationship Id="rId7" Type="http://schemas.openxmlformats.org/officeDocument/2006/relationships/control" Target="activeX/activeX3.xml"/><Relationship Id="rId8" Type="http://schemas.openxmlformats.org/officeDocument/2006/relationships/control" Target="activeX/activeX4.xml"/><Relationship Id="rId9" Type="http://schemas.openxmlformats.org/officeDocument/2006/relationships/control" Target="activeX/activeX5.xml"/><Relationship Id="rId10" Type="http://schemas.openxmlformats.org/officeDocument/2006/relationships/control" Target="activeX/activeX6.xml"/><Relationship Id="rId11" Type="http://schemas.openxmlformats.org/officeDocument/2006/relationships/control" Target="activeX/activeX7.xml"/><Relationship Id="rId12" Type="http://schemas.openxmlformats.org/officeDocument/2006/relationships/control" Target="activeX/activeX8.xml"/><Relationship Id="rId13" Type="http://schemas.openxmlformats.org/officeDocument/2006/relationships/control" Target="activeX/activeX9.xml"/><Relationship Id="rId14" Type="http://schemas.openxmlformats.org/officeDocument/2006/relationships/control" Target="activeX/activeX10.xml"/><Relationship Id="rId15" Type="http://schemas.openxmlformats.org/officeDocument/2006/relationships/control" Target="activeX/activeX11.xml"/><Relationship Id="rId16" Type="http://schemas.openxmlformats.org/officeDocument/2006/relationships/control" Target="activeX/activeX12.xml"/><Relationship Id="rId17" Type="http://schemas.openxmlformats.org/officeDocument/2006/relationships/control" Target="activeX/activeX13.xml"/><Relationship Id="rId18" Type="http://schemas.openxmlformats.org/officeDocument/2006/relationships/control" Target="activeX/activeX14.xml"/><Relationship Id="rId19" Type="http://schemas.openxmlformats.org/officeDocument/2006/relationships/control" Target="activeX/activeX15.xml"/><Relationship Id="rId20" Type="http://schemas.openxmlformats.org/officeDocument/2006/relationships/control" Target="activeX/activeX16.xml"/><Relationship Id="rId21" Type="http://schemas.openxmlformats.org/officeDocument/2006/relationships/control" Target="activeX/activeX17.xml"/><Relationship Id="rId22" Type="http://schemas.openxmlformats.org/officeDocument/2006/relationships/control" Target="activeX/activeX18.xml"/><Relationship Id="rId23" Type="http://schemas.openxmlformats.org/officeDocument/2006/relationships/control" Target="activeX/activeX19.xml"/><Relationship Id="rId24" Type="http://schemas.openxmlformats.org/officeDocument/2006/relationships/control" Target="activeX/activeX20.xml"/><Relationship Id="rId25" Type="http://schemas.openxmlformats.org/officeDocument/2006/relationships/control" Target="activeX/activeX21.xml"/><Relationship Id="rId26" Type="http://schemas.openxmlformats.org/officeDocument/2006/relationships/control" Target="activeX/activeX22.xml"/><Relationship Id="rId27" Type="http://schemas.openxmlformats.org/officeDocument/2006/relationships/control" Target="activeX/activeX23.xml"/><Relationship Id="rId28" Type="http://schemas.openxmlformats.org/officeDocument/2006/relationships/control" Target="activeX/activeX24.xml"/><Relationship Id="rId29" Type="http://schemas.openxmlformats.org/officeDocument/2006/relationships/control" Target="activeX/activeX25.xml"/><Relationship Id="rId30" Type="http://schemas.openxmlformats.org/officeDocument/2006/relationships/control" Target="activeX/activeX26.xml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_rels/activeX12.xml.rels><?xml version="1.0" encoding="UTF-8"?>
<Relationships xmlns="http://schemas.openxmlformats.org/package/2006/relationships"><Relationship Id="rId1" Type="http://schemas.microsoft.com/office/2006/relationships/activeXControlBinary" Target="activeX12.bin"/>
</Relationships>
</file>

<file path=word/activeX/_rels/activeX13.xml.rels><?xml version="1.0" encoding="UTF-8"?>
<Relationships xmlns="http://schemas.openxmlformats.org/package/2006/relationships"><Relationship Id="rId1" Type="http://schemas.microsoft.com/office/2006/relationships/activeXControlBinary" Target="activeX13.bin"/>
</Relationships>
</file>

<file path=word/activeX/_rels/activeX14.xml.rels><?xml version="1.0" encoding="UTF-8"?>
<Relationships xmlns="http://schemas.openxmlformats.org/package/2006/relationships"><Relationship Id="rId1" Type="http://schemas.microsoft.com/office/2006/relationships/activeXControlBinary" Target="activeX14.bin"/>
</Relationships>
</file>

<file path=word/activeX/_rels/activeX15.xml.rels><?xml version="1.0" encoding="UTF-8"?>
<Relationships xmlns="http://schemas.openxmlformats.org/package/2006/relationships"><Relationship Id="rId1" Type="http://schemas.microsoft.com/office/2006/relationships/activeXControlBinary" Target="activeX15.bin"/>
</Relationships>
</file>

<file path=word/activeX/_rels/activeX16.xml.rels><?xml version="1.0" encoding="UTF-8"?>
<Relationships xmlns="http://schemas.openxmlformats.org/package/2006/relationships"><Relationship Id="rId1" Type="http://schemas.microsoft.com/office/2006/relationships/activeXControlBinary" Target="activeX16.bin"/>
</Relationships>
</file>

<file path=word/activeX/_rels/activeX17.xml.rels><?xml version="1.0" encoding="UTF-8"?>
<Relationships xmlns="http://schemas.openxmlformats.org/package/2006/relationships"><Relationship Id="rId1" Type="http://schemas.microsoft.com/office/2006/relationships/activeXControlBinary" Target="activeX17.bin"/>
</Relationships>
</file>

<file path=word/activeX/_rels/activeX18.xml.rels><?xml version="1.0" encoding="UTF-8"?>
<Relationships xmlns="http://schemas.openxmlformats.org/package/2006/relationships"><Relationship Id="rId1" Type="http://schemas.microsoft.com/office/2006/relationships/activeXControlBinary" Target="activeX18.bin"/>
</Relationships>
</file>

<file path=word/activeX/_rels/activeX19.xml.rels><?xml version="1.0" encoding="UTF-8"?>
<Relationships xmlns="http://schemas.openxmlformats.org/package/2006/relationships"><Relationship Id="rId1" Type="http://schemas.microsoft.com/office/2006/relationships/activeXControlBinary" Target="activeX19.bin"/>
</Relationships>
</file>

<file path=word/activeX/_rels/activeX20.xml.rels><?xml version="1.0" encoding="UTF-8"?>
<Relationships xmlns="http://schemas.openxmlformats.org/package/2006/relationships"><Relationship Id="rId1" Type="http://schemas.microsoft.com/office/2006/relationships/activeXControlBinary" Target="activeX20.bin"/>
</Relationships>
</file>

<file path=word/activeX/_rels/activeX21.xml.rels><?xml version="1.0" encoding="UTF-8"?>
<Relationships xmlns="http://schemas.openxmlformats.org/package/2006/relationships"><Relationship Id="rId1" Type="http://schemas.microsoft.com/office/2006/relationships/activeXControlBinary" Target="activeX21.bin"/>
</Relationships>
</file>

<file path=word/activeX/_rels/activeX22.xml.rels><?xml version="1.0" encoding="UTF-8"?>
<Relationships xmlns="http://schemas.openxmlformats.org/package/2006/relationships"><Relationship Id="rId1" Type="http://schemas.microsoft.com/office/2006/relationships/activeXControlBinary" Target="activeX22.bin"/>
</Relationships>
</file>

<file path=word/activeX/_rels/activeX23.xml.rels><?xml version="1.0" encoding="UTF-8"?>
<Relationships xmlns="http://schemas.openxmlformats.org/package/2006/relationships"><Relationship Id="rId1" Type="http://schemas.microsoft.com/office/2006/relationships/activeXControlBinary" Target="activeX23.bin"/>
</Relationships>
</file>

<file path=word/activeX/_rels/activeX24.xml.rels><?xml version="1.0" encoding="UTF-8"?>
<Relationships xmlns="http://schemas.openxmlformats.org/package/2006/relationships"><Relationship Id="rId1" Type="http://schemas.microsoft.com/office/2006/relationships/activeXControlBinary" Target="activeX24.bin"/>
</Relationships>
</file>

<file path=word/activeX/_rels/activeX25.xml.rels><?xml version="1.0" encoding="UTF-8"?>
<Relationships xmlns="http://schemas.openxmlformats.org/package/2006/relationships"><Relationship Id="rId1" Type="http://schemas.microsoft.com/office/2006/relationships/activeXControlBinary" Target="activeX25.bin"/>
</Relationships>
</file>

<file path=word/activeX/_rels/activeX26.xml.rels><?xml version="1.0" encoding="UTF-8"?>
<Relationships xmlns="http://schemas.openxmlformats.org/package/2006/relationships"><Relationship Id="rId1" Type="http://schemas.microsoft.com/office/2006/relationships/activeXControlBinary" Target="activeX26.bin"/>
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12</Pages>
  <Words>2683</Words>
  <Characters>17452</Characters>
  <CharactersWithSpaces>20052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2026-03-24T22:15:22Z</dcterms:created>
  <dc:creator/>
  <dc:description/>
  <dc:language>ru-RU</dc:language>
  <cp:lastModifiedBy/>
  <dcterms:modified xsi:type="dcterms:W3CDTF">2026-03-24T22:17:53Z</dcterms:modified>
  <cp:revision>2</cp:revision>
  <dc:subject/>
  <dc:title/>
</cp:coreProperties>
</file>