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_rels/activeX1.xml.rels" ContentType="application/vnd.openxmlformats-package.relationships+xml"/>
  <Override PartName="/word/activeX/_rels/activeX26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20.xml.rels" ContentType="application/vnd.openxmlformats-package.relationships+xml"/>
  <Override PartName="/word/activeX/_rels/activeX21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22.xml.rels" ContentType="application/vnd.openxmlformats-package.relationships+xml"/>
  <Override PartName="/word/activeX/_rels/activeX6.xml.rels" ContentType="application/vnd.openxmlformats-package.relationships+xml"/>
  <Override PartName="/word/activeX/_rels/activeX23.xml.rels" ContentType="application/vnd.openxmlformats-package.relationships+xml"/>
  <Override PartName="/word/activeX/_rels/activeX7.xml.rels" ContentType="application/vnd.openxmlformats-package.relationships+xml"/>
  <Override PartName="/word/activeX/_rels/activeX24.xml.rels" ContentType="application/vnd.openxmlformats-package.relationships+xml"/>
  <Override PartName="/word/activeX/_rels/activeX8.xml.rels" ContentType="application/vnd.openxmlformats-package.relationships+xml"/>
  <Override PartName="/word/activeX/_rels/activeX25.xml.rels" ContentType="application/vnd.openxmlformats-package.relationships+xml"/>
  <Override PartName="/word/activeX/_rels/activeX18.xml.rels" ContentType="application/vnd.openxmlformats-package.relationships+xml"/>
  <Override PartName="/word/activeX/_rels/activeX10.xml.rels" ContentType="application/vnd.openxmlformats-package.relationships+xml"/>
  <Override PartName="/word/activeX/_rels/activeX19.xml.rels" ContentType="application/vnd.openxmlformats-package.relationships+xml"/>
  <Override PartName="/word/activeX/_rels/activeX11.xml.rels" ContentType="application/vnd.openxmlformats-package.relationships+xml"/>
  <Override PartName="/word/activeX/_rels/activeX30.xml.rels" ContentType="application/vnd.openxmlformats-package.relationships+xml"/>
  <Override PartName="/word/activeX/_rels/activeX12.xml.rels" ContentType="application/vnd.openxmlformats-package.relationships+xml"/>
  <Override PartName="/word/activeX/_rels/activeX31.xml.rels" ContentType="application/vnd.openxmlformats-package.relationships+xml"/>
  <Override PartName="/word/activeX/_rels/activeX13.xml.rels" ContentType="application/vnd.openxmlformats-package.relationships+xml"/>
  <Override PartName="/word/activeX/_rels/activeX32.xml.rels" ContentType="application/vnd.openxmlformats-package.relationships+xml"/>
  <Override PartName="/word/activeX/_rels/activeX14.xml.rels" ContentType="application/vnd.openxmlformats-package.relationships+xml"/>
  <Override PartName="/word/activeX/_rels/activeX15.xml.rels" ContentType="application/vnd.openxmlformats-package.relationships+xml"/>
  <Override PartName="/word/activeX/_rels/activeX16.xml.rels" ContentType="application/vnd.openxmlformats-package.relationships+xml"/>
  <Override PartName="/word/activeX/_rels/activeX17.xml.rels" ContentType="application/vnd.openxmlformats-package.relationships+xml"/>
  <Override PartName="/word/activeX/_rels/activeX28.xml.rels" ContentType="application/vnd.openxmlformats-package.relationships+xml"/>
  <Override PartName="/word/activeX/_rels/activeX29.xml.rels" ContentType="application/vnd.openxmlformats-package.relationships+xml"/>
  <Override PartName="/word/activeX/_rels/activeX27.xml.rels" ContentType="application/vnd.openxmlformats-package.relationships+xml"/>
  <Override PartName="/word/activeX/activeX20.xml" ContentType="application/vnd.ms-office.activeX+xml"/>
  <Override PartName="/word/activeX/activeX7.xml" ContentType="application/vnd.ms-office.activeX+xml"/>
  <Override PartName="/word/activeX/activeX8.bin" ContentType="application/vnd.ms-office.activeX"/>
  <Override PartName="/word/activeX/activeX21.xml" ContentType="application/vnd.ms-office.activeX+xml"/>
  <Override PartName="/word/activeX/activeX8.xml" ContentType="application/vnd.ms-office.activeX+xml"/>
  <Override PartName="/word/activeX/activeX9.bin" ContentType="application/vnd.ms-office.activeX"/>
  <Override PartName="/word/activeX/activeX22.xml" ContentType="application/vnd.ms-office.activeX+xml"/>
  <Override PartName="/word/activeX/activeX10.bin" ContentType="application/vnd.ms-office.activeX"/>
  <Override PartName="/word/activeX/activeX18.xml" ContentType="application/vnd.ms-office.activeX+xml"/>
  <Override PartName="/word/activeX/activeX10.xml" ContentType="application/vnd.ms-office.activeX+xml"/>
  <Override PartName="/word/activeX/activeX11.bin" ContentType="application/vnd.ms-office.activeX"/>
  <Override PartName="/word/activeX/activeX19.xml" ContentType="application/vnd.ms-office.activeX+xml"/>
  <Override PartName="/word/activeX/activeX11.xml" ContentType="application/vnd.ms-office.activeX+xml"/>
  <Override PartName="/word/activeX/activeX30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31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32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9.bin" ContentType="application/vnd.ms-office.activeX"/>
  <Override PartName="/word/activeX/activeX20.bin" ContentType="application/vnd.ms-office.activeX"/>
  <Override PartName="/word/activeX/activeX28.xml" ContentType="application/vnd.ms-office.activeX+xml"/>
  <Override PartName="/word/activeX/activeX21.bin" ContentType="application/vnd.ms-office.activeX"/>
  <Override PartName="/word/activeX/activeX29.xml" ContentType="application/vnd.ms-office.activeX+xml"/>
  <Override PartName="/word/activeX/activeX22.bin" ContentType="application/vnd.ms-office.activeX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9.bin" ContentType="application/vnd.ms-office.activeX"/>
  <Override PartName="/word/activeX/activeX30.bin" ContentType="application/vnd.ms-office.activeX"/>
  <Override PartName="/word/activeX/activeX31.bin" ContentType="application/vnd.ms-office.activeX"/>
  <Override PartName="/word/activeX/activeX32.bin" ContentType="application/vnd.ms-office.activeX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Генерация эмбеддингов и работа с векторными базами</w:t>
      </w:r>
    </w:p>
    <w:p>
      <w:pPr>
        <w:pStyle w:val="BodyText"/>
        <w:bidi w:val="0"/>
        <w:spacing w:lineRule="atLeast" w:line="660" w:before="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~30 минут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Представьте, что вы собрались построить библиотеку, где на месте привычных полок с книгами — полки с мыслями. Каждая из них должна лежать правильно, чтобы потом легко найти её и передать читателю. Retrieval</w:t>
        <w:noBreakHyphen/>
        <w:t xml:space="preserve">Augmented Generation (RAG) — это именно такая библиотека: система, которая сначала ищет фрагменты знаний, а потом просит модель объяснить их обычным языком. </w:t>
      </w:r>
    </w:p>
    <w:p>
      <w:pPr>
        <w:pStyle w:val="BodyText"/>
        <w:bidi w:val="0"/>
        <w:spacing w:lineRule="atLeast" w:line="660"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Путь к качественному RAG начинается с четырёх взаимосвязанных тем: токенов, векторов, чанков и метаданных. Давайте войдём в эту библиотеку и посмотрим, как в ней всё устроено.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Токены — атомы смысла</w:t>
      </w:r>
    </w:p>
    <w:p>
      <w:pPr>
        <w:pStyle w:val="BodyText"/>
        <w:bidi w:val="0"/>
        <w:spacing w:lineRule="atLeast" w:line="660"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Большие языковые модели (LLM) видят текст по-другому, чем человек. Для них простая фраза «Привет, мир!» превращается в цепочку чисел, каждое из которых — токен.</w:t>
      </w:r>
    </w:p>
    <w:p>
      <w:pPr>
        <w:pStyle w:val="BodyText"/>
        <w:bidi w:val="0"/>
        <w:spacing w:lineRule="atLeast" w:line="6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Токен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минимальная единица смысла из словаря модели. Именно токены определяют, сколько модель «прочитает» за раз, сколько это будет стоить и какие есть ограничения.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мы говорим «минимальная», это не совсем «слово» и не совсем «буква». Английское “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house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“ будет одним токеном, а русское «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домашний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» распадётся на несколько. 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tiktoken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enc = tiktoken.get_encoding(</w:t>
      </w:r>
      <w:r>
        <w:rPr>
          <w:rStyle w:val="Style12"/>
          <w:rFonts w:ascii="Calibri" w:hAnsi="Calibri"/>
          <w:color w:val="32A846"/>
          <w:sz w:val="22"/>
          <w:szCs w:val="22"/>
        </w:rPr>
        <w:t>"cl100k_base"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(enc.encode(</w:t>
      </w:r>
      <w:r>
        <w:rPr>
          <w:rStyle w:val="Style12"/>
          <w:rFonts w:ascii="Calibri" w:hAnsi="Calibri"/>
          <w:color w:val="32A846"/>
          <w:sz w:val="22"/>
          <w:szCs w:val="22"/>
        </w:rPr>
        <w:t>"Привет, мир!"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))    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👉 [54745, 28089, 8341, 11, 11562, 78746, 0]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(enc.encode(</w:t>
      </w:r>
      <w:r>
        <w:rPr>
          <w:rStyle w:val="Style12"/>
          <w:rFonts w:ascii="Calibri" w:hAnsi="Calibri"/>
          <w:color w:val="32A846"/>
          <w:sz w:val="22"/>
          <w:szCs w:val="22"/>
        </w:rPr>
        <w:t>"Hello, world!"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))   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👉 [9906, 11, 1917, 0]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lineRule="atLeast" w:line="660"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Получается, что во фразе «Привет, мир!» будет семь токенов, а для “Hello, World!” — четыре.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другой экосистеме Hugging Face Tokenizers результат будет отличаться, потому что она использует другой словарь и другие правила сегментации.</w:t>
      </w:r>
    </w:p>
    <w:p>
      <w:pPr>
        <w:pStyle w:val="BodyText"/>
        <w:bidi w:val="0"/>
        <w:spacing w:lineRule="atLeast" w:line="6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Очень важно запомнить: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число токенов не равно числу слов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!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русском один и тот же текст часто оказывается на 20–30% длиннее в токенах, чем на английском. Это напрямую влияет на стоимость запросов к API.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Hugging Face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компания и открытая онлайн-платформа, где разработчики запускают ИИ-модели, датасеты и приложения и делятся ими. Сейчас там размещено свыше миллиона моделей и сотни тысяч датасетов, что делает сервис одним из главных центров для работы с open-source AI.</w:t>
      </w:r>
    </w:p>
    <w:p>
      <w:pPr>
        <w:pStyle w:val="BodyText"/>
        <w:bidi w:val="0"/>
        <w:spacing w:lineRule="atLeast" w:line="6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Токенизатор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инструмент, который разбивает текст на небольшие элементы-токены и переводит их в числовые коды, чтобы нейросеть могла быстро «понимать» и обрабатывать текст.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Существуют несколько разных токенизаторов. И очень важно научиться выбирать нужный.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hyperlink r:id="rId2" w:tgtFrame="_blank">
        <w:r>
          <w:rPr>
            <w:rStyle w:val="Hyperlink"/>
            <w:rFonts w:ascii="Calibri" w:hAnsi="Calibri"/>
            <w:b/>
            <w:b/>
            <w:bCs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Byte</w:t>
          <w:noBreakHyphen/>
          <w:t>Pair Encoding (BPE)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основа GPT</w:t>
        <w:noBreakHyphen/>
        <w:t>семейства.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hyperlink r:id="rId3" w:tgtFrame="_blank">
        <w:r>
          <w:rPr>
            <w:rStyle w:val="Hyperlink"/>
            <w:rFonts w:ascii="Calibri" w:hAnsi="Calibri"/>
            <w:b/>
            <w:b/>
            <w:bCs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SentencePiece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(Google) — универсальный токенизатор, который поддерживает unigram‐модели и BPE.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hyperlink r:id="rId4" w:tgtFrame="_blank">
        <w:r>
          <w:rPr>
            <w:rStyle w:val="Hyperlink"/>
            <w:rFonts w:ascii="Calibri" w:hAnsi="Calibri"/>
            <w:b/>
            <w:b/>
            <w:bCs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WordPiece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(BERT) — исторически популярный токенизатор, но реже встречается в новых LLM.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hyperlink r:id="rId5" w:tgtFrame="_blank">
        <w:r>
          <w:rPr>
            <w:rStyle w:val="Hyperlink"/>
            <w:rFonts w:ascii="Calibri" w:hAnsi="Calibri"/>
            <w:b/>
            <w:b/>
            <w:bCs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T</w:t>
        </w:r>
      </w:hyperlink>
      <w:hyperlink r:id="rId6" w:tgtFrame="_blank">
        <w:r>
          <w:rPr>
            <w:rStyle w:val="Hyperlink"/>
            <w:rFonts w:ascii="Calibri" w:hAnsi="Calibri"/>
            <w:b/>
            <w:b/>
            <w:bCs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iktoken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(OpenAI) — оптимизирован под GPT</w:t>
        <w:noBreakHyphen/>
        <w:t>модели и быстро работает на C.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hyperlink r:id="rId7" w:tgtFrame="_blank">
        <w:r>
          <w:rPr>
            <w:rStyle w:val="Hyperlink"/>
            <w:rFonts w:ascii="Calibri" w:hAnsi="Calibri"/>
            <w:b/>
            <w:b/>
            <w:bCs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Huggingface/tokenizers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гибкий токенизатор, с помощью которого легко тренировать свой.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выбрать токенизатор</w:t>
      </w:r>
    </w:p>
    <w:p>
      <w:pPr>
        <w:pStyle w:val="BodyText"/>
        <w:bidi w:val="0"/>
        <w:spacing w:lineRule="atLeast" w:line="660"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Выбор зависит от двух параметров: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 какой LLM вы общаетесь;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быстро вам нужен ответ.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ваш сервис крутится вокруг GPT</w:t>
        <w:noBreakHyphen/>
        <w:t xml:space="preserve">4o — стоит остановиться на </w:t>
      </w:r>
      <w:hyperlink r:id="rId8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tiktoken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чтобы считать лимиты точно. Если работаете с кастомной моделью в HF Hub, то, вероятно, у неё уже есть «родной» токенизатор в репозитории.</w:t>
      </w:r>
    </w:p>
    <w:p>
      <w:pPr>
        <w:pStyle w:val="BodyText"/>
        <w:bidi w:val="0"/>
        <w:spacing w:lineRule="atLeast" w:line="660" w:before="3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Понимание токенов понадобится нам для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chunking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речь о котором пойдёт дальше. 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Chunking, или искусство разбиения</w:t>
      </w:r>
    </w:p>
    <w:p>
      <w:pPr>
        <w:pStyle w:val="BodyText"/>
        <w:bidi w:val="0"/>
        <w:spacing w:lineRule="atLeast" w:line="660" w:before="1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У LLM и эмбеддеров (векторов) есть ограничение на длину. Если в них полностью загрузить, например, ту же «Войну и мир», то они либо «захлебнутся», либо цена окажется настолько высокой, что буквально разорит вас. Поэтому, чтобы не перегружать модель и удешевить процесс обработки текстов, документы разбивают на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чанки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</w:t>
      </w:r>
    </w:p>
    <w:p>
      <w:pPr>
        <w:pStyle w:val="BodyText"/>
        <w:bidi w:val="0"/>
        <w:spacing w:lineRule="atLeast" w:line="6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Чанк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небольшая часть исходного текста, который вырезается и хранится отдельно для удобства работы с ним. Обычно это будет пара абзацев длиной в 100–400 слов. Ещё чанк может измеряться фиксированным числом токенов.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Каждый чанк должен: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Помещаться в лимит токенов.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Содержать законченную мысль.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Немного перекрывать соседей (overlap), чтобы не потерять связку.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Стратегии разбиения</w:t>
      </w:r>
    </w:p>
    <w:tbl>
      <w:tblPr>
        <w:tblW w:w="9501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1931"/>
        <w:gridCol w:w="3285"/>
        <w:gridCol w:w="4285"/>
      </w:tblGrid>
      <w:tr>
        <w:trPr>
          <w:tblHeader w:val="true"/>
        </w:trPr>
        <w:tc>
          <w:tcPr>
            <w:tcW w:w="1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Подход</w:t>
            </w:r>
          </w:p>
        </w:tc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Как работает</w:t>
            </w:r>
          </w:p>
        </w:tc>
        <w:tc>
          <w:tcPr>
            <w:tcW w:w="4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Когда использовать</w:t>
            </w:r>
          </w:p>
        </w:tc>
      </w:tr>
      <w:tr>
        <w:trPr/>
        <w:tc>
          <w:tcPr>
            <w:tcW w:w="1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Фикс по символам</w:t>
            </w:r>
          </w:p>
        </w:tc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Берём N символов подряд</w:t>
            </w:r>
          </w:p>
        </w:tc>
        <w:tc>
          <w:tcPr>
            <w:tcW w:w="4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Скорость важнее качества, черновой этап</w:t>
            </w:r>
          </w:p>
        </w:tc>
      </w:tr>
      <w:tr>
        <w:trPr/>
        <w:tc>
          <w:tcPr>
            <w:tcW w:w="1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Фикс по токенам</w:t>
            </w:r>
          </w:p>
        </w:tc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Считаем токены tiktoken</w:t>
            </w:r>
          </w:p>
        </w:tc>
        <w:tc>
          <w:tcPr>
            <w:tcW w:w="4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Большинство RAG</w:t>
              <w:noBreakHyphen/>
              <w:t>сценариев</w:t>
            </w:r>
          </w:p>
        </w:tc>
      </w:tr>
      <w:tr>
        <w:trPr/>
        <w:tc>
          <w:tcPr>
            <w:tcW w:w="1931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 структуре</w:t>
            </w:r>
          </w:p>
        </w:tc>
        <w:tc>
          <w:tcPr>
            <w:tcW w:w="3285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Смотрим на заголовки и абзацы</w:t>
            </w:r>
          </w:p>
        </w:tc>
        <w:tc>
          <w:tcPr>
            <w:tcW w:w="4285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HTML, Markdown, код, где границы явны</w:t>
            </w:r>
          </w:p>
        </w:tc>
      </w:tr>
    </w:tbl>
    <w:p>
      <w:pPr>
        <w:pStyle w:val="BodyText"/>
        <w:bidi w:val="0"/>
        <w:spacing w:lineRule="atLeast" w:line="660" w:before="6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Почему «по токенам лучше»? Потому что именно токен отвечает за квоту у модели. Тысяча символов в UTF</w:t>
        <w:noBreakHyphen/>
        <w:t>8 могут превратиться и в 600, и в 1 500 токенов. Угадайте, какой счёт вам выставит та же OpenAI?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Overlap глазами куска текста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[Чанк 1]  «…Максим поднял голову и увидел, что —»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👇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overlap 20 токенов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[Чанк 2]  «— что утро уже вступило в силу, туман начал…» </w:t>
      </w:r>
    </w:p>
    <w:p>
      <w:pPr>
        <w:pStyle w:val="BodyText"/>
        <w:bidi w:val="0"/>
        <w:spacing w:lineRule="atLeast" w:line="660"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модель найдёт ответ во втором чанке, ей останется вернуться немного назад, чтобы вспомнить, с чего началась сцена. Практика показывает, что перекрытия на 10–20% дают лучший recall в длинных документах.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C678DD"/>
          <w:sz w:val="22"/>
          <w:szCs w:val="22"/>
        </w:rPr>
        <w:t>def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chunk_by_tokens(text: str, max_tokens: int = </w:t>
      </w:r>
      <w:r>
        <w:rPr>
          <w:rStyle w:val="Style12"/>
          <w:rFonts w:ascii="Calibri" w:hAnsi="Calibri"/>
          <w:color w:val="237B86"/>
          <w:sz w:val="22"/>
          <w:szCs w:val="22"/>
        </w:rPr>
        <w:t>128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overlap: int = </w:t>
      </w:r>
      <w:r>
        <w:rPr>
          <w:rStyle w:val="Style12"/>
          <w:rFonts w:ascii="Calibri" w:hAnsi="Calibri"/>
          <w:color w:val="237B86"/>
          <w:sz w:val="22"/>
          <w:szCs w:val="22"/>
        </w:rPr>
        <w:t>32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enc=None):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enc = enc </w:t>
      </w:r>
      <w:r>
        <w:rPr>
          <w:rStyle w:val="Style12"/>
          <w:rFonts w:ascii="Calibri" w:hAnsi="Calibri"/>
          <w:color w:val="C678DD"/>
          <w:sz w:val="22"/>
          <w:szCs w:val="22"/>
        </w:rPr>
        <w:t>or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tiktoken.get_encoding(</w:t>
      </w:r>
      <w:r>
        <w:rPr>
          <w:rStyle w:val="Style12"/>
          <w:rFonts w:ascii="Calibri" w:hAnsi="Calibri"/>
          <w:color w:val="32A846"/>
          <w:sz w:val="22"/>
          <w:szCs w:val="22"/>
        </w:rPr>
        <w:t>"cl100k_base"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tokens = enc.encode(text)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start = </w:t>
      </w:r>
      <w:r>
        <w:rPr>
          <w:rStyle w:val="Style12"/>
          <w:rFonts w:ascii="Calibri" w:hAnsi="Calibri"/>
          <w:color w:val="237B86"/>
          <w:sz w:val="22"/>
          <w:szCs w:val="22"/>
        </w:rPr>
        <w:t>0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C678DD"/>
          <w:sz w:val="22"/>
          <w:szCs w:val="22"/>
        </w:rPr>
        <w:t>while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start &lt; len(tokens):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end = start + max_tokens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chunk = enc.decode(tokens[start:end])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C678DD"/>
          <w:sz w:val="22"/>
          <w:szCs w:val="22"/>
        </w:rPr>
        <w:t>yield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chunk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start = end - overlap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шаг назад для overlap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lineRule="atLeast" w:line="660" w:before="48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Следующий шаг — «сфотографировать» смысловую форму каждого чанка. Для этого используют эмбеддинги — векторы в многомерном пространстве. Как вы помните из прошлых уроков, чем ближе два вектора, тем похожее их содержание, поэтому схожие объекты оказываются рядом, а далёкие — на расстоянии, словно города на карте. 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Знакомьтесь — SentenceTransformer</w:t>
      </w:r>
    </w:p>
    <w:p>
      <w:pPr>
        <w:pStyle w:val="BodyText"/>
        <w:bidi w:val="0"/>
        <w:spacing w:lineRule="atLeast" w:line="660"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Теперь, когда вы знаете, что токены — это своего рода «атомы» текста, а чанки — удобные «кирпичики» из нескольких сотен таких атомов, возникает логичный вопрос: как превратить каждый чанк в число, с помощью которого можно быстро найти смысловые совпадения? Здесь на сцену выходит SentenceTransformer.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743575" cy="367284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SentenceTransformer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своего рода «обёртка» над моделями, которая обучена превращать в векторы фрагменты текстов. Она читает последовательность токенов внутри каждого чанка и кодирует её в компактный вектор-эмбеддинг. Благодаря этому и можно быстро сравнивать чанки между собой и мгновенно находить те, что будут ближе всего по смыслу к запросу пользователя.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SentenceTransformer вырос из семейства BERT, поэтому умеет возвращать устойчивые векторы для целых предложений и параграфов, а не только для слов.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Мы возьмём популярную модель </w:t>
      </w:r>
      <w:hyperlink r:id="rId10" w:tgtFrame="_blank">
        <w:r>
          <w:rPr>
            <w:rStyle w:val="Hyperlink"/>
            <w:rFonts w:ascii="Calibri" w:hAnsi="Calibri"/>
            <w:b/>
            <w:b/>
            <w:bCs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all</w:t>
          <w:noBreakHyphen/>
          <w:t>MiniLM</w:t>
          <w:noBreakHyphen/>
          <w:t>L6</w:t>
          <w:noBreakHyphen/>
          <w:t>v2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Почему именно её?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Размер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≈ 22 МБ — влезает даже в скромный контейнер.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Скорость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≈ 5–10 мс на CPU для короткого предложения.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Качество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близко ко многим большим моделям на публичных бенчмарках, если задача — поиск похожих текстов.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92520" cy="1640840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164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660" w:before="300" w:after="180"/>
        <w:ind w:hanging="0" w:start="0" w:end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На скриншоте видно, как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SentenceTransformer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из Hugging Face Hub поочерёдно тянет к вам на диск всё, что нужно, чтобы модель «ожила». Каждая строка — это отдельный файл в репозитории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sentence-transformers/all-MiniLM-L6-v2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У каждого из них своя роль.</w:t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2667"/>
        <w:gridCol w:w="3175"/>
        <w:gridCol w:w="3400"/>
      </w:tblGrid>
      <w:tr>
        <w:trPr>
          <w:tblHeader w:val="true"/>
        </w:trPr>
        <w:tc>
          <w:tcPr>
            <w:tcW w:w="26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Файл</w:t>
            </w:r>
          </w:p>
        </w:tc>
        <w:tc>
          <w:tcPr>
            <w:tcW w:w="3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Что внутри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Зачем нужен</w:t>
            </w:r>
          </w:p>
        </w:tc>
      </w:tr>
      <w:tr>
        <w:trPr/>
        <w:tc>
          <w:tcPr>
            <w:tcW w:w="26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model.safetensors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 (≈ 91 МБ)</w:t>
            </w:r>
          </w:p>
        </w:tc>
        <w:tc>
          <w:tcPr>
            <w:tcW w:w="3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Сжатые весовые матрицы нейросети в формате </w:t>
            </w:r>
            <w:r>
              <w:rPr>
                <w:rStyle w:val="Emphasis"/>
                <w:rFonts w:ascii="Calibri" w:hAnsi="Calibri"/>
                <w:b w:val="false"/>
                <w:sz w:val="22"/>
                <w:szCs w:val="22"/>
              </w:rPr>
              <w:t>SafeTensors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 (альтернатива PyTorch </w:t>
            </w: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.bin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, но быстрее и безопаснее)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Это «мозг» модели — миллионы параметров, на которых она научилась превращать текст в векторы</w:t>
            </w:r>
          </w:p>
        </w:tc>
      </w:tr>
      <w:tr>
        <w:trPr/>
        <w:tc>
          <w:tcPr>
            <w:tcW w:w="26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config.json</w:t>
            </w:r>
          </w:p>
        </w:tc>
        <w:tc>
          <w:tcPr>
            <w:tcW w:w="3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Описание архитектуры (количество слоёв, размер скрытых слоёв, attention-головы, pooling-стратегия)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Позволяет библиотеке правильно собрать вычислительный граф перед загрузкой весов</w:t>
            </w:r>
          </w:p>
        </w:tc>
      </w:tr>
      <w:tr>
        <w:trPr/>
        <w:tc>
          <w:tcPr>
            <w:tcW w:w="26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tokenizer.json</w:t>
            </w:r>
          </w:p>
        </w:tc>
        <w:tc>
          <w:tcPr>
            <w:tcW w:w="3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Полный сериализованный токенизатор (матрицы BPE-правил, словарь)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Fonts w:ascii="Calibri" w:hAnsi="Calibri"/>
                <w:b w:val="false"/>
                <w:sz w:val="22"/>
                <w:szCs w:val="22"/>
              </w:rPr>
              <w:t>Главное «правило резки» текста на токены; именно его вызывает </w:t>
            </w: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encode()</w:t>
            </w:r>
          </w:p>
        </w:tc>
      </w:tr>
      <w:tr>
        <w:trPr/>
        <w:tc>
          <w:tcPr>
            <w:tcW w:w="26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vocab.txt</w:t>
            </w:r>
          </w:p>
        </w:tc>
        <w:tc>
          <w:tcPr>
            <w:tcW w:w="3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Список всех токенов построчно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Быстрая проверка существования токена, удобно просматривать человеку</w:t>
            </w:r>
          </w:p>
        </w:tc>
      </w:tr>
      <w:tr>
        <w:trPr/>
        <w:tc>
          <w:tcPr>
            <w:tcW w:w="26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tokenizer_config.json</w:t>
            </w:r>
          </w:p>
        </w:tc>
        <w:tc>
          <w:tcPr>
            <w:tcW w:w="3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Fonts w:ascii="Calibri" w:hAnsi="Calibri"/>
                <w:b w:val="false"/>
                <w:sz w:val="22"/>
                <w:szCs w:val="22"/>
              </w:rPr>
              <w:t>Метаданные токенизатора (названия спецтокенов, </w:t>
            </w: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padding_side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, </w:t>
            </w: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model_max_length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)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Чтобы при сериализации/десериализации токенизатор вёл себя так же, как при обучении</w:t>
            </w:r>
          </w:p>
        </w:tc>
      </w:tr>
      <w:tr>
        <w:trPr/>
        <w:tc>
          <w:tcPr>
            <w:tcW w:w="26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special_tokens_map.json</w:t>
            </w:r>
          </w:p>
        </w:tc>
        <w:tc>
          <w:tcPr>
            <w:tcW w:w="3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Карта «&lt;pad&gt;», «&lt;cls&gt;», «&lt;sep&gt;», «&lt;mask&gt;» → индексы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Нужно, чтобы разные библиотеки однозначно понимали, где у текста начало/конец</w:t>
            </w:r>
          </w:p>
        </w:tc>
      </w:tr>
      <w:tr>
        <w:trPr/>
        <w:tc>
          <w:tcPr>
            <w:tcW w:w="2667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Emphasis"/>
                <w:rFonts w:ascii="Calibri" w:hAnsi="Calibri"/>
                <w:b w:val="false"/>
                <w:sz w:val="22"/>
                <w:szCs w:val="22"/>
              </w:rPr>
              <w:t>(иногда ещё бывает)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 </w:t>
            </w: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sentence_bert_config.json</w:t>
            </w:r>
          </w:p>
        </w:tc>
        <w:tc>
          <w:tcPr>
            <w:tcW w:w="3175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Специфичные для Sentence-BERT настройки (какой pooling: mean, cls, max)</w:t>
            </w:r>
          </w:p>
        </w:tc>
        <w:tc>
          <w:tcPr>
            <w:tcW w:w="3400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Обеспечивает совместимость со старыми версиями sentence-transformers</w:t>
            </w:r>
          </w:p>
        </w:tc>
      </w:tr>
    </w:tbl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этот процесс выглядит </w:t>
      </w: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«под капотом»</w:t>
      </w:r>
    </w:p>
    <w:p>
      <w:pPr>
        <w:pStyle w:val="BodyText"/>
        <w:bidi w:val="0"/>
        <w:spacing w:lineRule="atLeast" w:line="660"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884545" cy="1638935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45" cy="163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Клиент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(ноутбук/сервер) посылает HTTP-запросы к CDN HF Hub.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Каждый файл кладётся в кеш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~/.cache/huggingface/transformers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Если после этого вызвать модель ещё раз, то не придётся снова скачивать файлы, потому что они уже будут на диске.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center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SentenceTransformer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сначала читает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config.json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чтобы понять, сколько слоёв нужно создать, после чего грузит веса из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model.safetensors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Параллельно создаётся объект токенизатора на основе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tokenizer.json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tokenizer_config.json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Он знает, как резать текст на токены и какие индексы отдать модели.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Когда вызывается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model.encode()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токенизатор превращает текст в «слова-ID», а веса из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model.safetensors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преобразуют их в векторы.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Обратите внимание, что весы содержат фактические значения огромного числа параметров (в all-MiniLM-L6-v2 — около 33 миллионов), именно поэтому весовой файл будет настолько большим. Всё остальное (JSON- и TXT-файлы) — это словарь и настройки, которым достаточно всего килобайт.</w:t>
      </w:r>
    </w:p>
    <w:p>
      <w:pPr>
        <w:pStyle w:val="BodyText"/>
        <w:bidi w:val="0"/>
        <w:spacing w:lineRule="atLeast" w:line="660" w:before="300" w:after="180"/>
        <w:ind w:hanging="0" w:start="0" w:end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Если версия модели обновится (то есть появится «новый»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revision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(commit/model version)), Hugging Face создаст рядом вторую папку с файлами новой ревизии. Однако старые останутся, пока вы не очистите кеш.</w:t>
      </w:r>
    </w:p>
    <w:p>
      <w:pPr>
        <w:pStyle w:val="BodyText"/>
        <w:bidi w:val="0"/>
        <w:spacing w:lineRule="atLeast" w:line="660" w:before="300" w:after="180"/>
        <w:ind w:hanging="0" w:start="0" w:end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Теперь, когда появится строка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SentenceTransformer(...)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 скрипте, это можно читать как: «Сначала загрузите весовую матрицу. Потом возьмите ножницы-токенизатор. И лишь после этого текст сможет превратиться в вектор».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sentence_transformers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SentenceTransformer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 = SentenceTransformer(</w:t>
      </w:r>
      <w:r>
        <w:rPr>
          <w:rStyle w:val="Style12"/>
          <w:rFonts w:ascii="Calibri" w:hAnsi="Calibri"/>
          <w:color w:val="32A846"/>
          <w:sz w:val="22"/>
          <w:szCs w:val="22"/>
        </w:rPr>
        <w:t>'sentence-transformers/all-MiniLM-L6-v2'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emb = model.encode([</w:t>
      </w:r>
      <w:r>
        <w:rPr>
          <w:rStyle w:val="Style12"/>
          <w:rFonts w:ascii="Calibri" w:hAnsi="Calibri"/>
          <w:color w:val="32A846"/>
          <w:sz w:val="22"/>
          <w:szCs w:val="22"/>
        </w:rPr>
        <w:t>"Нейросети меняют индустрии."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2"/>
          <w:rFonts w:ascii="Calibri" w:hAnsi="Calibri"/>
          <w:color w:val="32A846"/>
          <w:sz w:val="22"/>
          <w:szCs w:val="22"/>
        </w:rPr>
        <w:t>"Беспилотники летают над городом."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])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(emb.shape)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👉 (2, 384)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Альтернативы SentenceTransformer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4015"/>
        <w:gridCol w:w="791"/>
        <w:gridCol w:w="1053"/>
        <w:gridCol w:w="2930"/>
      </w:tblGrid>
      <w:tr>
        <w:trPr>
          <w:tblHeader w:val="true"/>
        </w:trPr>
        <w:tc>
          <w:tcPr>
            <w:tcW w:w="4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Модель</w:t>
            </w:r>
          </w:p>
        </w:tc>
        <w:tc>
          <w:tcPr>
            <w:tcW w:w="7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Размер</w:t>
            </w:r>
          </w:p>
        </w:tc>
        <w:tc>
          <w:tcPr>
            <w:tcW w:w="1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Скорость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Качество (STS</w:t>
              <w:noBreakHyphen/>
              <w:t>benchmark)</w:t>
            </w:r>
          </w:p>
        </w:tc>
      </w:tr>
      <w:tr>
        <w:trPr/>
        <w:tc>
          <w:tcPr>
            <w:tcW w:w="4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all</w:t>
              <w:noBreakHyphen/>
              <w:t>mpnet</w:t>
              <w:noBreakHyphen/>
              <w:t>base</w:t>
              <w:noBreakHyphen/>
              <w:t>v2</w:t>
            </w:r>
          </w:p>
        </w:tc>
        <w:tc>
          <w:tcPr>
            <w:tcW w:w="7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420 МБ</w:t>
            </w:r>
          </w:p>
        </w:tc>
        <w:tc>
          <w:tcPr>
            <w:tcW w:w="1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🐢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⭐⭐⭐⭐</w:t>
            </w:r>
          </w:p>
        </w:tc>
      </w:tr>
      <w:tr>
        <w:trPr/>
        <w:tc>
          <w:tcPr>
            <w:tcW w:w="4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paraphrase</w:t>
              <w:noBreakHyphen/>
              <w:t>multilingual</w:t>
              <w:noBreakHyphen/>
              <w:t>MiniLM</w:t>
              <w:noBreakHyphen/>
              <w:t>L12</w:t>
              <w:noBreakHyphen/>
              <w:t>v2</w:t>
            </w:r>
          </w:p>
        </w:tc>
        <w:tc>
          <w:tcPr>
            <w:tcW w:w="7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120 МБ</w:t>
            </w:r>
          </w:p>
        </w:tc>
        <w:tc>
          <w:tcPr>
            <w:tcW w:w="1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🐇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⭐⭐⭐</w:t>
            </w:r>
          </w:p>
        </w:tc>
      </w:tr>
      <w:tr>
        <w:trPr/>
        <w:tc>
          <w:tcPr>
            <w:tcW w:w="4015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e5</w:t>
              <w:noBreakHyphen/>
              <w:t>base</w:t>
            </w:r>
          </w:p>
        </w:tc>
        <w:tc>
          <w:tcPr>
            <w:tcW w:w="791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310 МБ</w:t>
            </w:r>
          </w:p>
        </w:tc>
        <w:tc>
          <w:tcPr>
            <w:tcW w:w="1053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🐢</w:t>
            </w:r>
          </w:p>
        </w:tc>
        <w:tc>
          <w:tcPr>
            <w:tcW w:w="2930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⭐⭐⭐⭐</w:t>
            </w:r>
          </w:p>
        </w:tc>
      </w:tr>
    </w:tbl>
    <w:p>
      <w:pPr>
        <w:pStyle w:val="BodyText"/>
        <w:bidi w:val="0"/>
        <w:spacing w:lineRule="atLeast" w:line="660" w:before="6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Если ваш RAG обслуживает десятки языков — берите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paraphrase</w:t>
        <w:noBreakHyphen/>
        <w:t>multilingual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Нужен максимум точности в английском? Смотрите на e5</w:t>
        <w:noBreakHyphen/>
        <w:t>base или mpnet.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Метаданные — паспорт каждой мысли</w:t>
      </w:r>
    </w:p>
    <w:p>
      <w:pPr>
        <w:pStyle w:val="BodyText"/>
        <w:bidi w:val="0"/>
        <w:spacing w:lineRule="atLeast" w:line="660"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014720" cy="3846195"/>
            <wp:effectExtent l="0" t="0" r="0" b="0"/>
            <wp:docPr id="7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384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8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Простой RAG хранит рядом два объекта: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вектор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текст чанка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Продвинутый — добавляет «паспорт» —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метаданные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которые делают поиск гибким и объяснимым.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1486"/>
        <w:gridCol w:w="1905"/>
        <w:gridCol w:w="2936"/>
        <w:gridCol w:w="3311"/>
      </w:tblGrid>
      <w:tr>
        <w:trPr>
          <w:tblHeader w:val="true"/>
        </w:trPr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Поле</w:t>
            </w:r>
          </w:p>
        </w:tc>
        <w:tc>
          <w:tcPr>
            <w:tcW w:w="19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Для чего</w:t>
            </w:r>
          </w:p>
        </w:tc>
        <w:tc>
          <w:tcPr>
            <w:tcW w:w="29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Пример</w:t>
            </w:r>
          </w:p>
        </w:tc>
        <w:tc>
          <w:tcPr>
            <w:tcW w:w="33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Где пригодится</w:t>
            </w:r>
          </w:p>
        </w:tc>
      </w:tr>
      <w:tr>
        <w:trPr/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id</w:t>
            </w:r>
          </w:p>
        </w:tc>
        <w:tc>
          <w:tcPr>
            <w:tcW w:w="19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Линк на оригинал</w:t>
            </w:r>
          </w:p>
        </w:tc>
        <w:tc>
          <w:tcPr>
            <w:tcW w:w="29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article</w:t>
              <w:noBreakHyphen/>
              <w:t>42</w:t>
              <w:noBreakHyphen/>
              <w:t>p3</w:t>
            </w:r>
          </w:p>
        </w:tc>
        <w:tc>
          <w:tcPr>
            <w:tcW w:w="33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Финальная ссылка в ответе</w:t>
            </w:r>
          </w:p>
        </w:tc>
      </w:tr>
      <w:tr>
        <w:trPr/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source</w:t>
            </w:r>
          </w:p>
        </w:tc>
        <w:tc>
          <w:tcPr>
            <w:tcW w:w="19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Источник</w:t>
            </w:r>
          </w:p>
        </w:tc>
        <w:tc>
          <w:tcPr>
            <w:tcW w:w="29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https://docs.python.org/</w:t>
            </w:r>
          </w:p>
        </w:tc>
        <w:tc>
          <w:tcPr>
            <w:tcW w:w="33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Фильтр «только официальная дока»</w:t>
            </w:r>
          </w:p>
        </w:tc>
      </w:tr>
      <w:tr>
        <w:trPr/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lang</w:t>
            </w:r>
          </w:p>
        </w:tc>
        <w:tc>
          <w:tcPr>
            <w:tcW w:w="19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Язык</w:t>
            </w:r>
          </w:p>
        </w:tc>
        <w:tc>
          <w:tcPr>
            <w:tcW w:w="29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ru</w:t>
            </w:r>
          </w:p>
        </w:tc>
        <w:tc>
          <w:tcPr>
            <w:tcW w:w="33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Автоперевод перед показом</w:t>
            </w:r>
          </w:p>
        </w:tc>
      </w:tr>
      <w:tr>
        <w:trPr/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title</w:t>
            </w:r>
          </w:p>
        </w:tc>
        <w:tc>
          <w:tcPr>
            <w:tcW w:w="19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Заголовок блока</w:t>
            </w:r>
          </w:p>
        </w:tc>
        <w:tc>
          <w:tcPr>
            <w:tcW w:w="29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«Глава 3. Итераторы»</w:t>
            </w:r>
          </w:p>
        </w:tc>
        <w:tc>
          <w:tcPr>
            <w:tcW w:w="33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Сортировка итогов</w:t>
            </w:r>
          </w:p>
        </w:tc>
      </w:tr>
      <w:tr>
        <w:trPr/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tags</w:t>
            </w:r>
          </w:p>
        </w:tc>
        <w:tc>
          <w:tcPr>
            <w:tcW w:w="19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Темы</w:t>
            </w:r>
          </w:p>
        </w:tc>
        <w:tc>
          <w:tcPr>
            <w:tcW w:w="29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['python', 'OOP']</w:t>
            </w:r>
          </w:p>
        </w:tc>
        <w:tc>
          <w:tcPr>
            <w:tcW w:w="33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Узкотематический поиск</w:t>
            </w:r>
          </w:p>
        </w:tc>
      </w:tr>
      <w:tr>
        <w:trPr/>
        <w:tc>
          <w:tcPr>
            <w:tcW w:w="1486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chunk_index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Порядок в документе</w:t>
            </w:r>
          </w:p>
        </w:tc>
        <w:tc>
          <w:tcPr>
            <w:tcW w:w="2936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7</w:t>
            </w:r>
          </w:p>
        </w:tc>
        <w:tc>
          <w:tcPr>
            <w:tcW w:w="3311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Сборка ответа в правильном порядке</w:t>
            </w:r>
          </w:p>
        </w:tc>
      </w:tr>
    </w:tbl>
    <w:p>
      <w:pPr>
        <w:pStyle w:val="BodyText"/>
        <w:bidi w:val="0"/>
        <w:spacing w:lineRule="atLeast" w:line="66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популярных векторных базах данных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Qdrant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Weaviate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метаданные хранятся прямо рядом с вектором в JSON</w:t>
        <w:noBreakHyphen/>
        <w:t>поле. Записывается это так: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qdrant.upsert(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collection_name=</w:t>
      </w:r>
      <w:r>
        <w:rPr>
          <w:rStyle w:val="Style12"/>
          <w:rFonts w:ascii="Calibri" w:hAnsi="Calibri"/>
          <w:color w:val="32A846"/>
          <w:sz w:val="22"/>
          <w:szCs w:val="22"/>
        </w:rPr>
        <w:t>"kb"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points=[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PointStruct(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id=</w:t>
      </w:r>
      <w:r>
        <w:rPr>
          <w:rStyle w:val="Style12"/>
          <w:rFonts w:ascii="Calibri" w:hAnsi="Calibri"/>
          <w:color w:val="32A846"/>
          <w:sz w:val="22"/>
          <w:szCs w:val="22"/>
        </w:rPr>
        <w:t>"article</w:t>
        <w:noBreakHyphen/>
        <w:t>42</w:t>
        <w:noBreakHyphen/>
        <w:t>p3"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vector=embeddings[</w:t>
      </w:r>
      <w:r>
        <w:rPr>
          <w:rStyle w:val="Style12"/>
          <w:rFonts w:ascii="Calibri" w:hAnsi="Calibri"/>
          <w:color w:val="237B86"/>
          <w:sz w:val="22"/>
          <w:szCs w:val="22"/>
        </w:rPr>
        <w:t>0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payload={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2"/>
          <w:rFonts w:ascii="Calibri" w:hAnsi="Calibri"/>
          <w:color w:val="32A846"/>
          <w:sz w:val="22"/>
          <w:szCs w:val="22"/>
        </w:rPr>
        <w:t>"source"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: </w:t>
      </w:r>
      <w:r>
        <w:rPr>
          <w:rStyle w:val="Style12"/>
          <w:rFonts w:ascii="Calibri" w:hAnsi="Calibri"/>
          <w:color w:val="32A846"/>
          <w:sz w:val="22"/>
          <w:szCs w:val="22"/>
        </w:rPr>
        <w:t>"https://docs.python.org/3/"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2"/>
          <w:rFonts w:ascii="Calibri" w:hAnsi="Calibri"/>
          <w:color w:val="32A846"/>
          <w:sz w:val="22"/>
          <w:szCs w:val="22"/>
        </w:rPr>
        <w:t>"title"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: </w:t>
      </w:r>
      <w:r>
        <w:rPr>
          <w:rStyle w:val="Style12"/>
          <w:rFonts w:ascii="Calibri" w:hAnsi="Calibri"/>
          <w:color w:val="32A846"/>
          <w:sz w:val="22"/>
          <w:szCs w:val="22"/>
        </w:rPr>
        <w:t>"Chapter 3. Iterators"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2"/>
          <w:rFonts w:ascii="Calibri" w:hAnsi="Calibri"/>
          <w:color w:val="32A846"/>
          <w:sz w:val="22"/>
          <w:szCs w:val="22"/>
        </w:rPr>
        <w:t>"lang"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: </w:t>
      </w:r>
      <w:r>
        <w:rPr>
          <w:rStyle w:val="Style12"/>
          <w:rFonts w:ascii="Calibri" w:hAnsi="Calibri"/>
          <w:color w:val="32A846"/>
          <w:sz w:val="22"/>
          <w:szCs w:val="22"/>
        </w:rPr>
        <w:t>"en"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2"/>
          <w:rFonts w:ascii="Calibri" w:hAnsi="Calibri"/>
          <w:color w:val="32A846"/>
          <w:sz w:val="22"/>
          <w:szCs w:val="22"/>
        </w:rPr>
        <w:t>"chunk_index"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: </w:t>
      </w:r>
      <w:r>
        <w:rPr>
          <w:rStyle w:val="Style12"/>
          <w:rFonts w:ascii="Calibri" w:hAnsi="Calibri"/>
          <w:color w:val="237B86"/>
          <w:sz w:val="22"/>
          <w:szCs w:val="22"/>
        </w:rPr>
        <w:t>7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 </w:t>
      </w:r>
    </w:p>
    <w:p>
      <w:pPr>
        <w:pStyle w:val="BodyText"/>
        <w:bidi w:val="0"/>
        <w:spacing w:lineRule="atLeast" w:line="660" w:before="4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Метаданные обязательны: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у вас несколько источников и нужно объяснять, откуда ответ.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нужно банить «неподходящие» фрагменты (например, устаревшие версии SDK).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доступ зависит от роли (например, юрист видит одно, инженер — другое).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Без метаданных можно обойтись: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у вас маленькая внутренняя база на один документ.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 время прототипирования идеи, когда вам не нужна трассировка.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3134"/>
        <w:gridCol w:w="1646"/>
        <w:gridCol w:w="4858"/>
      </w:tblGrid>
      <w:tr>
        <w:trPr>
          <w:tblHeader w:val="true"/>
        </w:trPr>
        <w:tc>
          <w:tcPr>
            <w:tcW w:w="3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Сценарий</w:t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Метаданные нужны?</w:t>
            </w:r>
          </w:p>
        </w:tc>
        <w:tc>
          <w:tcPr>
            <w:tcW w:w="48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Почему?</w:t>
            </w:r>
          </w:p>
        </w:tc>
      </w:tr>
      <w:tr>
        <w:trPr/>
        <w:tc>
          <w:tcPr>
            <w:tcW w:w="3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Многоверсионная документация SDK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 — в базе лежат v1, v2 и v3</w:t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Да</w:t>
            </w:r>
          </w:p>
        </w:tc>
        <w:tc>
          <w:tcPr>
            <w:tcW w:w="48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Нужно чётко указать, из какой версии взят ответ, иначе разработчик может внедрить устаревший код</w:t>
            </w:r>
          </w:p>
        </w:tc>
      </w:tr>
      <w:tr>
        <w:trPr/>
        <w:tc>
          <w:tcPr>
            <w:tcW w:w="3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Полнотекстовый поиск по внутренним политикам компании</w:t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Да</w:t>
            </w:r>
          </w:p>
        </w:tc>
        <w:tc>
          <w:tcPr>
            <w:tcW w:w="48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Руководство, финансы и HR-политики хранятся в разных репозиториях; для аудита важно ссылаться на точный документ и его ревизии</w:t>
            </w:r>
          </w:p>
        </w:tc>
      </w:tr>
      <w:tr>
        <w:trPr/>
        <w:tc>
          <w:tcPr>
            <w:tcW w:w="3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Юридический справочник</w:t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Да</w:t>
            </w:r>
          </w:p>
        </w:tc>
        <w:tc>
          <w:tcPr>
            <w:tcW w:w="48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Адвокат обязан видеть ссылку на конкретную норму закона или судебное решение; без неё совет невалиден</w:t>
            </w:r>
          </w:p>
        </w:tc>
      </w:tr>
      <w:tr>
        <w:trPr/>
        <w:tc>
          <w:tcPr>
            <w:tcW w:w="3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Один внутренний PDF (например, брендбук)</w:t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Нет</w:t>
            </w:r>
          </w:p>
        </w:tc>
        <w:tc>
          <w:tcPr>
            <w:tcW w:w="48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Вопросы всегда ссылаются на единственный файл; источники и так очевидны</w:t>
            </w:r>
          </w:p>
        </w:tc>
      </w:tr>
      <w:tr>
        <w:trPr/>
        <w:tc>
          <w:tcPr>
            <w:tcW w:w="3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Прототип чат-бота для личных конспектов</w:t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Нет</w:t>
            </w:r>
          </w:p>
        </w:tc>
        <w:tc>
          <w:tcPr>
            <w:tcW w:w="48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Пока «набиваете руку», важнее быстро проверить идею, чем строить трассировку</w:t>
            </w:r>
          </w:p>
        </w:tc>
      </w:tr>
      <w:tr>
        <w:trPr/>
        <w:tc>
          <w:tcPr>
            <w:tcW w:w="3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Сводка итогов одной встречи</w:t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Нет</w:t>
            </w:r>
          </w:p>
        </w:tc>
        <w:tc>
          <w:tcPr>
            <w:tcW w:w="48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Запросы касаются единственного стенографа; ссылки на абзацы не нужны</w:t>
            </w:r>
          </w:p>
        </w:tc>
      </w:tr>
      <w:tr>
        <w:trPr/>
        <w:tc>
          <w:tcPr>
            <w:tcW w:w="3134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FAQ из 15 вопросов/ответов</w:t>
            </w:r>
          </w:p>
        </w:tc>
        <w:tc>
          <w:tcPr>
            <w:tcW w:w="1646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Нет</w:t>
            </w:r>
          </w:p>
        </w:tc>
        <w:tc>
          <w:tcPr>
            <w:tcW w:w="4858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Маленький объём легко визуально проверить даже без автоматической атрибуции</w:t>
            </w:r>
          </w:p>
        </w:tc>
      </w:tr>
    </w:tbl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Весь процесс RAG</w:t>
      </w:r>
    </w:p>
    <w:p>
      <w:pPr>
        <w:pStyle w:val="BodyText"/>
        <w:bidi w:val="0"/>
        <w:spacing w:lineRule="atLeast" w:line="660"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29655" cy="1270635"/>
            <wp:effectExtent l="0" t="0" r="0" b="0"/>
            <wp:docPr id="9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127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0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Токенизировать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документы запрос пользователя, чтобы понять объём и разбить на чанки.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Для каждого чанка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построить эмбеддинг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через SentenceTransformer.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Сохранить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вектор и метаданные в Qdrant или Weaviate.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lineRule="atLeast" w:line="660" w:before="0" w:after="120"/>
        <w:ind w:hanging="283" w:start="240" w:end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Собрать цепочку чанков (помним про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chunk_index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 и передать её как контекст в LLM.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lineRule="atLeast" w:line="660"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Получить финальный ответ от LLM, который «опирается» на найденные знания.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lineRule="atLeast" w:line="660"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утверждения верны для токенов? Выберите все правильные ответы.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Токен может состоять из нескольких букв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1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15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16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12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78.8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Правильно. Например, английское «house» может быть одним токеном.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Токен — это всегда целое слово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3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17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18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Количество токенов влияет на стоимость работы с API</w: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4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19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20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5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Действительно, чем больше токенов, тем выше стоимость запроса.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Токен — это минимальная единица смысла из словаря модели</w: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6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21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22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7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это ключевое определение.</w: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Токен равен одному символу ASCII</w:t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8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23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24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lineRule="atLeast" w:line="660"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параметры важны при выборе токенизатора? Выберите все правильные ответы.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Совместимость со словарём модели</w:t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9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25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26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0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это ключевое — словарь и правила сегментации должны совпадать.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Язык текста, с которым работаете</w:t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1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27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28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2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от языка зависит, как разбивается текст.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Длина запроса и лимит токенов у модели</w: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3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29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30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4201160"/>
                <wp:effectExtent l="0" t="0" r="0" b="0"/>
                <wp:wrapNone/>
                <wp:docPr id="24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42011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30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правильный ответ. Токенизатор помогает укладываться в лимиты.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Количество GPU на сервере</w:t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5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6" o:allowincell="t" style="width:9.7pt;height:9.7pt" type="#_x0000_t75"/>
                                <w:control r:id="rId31" w:name="" w:shapeid="control_shape_1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7" o:allowincell="t" style="width:9.7pt;height:9.7pt" type="#_x0000_t75"/>
                          <w:control r:id="rId32" w:name="" w:shapeid="control_shape_1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Скорость сегментации текста</w:t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6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8" o:allowincell="t" style="width:9.7pt;height:9.7pt" type="#_x0000_t75"/>
                                <w:control r:id="rId33" w:name="" w:shapeid="control_shape_1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9" o:allowincell="t" style="width:9.7pt;height:9.7pt" type="#_x0000_t75"/>
                          <w:control r:id="rId34" w:name="" w:shapeid="control_shape_1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4201160"/>
                <wp:effectExtent l="0" t="0" r="0" b="0"/>
                <wp:wrapNone/>
                <wp:docPr id="27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42011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30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важно при высоконагруженных сервисах.</w: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Дата публикации модели</w:t>
      </w:r>
      <w:r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8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0" o:allowincell="t" style="width:9.7pt;height:9.7pt" type="#_x0000_t75"/>
                                <w:control r:id="rId35" w:name="" w:shapeid="control_shape_2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1" o:allowincell="t" style="width:9.7pt;height:9.7pt" type="#_x0000_t75"/>
                          <w:control r:id="rId36" w:name="" w:shapeid="control_shape_2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lineRule="atLeast" w:line="660"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Зачем добавляют overlap при разбиении текста на чанки? Выберите все правильные ответы.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соседние чанки частично перекрывались и сохраняли связность</w:t>
      </w:r>
      <w:r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9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2" o:allowincell="t" style="width:9.7pt;height:9.7pt" type="#_x0000_t75"/>
                                <w:control r:id="rId37" w:name="" w:shapeid="control_shape_2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3" o:allowincell="t" style="width:9.7pt;height:9.7pt" type="#_x0000_t75"/>
                          <w:control r:id="rId38" w:name="" w:shapeid="control_shape_2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30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05.8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верно. Оverlap нужен, чтобы не терялась логика фрагментов.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проверить длину запроса к API</w:t>
      </w:r>
      <w:r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1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4" o:allowincell="t" style="width:9.7pt;height:9.7pt" type="#_x0000_t75"/>
                                <w:control r:id="rId39" w:name="" w:shapeid="control_shape_2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5" o:allowincell="t" style="width:9.7pt;height:9.7pt" type="#_x0000_t75"/>
                          <w:control r:id="rId40" w:name="" w:shapeid="control_shape_2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модель могла вернуться к началу сцены или абзаца</w:t>
      </w:r>
      <w:r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2" name="Врез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6" o:allowincell="t" style="width:9.7pt;height:9.7pt" type="#_x0000_t75"/>
                                <w:control r:id="rId41" w:name="" w:shapeid="control_shape_2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7" o:allowincell="t" style="width:9.7pt;height:9.7pt" type="#_x0000_t75"/>
                          <w:control r:id="rId42" w:name="" w:shapeid="control_shape_2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33" name="Врезка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71.8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это помогает LLM лучше «помнить» контекст.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снизить стоимость эмбеддингов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4" name="Врезка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8" o:allowincell="t" style="width:9.7pt;height:9.7pt" type="#_x0000_t75"/>
                                <w:control r:id="rId43" w:name="" w:shapeid="control_shape_2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9" o:allowincell="t" style="width:9.7pt;height:9.7pt" type="#_x0000_t75"/>
                          <w:control r:id="rId44" w:name="" w:shapeid="control_shape_2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сократить количество чанков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5" name="Врезка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0" o:allowincell="t" style="width:9.7pt;height:9.7pt" type="#_x0000_t75"/>
                                <w:control r:id="rId45" w:name="" w:shapeid="control_shape_3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1" o:allowincell="t" style="width:9.7pt;height:9.7pt" type="#_x0000_t75"/>
                          <w:control r:id="rId46" w:name="" w:shapeid="control_shape_3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lineRule="atLeast" w:line="660"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36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53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37" name="Врезка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Дополнительные материалы</w:t>
      </w:r>
    </w:p>
    <w:p>
      <w:pPr>
        <w:pStyle w:val="BodyText"/>
        <w:bidi w:val="0"/>
        <w:spacing w:lineRule="atLeast" w:line="660" w:before="48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48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Осваиваем RAG: 4 показателя, чтобы повысить производительность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49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Осваиваем RAG: передовые технологии разбивки на чанки для приложений LLM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0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Long chain Chat with Your Data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1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 xml:space="preserve">Как извлекать данные каждого документа с помощью нескольких векторов 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2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Обзор техник RAG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3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Обзор RAG для больших языковых моделей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4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 xml:space="preserve">Осваиваем RAG: 8 сценариев, которые нужно оценить, перед началом продакшена 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5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Создание синтетических данных для RAG всего за 10 долларов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6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Осваиваем RAG: выбираем идеальную векторную базу данных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7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 xml:space="preserve">Осваиваем RAG: как выбрать векторную модель </w:t>
        </w:r>
      </w:hyperlink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hyperlink r:id="rId58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 xml:space="preserve">Осваиваем RAG: как выбрать модель повторного ранжирования </w:t>
        </w:r>
      </w:hyperlink>
    </w:p>
    <w:p>
      <w:pPr>
        <w:pStyle w:val="BodyText"/>
        <w:bidi w:val="0"/>
        <w:spacing w:lineRule="atLeast" w:line="660"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3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39" name="Врезка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bidi w:val="0"/>
        <w:spacing w:lineRule="atLeast" w:line="660"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Большие языковые модели превращают любой текст в цепочку чисел, или токены. Токен — это минимальная единица смысла из словаря модели. Именно они определяют, сколько LLM «прочитает» за раз, сколько это будет стоить и какие есть ограничения.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 этом число токенов не равно числу слов.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русском один и тот же текст часто оказывается на 20–30% длиннее в токенах, чем на английском. Это напрямую влияет на стоимость запросов к API.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Текст разбивается на токены с помощью специального инструмента — токенизатора. Их существует несколько разных. И в зависимости от целей нужно уметь выбирать наиболее подходящий.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У LLM и эмбеддеров (векторов) есть ограничение на длину. Поэтому, чтобы не перегружать модель и удешевить процесс обработки текстов, документы разбивают на чанки. 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свою очередь, LLM превращает фрагменты текстов в векторы с помощью SentenceTransformer.</w:t>
      </w:r>
    </w:p>
    <w:p>
      <w:pPr>
        <w:pStyle w:val="BodyText"/>
        <w:bidi w:val="0"/>
        <w:spacing w:lineRule="atLeast" w:line="660"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Простой RAG хранит рядом два объекта: вектор и текст чанка. Продвинутый — добавляет «паспорт» — метаданные, которые делают поиск гибким и объяснимым.</w:t>
      </w:r>
    </w:p>
    <w:p>
      <w:pPr>
        <w:pStyle w:val="BodyText"/>
        <w:bidi w:val="0"/>
        <w:spacing w:lineRule="atLeast" w:line="660" w:before="30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 у вас есть карта библиотеки RAG целиком: от атомарных токенов до паспортов чанков. А в следующем уроке вас ждёт практическое задание. Вместе мы напишем код, который соединит все эти этапы в живую цепочку и заставит модель отвечать так, словно она читала ваши документы целиком, но чтобы при этом не пострадал ваш бюджет.</w:t>
      </w:r>
    </w:p>
    <w:p>
      <w:pPr>
        <w:pStyle w:val="BodyText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Calibri"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9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20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ggingface.co/learn/llm-course/chapter6/5" TargetMode="External"/><Relationship Id="rId3" Type="http://schemas.openxmlformats.org/officeDocument/2006/relationships/hyperlink" Target="https://github.com/google/sentencepiece" TargetMode="External"/><Relationship Id="rId4" Type="http://schemas.openxmlformats.org/officeDocument/2006/relationships/hyperlink" Target="https://huggingface.co/learn/llm-course/ru/chapter6/6" TargetMode="External"/><Relationship Id="rId5" Type="http://schemas.openxmlformats.org/officeDocument/2006/relationships/hyperlink" Target="https://github.com/openai/tiktoken" TargetMode="External"/><Relationship Id="rId6" Type="http://schemas.openxmlformats.org/officeDocument/2006/relationships/hyperlink" Target="https://github.com/openai/tiktoken" TargetMode="External"/><Relationship Id="rId7" Type="http://schemas.openxmlformats.org/officeDocument/2006/relationships/hyperlink" Target="https://github.com/huggingface/tokenizers" TargetMode="External"/><Relationship Id="rId8" Type="http://schemas.openxmlformats.org/officeDocument/2006/relationships/hyperlink" Target="https://github.com/openai/tiktoken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huggingface.co/sentence-transformers/all-MiniLM-L6-v2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control" Target="activeX/activeX1.xml"/><Relationship Id="rId16" Type="http://schemas.openxmlformats.org/officeDocument/2006/relationships/control" Target="activeX/activeX2.xml"/><Relationship Id="rId17" Type="http://schemas.openxmlformats.org/officeDocument/2006/relationships/control" Target="activeX/activeX3.xml"/><Relationship Id="rId18" Type="http://schemas.openxmlformats.org/officeDocument/2006/relationships/control" Target="activeX/activeX4.xml"/><Relationship Id="rId19" Type="http://schemas.openxmlformats.org/officeDocument/2006/relationships/control" Target="activeX/activeX5.xml"/><Relationship Id="rId20" Type="http://schemas.openxmlformats.org/officeDocument/2006/relationships/control" Target="activeX/activeX6.xml"/><Relationship Id="rId21" Type="http://schemas.openxmlformats.org/officeDocument/2006/relationships/control" Target="activeX/activeX7.xml"/><Relationship Id="rId22" Type="http://schemas.openxmlformats.org/officeDocument/2006/relationships/control" Target="activeX/activeX8.xml"/><Relationship Id="rId23" Type="http://schemas.openxmlformats.org/officeDocument/2006/relationships/control" Target="activeX/activeX9.xml"/><Relationship Id="rId24" Type="http://schemas.openxmlformats.org/officeDocument/2006/relationships/control" Target="activeX/activeX10.xml"/><Relationship Id="rId25" Type="http://schemas.openxmlformats.org/officeDocument/2006/relationships/control" Target="activeX/activeX11.xml"/><Relationship Id="rId26" Type="http://schemas.openxmlformats.org/officeDocument/2006/relationships/control" Target="activeX/activeX12.xml"/><Relationship Id="rId27" Type="http://schemas.openxmlformats.org/officeDocument/2006/relationships/control" Target="activeX/activeX13.xml"/><Relationship Id="rId28" Type="http://schemas.openxmlformats.org/officeDocument/2006/relationships/control" Target="activeX/activeX14.xml"/><Relationship Id="rId29" Type="http://schemas.openxmlformats.org/officeDocument/2006/relationships/control" Target="activeX/activeX15.xml"/><Relationship Id="rId30" Type="http://schemas.openxmlformats.org/officeDocument/2006/relationships/control" Target="activeX/activeX16.xml"/><Relationship Id="rId31" Type="http://schemas.openxmlformats.org/officeDocument/2006/relationships/control" Target="activeX/activeX17.xml"/><Relationship Id="rId32" Type="http://schemas.openxmlformats.org/officeDocument/2006/relationships/control" Target="activeX/activeX18.xml"/><Relationship Id="rId33" Type="http://schemas.openxmlformats.org/officeDocument/2006/relationships/control" Target="activeX/activeX19.xml"/><Relationship Id="rId34" Type="http://schemas.openxmlformats.org/officeDocument/2006/relationships/control" Target="activeX/activeX20.xml"/><Relationship Id="rId35" Type="http://schemas.openxmlformats.org/officeDocument/2006/relationships/control" Target="activeX/activeX21.xml"/><Relationship Id="rId36" Type="http://schemas.openxmlformats.org/officeDocument/2006/relationships/control" Target="activeX/activeX22.xml"/><Relationship Id="rId37" Type="http://schemas.openxmlformats.org/officeDocument/2006/relationships/control" Target="activeX/activeX23.xml"/><Relationship Id="rId38" Type="http://schemas.openxmlformats.org/officeDocument/2006/relationships/control" Target="activeX/activeX24.xml"/><Relationship Id="rId39" Type="http://schemas.openxmlformats.org/officeDocument/2006/relationships/control" Target="activeX/activeX25.xml"/><Relationship Id="rId40" Type="http://schemas.openxmlformats.org/officeDocument/2006/relationships/control" Target="activeX/activeX26.xml"/><Relationship Id="rId41" Type="http://schemas.openxmlformats.org/officeDocument/2006/relationships/control" Target="activeX/activeX27.xml"/><Relationship Id="rId42" Type="http://schemas.openxmlformats.org/officeDocument/2006/relationships/control" Target="activeX/activeX28.xml"/><Relationship Id="rId43" Type="http://schemas.openxmlformats.org/officeDocument/2006/relationships/control" Target="activeX/activeX29.xml"/><Relationship Id="rId44" Type="http://schemas.openxmlformats.org/officeDocument/2006/relationships/control" Target="activeX/activeX30.xml"/><Relationship Id="rId45" Type="http://schemas.openxmlformats.org/officeDocument/2006/relationships/control" Target="activeX/activeX31.xml"/><Relationship Id="rId46" Type="http://schemas.openxmlformats.org/officeDocument/2006/relationships/control" Target="activeX/activeX32.xml"/><Relationship Id="rId47" Type="http://schemas.openxmlformats.org/officeDocument/2006/relationships/image" Target="media/image6.png"/><Relationship Id="rId48" Type="http://schemas.openxmlformats.org/officeDocument/2006/relationships/hyperlink" Target="https://www.galileo.ai/blog/mastering-rag-improve-performance-with-4-powerful-metrics" TargetMode="External"/><Relationship Id="rId49" Type="http://schemas.openxmlformats.org/officeDocument/2006/relationships/hyperlink" Target="https://www.galileo.ai/blog/mastering-rag-advanced-chunking-techniques-for-llm-applications" TargetMode="External"/><Relationship Id="rId50" Type="http://schemas.openxmlformats.org/officeDocument/2006/relationships/hyperlink" Target="https://learn.deeplearning.ai/courses/langchain-chat-with-your-data/lesson/3/document-splitting" TargetMode="External"/><Relationship Id="rId51" Type="http://schemas.openxmlformats.org/officeDocument/2006/relationships/hyperlink" Target="https://python.langchain.com/docs/how_to/multi_vector/" TargetMode="External"/><Relationship Id="rId52" Type="http://schemas.openxmlformats.org/officeDocument/2006/relationships/hyperlink" Target="https://habr.com/ru/articles/904032/" TargetMode="External"/><Relationship Id="rId53" Type="http://schemas.openxmlformats.org/officeDocument/2006/relationships/hyperlink" Target="https://arxiv.org/abs/2312.10997" TargetMode="External"/><Relationship Id="rId54" Type="http://schemas.openxmlformats.org/officeDocument/2006/relationships/hyperlink" Target="https://www.galileo.ai/blog/mastering-rag-8-scenarios-to-test-before-going-to-production" TargetMode="External"/><Relationship Id="rId55" Type="http://schemas.openxmlformats.org/officeDocument/2006/relationships/hyperlink" Target="https://www.galileo.ai/blog/synthetic-data-rag" TargetMode="External"/><Relationship Id="rId56" Type="http://schemas.openxmlformats.org/officeDocument/2006/relationships/hyperlink" Target="https://www.galileo.ai/blog/mastering-rag-choosing-the-perfect-vector-database" TargetMode="External"/><Relationship Id="rId57" Type="http://schemas.openxmlformats.org/officeDocument/2006/relationships/hyperlink" Target="https://www.galileo.ai/blog/mastering-rag-how-to-select-an-embedding-model" TargetMode="External"/><Relationship Id="rId58" Type="http://schemas.openxmlformats.org/officeDocument/2006/relationships/hyperlink" Target="https://www.galileo.ai/blog/mastering-rag-how-to-select-a-reranking-model" TargetMode="External"/><Relationship Id="rId59" Type="http://schemas.openxmlformats.org/officeDocument/2006/relationships/image" Target="media/image7.png"/><Relationship Id="rId60" Type="http://schemas.openxmlformats.org/officeDocument/2006/relationships/numbering" Target="numbering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_rels/activeX27.xml.rels><?xml version="1.0" encoding="UTF-8"?>
<Relationships xmlns="http://schemas.openxmlformats.org/package/2006/relationships"><Relationship Id="rId1" Type="http://schemas.microsoft.com/office/2006/relationships/activeXControlBinary" Target="activeX27.bin"/>
</Relationships>
</file>

<file path=word/activeX/_rels/activeX28.xml.rels><?xml version="1.0" encoding="UTF-8"?>
<Relationships xmlns="http://schemas.openxmlformats.org/package/2006/relationships"><Relationship Id="rId1" Type="http://schemas.microsoft.com/office/2006/relationships/activeXControlBinary" Target="activeX28.bin"/>
</Relationships>
</file>

<file path=word/activeX/_rels/activeX29.xml.rels><?xml version="1.0" encoding="UTF-8"?>
<Relationships xmlns="http://schemas.openxmlformats.org/package/2006/relationships"><Relationship Id="rId1" Type="http://schemas.microsoft.com/office/2006/relationships/activeXControlBinary" Target="activeX29.bin"/>
</Relationships>
</file>

<file path=word/activeX/_rels/activeX30.xml.rels><?xml version="1.0" encoding="UTF-8"?>
<Relationships xmlns="http://schemas.openxmlformats.org/package/2006/relationships"><Relationship Id="rId1" Type="http://schemas.microsoft.com/office/2006/relationships/activeXControlBinary" Target="activeX30.bin"/>
</Relationships>
</file>

<file path=word/activeX/_rels/activeX31.xml.rels><?xml version="1.0" encoding="UTF-8"?>
<Relationships xmlns="http://schemas.openxmlformats.org/package/2006/relationships"><Relationship Id="rId1" Type="http://schemas.microsoft.com/office/2006/relationships/activeXControlBinary" Target="activeX31.bin"/>
</Relationships>
</file>

<file path=word/activeX/_rels/activeX32.xml.rels><?xml version="1.0" encoding="UTF-8"?>
<Relationships xmlns="http://schemas.openxmlformats.org/package/2006/relationships"><Relationship Id="rId1" Type="http://schemas.microsoft.com/office/2006/relationships/activeXControlBinary" Target="activeX32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16</Pages>
  <Words>2211</Words>
  <Characters>13867</Characters>
  <CharactersWithSpaces>16059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2026-03-24T22:15:22Z</dcterms:created>
  <dc:creator/>
  <dc:description/>
  <dc:language>ru-RU</dc:language>
  <cp:lastModifiedBy/>
  <dcterms:modified xsi:type="dcterms:W3CDTF">2026-03-24T22:22:57Z</dcterms:modified>
  <cp:revision>3</cp:revision>
  <dc:subject/>
  <dc:title/>
</cp:coreProperties>
</file>