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7.xml.rels" ContentType="application/vnd.openxmlformats-package.relationships+xml"/>
  <Override PartName="/word/activeX/_rels/activeX8.xml.rels" ContentType="application/vnd.openxmlformats-package.relationships+xml"/>
  <Override PartName="/word/activeX/_rels/activeX10.xml.rels" ContentType="application/vnd.openxmlformats-package.relationships+xml"/>
  <Override PartName="/word/activeX/_rels/activeX11.xml.rels" ContentType="application/vnd.openxmlformats-package.relationships+xml"/>
  <Override PartName="/word/activeX/_rels/activeX12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Identity and Access Management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40 минут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Аутентификация или авторизация пользователя будут невозможны, если в системе для него не заведён аккаунт. В этом уроке разберём, как завести аккаунт и дать пользователю нужные доступы.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 такое Identity and Access Management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Identity and Access Management, или IAM, — это комплекс технологий, процессов и политик для управления идентификацией пользователей и их доступом в систему.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IAM решает несколько задач: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Работа с учётными записями. Создание, удаление пользовательских и сервисных учётных записей, управление ими.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Управление доступом пользователей и сервисов. Настройка ролей, их доступов и пользователей. Настройка аутентификации, авторизации пользователей, работа со cлужбой единого входа — SSO.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Федеративное управление идентификацией (Federation Identity). Использование IAM с другими системами идентификации пользователей.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Аудит и мониторинг. Выявление подозрительной активности и узких мест в работе системы.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зависимости от требований бизнеса каждую из этих задач можно реализовать в одном либо нескольких сервисах. Но интеграция этих решений между собой может быть сложной или невозможной задачей. По каждому решению нужно будет постоянно отслеживать слабые места в реализации и используемых библиотеках. Если эти слабые места обнаружатся, нужно будет дописывать систему и устранять их.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Плюсы IAM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Чувствительные данные лучше защищены. Риск несанкционированного доступа к таким данным и системам снижается.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администрирование учётных записей и доступов уходит меньше времени и усилий.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IAM помогает организациям соответствовать нормативным и отраслевым стандартам по управлению доступом к данным и их защите.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IAM обеспечивает SSO — единый вход для доступа к нескольким системам и приложениям. Это упрощает работу и улучшает пользовательский опыт.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Типы IAM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Есть два типа реализации IAM: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On-premise — программное обеспечение развёрнуто на собственных серверах компании. Это может быть внутренняя разработка компании, платная коммерческая версия (например, MiniOrange) или open source-решение (например, Keycloak), или коробочные решения, находящиеся в инфраструктуре облаков.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☝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Использовать внутреннюю разработку крайне нежелательно. Правильно проработать все аспекты безопасности и самостоятельно протестировать их — сложная и очень дорогая задача, при этом риск ошибки очень высок. Популярные решения на рынке уже многократно протестированы и отлажены. Поэтому целесообразнее и безопаснее использовать их.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Cloud-based — программное обеспечение развёрнуто в облаке.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таблице ниже — преимущества и ограничения обоих типов.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12510" cy="503428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503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Примеры сервисов для реализации IAM: AWS IAM, AWS Cognito, Firebase, Google Cloud, Microsoft Azure Active Directory (Entra), Okta, Kratos.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Модели предоставления доступа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Есть две модели разделения доступов — ролевая и атрибутивная. Как они работают и в чём между ними разница, удобнее рассмотреть на примере. Возьмём компанию по производству и продаже бионических протезов BionicPRO. Доступ к системе компании потребуется администраторам, покупателям и продавцам.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зависимости от роли доступ будет давать пользователям права на совершение разных операций. 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1643"/>
        <w:gridCol w:w="7995"/>
      </w:tblGrid>
      <w:tr>
        <w:trPr>
          <w:tblHeader w:val="true"/>
        </w:trPr>
        <w:tc>
          <w:tcPr>
            <w:tcW w:w="16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pacing w:val="0"/>
                <w:sz w:val="22"/>
                <w:szCs w:val="22"/>
              </w:rPr>
              <w:t>Роль</w:t>
            </w:r>
          </w:p>
        </w:tc>
        <w:tc>
          <w:tcPr>
            <w:tcW w:w="7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pacing w:val="0"/>
                <w:sz w:val="22"/>
                <w:szCs w:val="22"/>
              </w:rPr>
              <w:t>Права</w:t>
            </w:r>
          </w:p>
        </w:tc>
      </w:tr>
      <w:tr>
        <w:trPr/>
        <w:tc>
          <w:tcPr>
            <w:tcW w:w="16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Администратор</w:t>
            </w:r>
          </w:p>
        </w:tc>
        <w:tc>
          <w:tcPr>
            <w:tcW w:w="7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Просмотр и удаление всех заказов.</w:t>
            </w:r>
          </w:p>
        </w:tc>
      </w:tr>
      <w:tr>
        <w:trPr/>
        <w:tc>
          <w:tcPr>
            <w:tcW w:w="16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Покупатель</w:t>
            </w:r>
          </w:p>
        </w:tc>
        <w:tc>
          <w:tcPr>
            <w:tcW w:w="7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Создание и просмотр заказов без возможности их удаления.</w:t>
            </w:r>
          </w:p>
        </w:tc>
      </w:tr>
      <w:tr>
        <w:trPr/>
        <w:tc>
          <w:tcPr>
            <w:tcW w:w="1643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Продавцы</w:t>
            </w:r>
          </w:p>
        </w:tc>
        <w:tc>
          <w:tcPr>
            <w:tcW w:w="7995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Создание, просмотр и удаление заказов. Продавец не может удалить этот заказ, если протез готов и клиент его принял.</w:t>
            </w:r>
          </w:p>
        </w:tc>
      </w:tr>
    </w:tbl>
    <w:p>
      <w:pPr>
        <w:pStyle w:val="BodyText"/>
        <w:bidi w:val="0"/>
        <w:spacing w:before="6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Дальше разберём, как для такой системы реализовать ролевую и атрибутивную модели. Начнём с ролевой — с ней вы уже немного знакомы по задачам о безопасности данных.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Модель RBAC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Role-Based Access Control (RBAC) — модель разделения доступов к данным на основе ролей.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этой модели нужно определить, какие разрешения есть у пользователя, то есть какие действия в системе ему доступны. Дальше из этих разрешений нужно собрать роль.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Представьте, что роль — это лукошко, где лежат разные разрешения. Когда надо авторизовать пользователя на какое-либо действие, нужно посмотреть на его роль: есть ли в лукошке нужное разрешение.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Архитектура RBAC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RBAC состоит из таких сущностей: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Subject — субъект, к которому применяется модель.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Role — название роли пользователя, для которой определяется уровень доступа.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Permissions — действия, которые выполняет пользователь в системе.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Session — состояние, в рамках которого действует разрешение.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Механизм работы RBAC выглядит так: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76975" cy="2897505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 можно попробовать описать роли для системы управления заказами в BionicPRO с помощью модели RBAC.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RBAC Policy для системы управления заказами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Вот какие разрешения можно сформулировать: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VIEW_ALL_ORDERS: просмотр всех заказов,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VIEW_OWN_ORDERS: просмотр своих заказов,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CREATE_ORDER: создание заказа,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DELETE_ORDER: удаление заказа,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DELETE_OWN_ORDER: удаление своего заказа,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VIEW_DELETED_ORDER: просмотр удалённых заказов</w:t>
      </w:r>
    </w:p>
    <w:tbl>
      <w:tblPr>
        <w:tblW w:w="6037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2794"/>
        <w:gridCol w:w="859"/>
        <w:gridCol w:w="967"/>
        <w:gridCol w:w="1417"/>
      </w:tblGrid>
      <w:tr>
        <w:trPr>
          <w:tblHeader w:val="true"/>
        </w:trPr>
        <w:tc>
          <w:tcPr>
            <w:tcW w:w="27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Разрешение</w:t>
            </w:r>
          </w:p>
        </w:tc>
        <w:tc>
          <w:tcPr>
            <w:tcW w:w="8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ADMIN</w:t>
            </w:r>
          </w:p>
        </w:tc>
        <w:tc>
          <w:tcPr>
            <w:tcW w:w="9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SELLER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CUSTOMER</w:t>
            </w:r>
          </w:p>
        </w:tc>
      </w:tr>
      <w:tr>
        <w:trPr/>
        <w:tc>
          <w:tcPr>
            <w:tcW w:w="27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VIEW_ALL_ORDERS</w:t>
            </w:r>
          </w:p>
        </w:tc>
        <w:tc>
          <w:tcPr>
            <w:tcW w:w="8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9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27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VIEW_OWN_ORDERS</w:t>
            </w:r>
          </w:p>
        </w:tc>
        <w:tc>
          <w:tcPr>
            <w:tcW w:w="8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9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</w:tr>
      <w:tr>
        <w:trPr/>
        <w:tc>
          <w:tcPr>
            <w:tcW w:w="27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CREATE_ORDER</w:t>
            </w:r>
          </w:p>
        </w:tc>
        <w:tc>
          <w:tcPr>
            <w:tcW w:w="8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9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</w:tr>
      <w:tr>
        <w:trPr/>
        <w:tc>
          <w:tcPr>
            <w:tcW w:w="27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DELETE_ORDER</w:t>
            </w:r>
          </w:p>
        </w:tc>
        <w:tc>
          <w:tcPr>
            <w:tcW w:w="8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9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27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DELETE_OWN_ORDER</w:t>
            </w:r>
          </w:p>
        </w:tc>
        <w:tc>
          <w:tcPr>
            <w:tcW w:w="8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9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</w:tr>
      <w:tr>
        <w:trPr/>
        <w:tc>
          <w:tcPr>
            <w:tcW w:w="2794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VIEW_DELETED_ORDER</w:t>
            </w:r>
          </w:p>
        </w:tc>
        <w:tc>
          <w:tcPr>
            <w:tcW w:w="859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✓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1417" w:type="dxa"/>
            <w:tcBorders/>
            <w:tcMar>
              <w:bottom w:w="0" w:type="dxa"/>
            </w:tcMar>
            <w:vAlign w:val="center"/>
          </w:tcPr>
          <w:p>
            <w:pPr>
              <w:pStyle w:val="Style16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BodyText"/>
        <w:bidi w:val="0"/>
        <w:spacing w:before="6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видно из таблицы, у такой схемы есть ограничения: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Появляется много разрешений, которые описывают действия с одной и той же сущностью, например, «удалить заказ» и «удалить свой заказ». Со временем количество таких разрешений множится. Если, например, дополнительно разделить продавцов по филиалам, количество разрешений может очень резко вырасти. Предоставление доступов станет сложно поддерживать.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Модель даёт общее описание ролей, но не охватывает некоторые пользовательские сценарии. Например, ситуацию, когда нужно удалить заказ, который клиент уже принял.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Из-за этих ограничений логику работы по такой модели сложнее инкапсулировать в каком-либо фреймворке.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отличие от ролевой, атрибутивная модель позволяет описывать действия пользователей подробнее.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Модель ABAC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Attribute-Based Access Control (ABAC) — в этой модели доступ пользователю предоставляется на основе его атрибутов — объектов, действий, контекста.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Вместо ABAC часто встречаются названия Policy-Based Access Control (PBAC) и Claims-Based Access Control (CBAC), это синонимы.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отличие от RBAC, модель ABAC не ограничена ролью как несущей конструкцией для прав, поэтому она позволяет описывать много других атрибутов.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бывают категории атрибутов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Атрибуты субъекта: возраст, роль, департамент, должность.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Атрибуты действия: читать, просматривать, удалять, подтверждать.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Атрибуты объекта (то, в отношении чего делается запрос): запись в медкнижке, банковский аккаунт, локация.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каких стандартах применяется модель ABAC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5" w:anchor="CURRENT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eXtensible Access Control Markup Language (XACML)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самый популярный стандарт для ABAC. XACML предоставляет язык политик для описания требований безопасности и обработки запросов на доступ. Стандарт подходит для сложных систем со множеством разнообразных ресурсов и тонкой настройкой политик безопасности.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Abbreviated Language for Authorization (ALFA)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язык для создания политик XACML с более простым синтаксисом. ALFA подходит для организаций, которые хотят использовать возможности XACML, но нуждаются в более простом и понятном способе определения политик.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/>
      </w:pPr>
      <w:hyperlink r:id="rId7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Next Generation Access Control (NGAC)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стандарт для крупных организаций с высокими требованиями к масштабируемости. Обеспечивает высокий уровень безопасности. Его реализация может быть более сложной и требовательной к ресурсам по сравнению с другими стандартами.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7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8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Архитектура ABAC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ABAC состоит из таких сущностей: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Policy Enforcement Point (PEP) — ответственный за защиту приложений и данных, к которым вы хотите применить модель. Он проверяет запрос и генерирует авторизационный запрос, который отсылается в PDP.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Policy Decision Point (PDP) — «мозг» архитектуры, он проверяет входящий запрос на соответствие утверждённым политикам и возвращает положительный или отрицательный ответ для допуска. Если нужны дополнительные данные, PDP может обращаться к Policy Information Point — об этом в следующем пункте.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Policy Information Point (PIP) — источник информации для политики. Соединяет PDP с информацией из внешних источников (например, с базой данных).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Policy Administration Point (PAP) — точка управления политиками.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Механизм работы ABAC выглядит так: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446395" cy="3963670"/>
            <wp:effectExtent l="0" t="0" r="0" b="0"/>
            <wp:docPr id="9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396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0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PIP может получать данные из облачных хранилищ, базы данных и Lightweight Directory Access Protocol (LDAP, протокол прикладного уровня для доступа к службам каталогов). С первыми двумя вы уже знакомы, а с LDAP познакомитесь в следующем уроке. 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познакомились с устройством модели ABAC. Теперь можно посмотреть, как она работает на примере.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ABAC Policy для системы управления заказами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создать ABAC Policy для системы управления заказами, нужно сначала определить и перечислить её атрибуты, а затем реализовать задуманную логику — написать саму политику.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компании BionicPRO описание атрибутов может выглядеть так: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Субъекты (Users)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role: [administrator, customer, seller]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id: string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department: string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Объекты (Orders)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id: string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status: [created, in_progress, completed]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creator_id: string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customer_id: string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created_at: datetime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Действия (Actions)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view: просмотр заказа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create: создание заказа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delete: удаление заказа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Контекст (Environment)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current_time: datetime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is_business_hours: boolean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Этап 2. Реализация политики ABAC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 пора реализовать задуманную логику в политике. Ниже в коде мы описали предыдущий пример для RBAC языком политик ABAC, используя при этом стандарт XAСML. Синтаксис этих политик ABAC, если научиться считывать его основные элементы: Policy, Target, Rule, Condition, — они описаны в документации XACML. Советуем выделить время и познакомиться в деталях с этим примером, чтобы понять, как устроена описанная политика.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237B86"/>
          <w:sz w:val="22"/>
          <w:szCs w:val="22"/>
        </w:rPr>
        <w:t>&lt;?xml version=</w:t>
      </w:r>
      <w:r>
        <w:rPr>
          <w:rStyle w:val="Style13"/>
          <w:rFonts w:ascii="Calibri" w:hAnsi="Calibri"/>
          <w:color w:val="32A846"/>
          <w:sz w:val="22"/>
          <w:szCs w:val="22"/>
        </w:rPr>
        <w:t>"1.0"</w:t>
      </w:r>
      <w:r>
        <w:rPr>
          <w:rStyle w:val="Style13"/>
          <w:rFonts w:ascii="Calibri" w:hAnsi="Calibri"/>
          <w:color w:val="237B86"/>
          <w:sz w:val="22"/>
          <w:szCs w:val="22"/>
        </w:rPr>
        <w:t xml:space="preserve"> encoding=</w:t>
      </w:r>
      <w:r>
        <w:rPr>
          <w:rStyle w:val="Style13"/>
          <w:rFonts w:ascii="Calibri" w:hAnsi="Calibri"/>
          <w:color w:val="32A846"/>
          <w:sz w:val="22"/>
          <w:szCs w:val="22"/>
        </w:rPr>
        <w:t>"UTF-8"</w:t>
      </w:r>
      <w:r>
        <w:rPr>
          <w:rStyle w:val="Style13"/>
          <w:rFonts w:ascii="Calibri" w:hAnsi="Calibri"/>
          <w:color w:val="237B86"/>
          <w:sz w:val="22"/>
          <w:szCs w:val="22"/>
        </w:rPr>
        <w:t>?&gt;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PolicySet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xmlns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"urn:oasis:names:tc:xacml:3.0:core:schema:wd-17"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CA8D3D"/>
          <w:sz w:val="22"/>
          <w:szCs w:val="22"/>
        </w:rPr>
        <w:t>PolicySetId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"ProstheticOrdersPolicySet"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CA8D3D"/>
          <w:sz w:val="22"/>
          <w:szCs w:val="22"/>
        </w:rPr>
        <w:t>PolicyCombiningAlgId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"urn:oasis:names:tc:xacml:3.0:policy-combining-algorithm:permit-overrides"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CA8D3D"/>
          <w:sz w:val="22"/>
          <w:szCs w:val="22"/>
        </w:rPr>
        <w:t>Version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"1.0"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Description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&gt;Политики доступа для системы управления заказами протезов&lt;/</w:t>
      </w:r>
      <w:r>
        <w:rPr>
          <w:rStyle w:val="Style13"/>
          <w:rFonts w:ascii="Calibri" w:hAnsi="Calibri"/>
          <w:color w:val="FF4040"/>
          <w:sz w:val="22"/>
          <w:szCs w:val="22"/>
        </w:rPr>
        <w:t>Description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i/>
          <w:color w:val="5C6370"/>
          <w:sz w:val="22"/>
          <w:szCs w:val="22"/>
        </w:rPr>
        <w:t>&lt;!-- Политика для просмотра заказов --&gt;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Policy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PolicyId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"ViewOrderPolicy"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CA8D3D"/>
          <w:sz w:val="22"/>
          <w:szCs w:val="22"/>
        </w:rPr>
        <w:t>RuleCombiningAlgId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"urn:oasis:names:tc:xacml:3.0:rule-combining-algorithm:permit-overrides"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Target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AnyOf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AllOf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Match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MatchId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"urn:oasis:names:tc:xacml:1.0:function:string-equal"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&gt;view&lt;/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"urn:oasis:names:tc:xacml:3.0:attribute-category:action"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"action-id"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Match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AllOf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AnyOf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Target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Rule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RuleId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"ViewOrder-AdminRule"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Effect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"Permit"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Condition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FunctionId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"urn:oasis:names:tc:xacml:1.0:function:string-equal"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&gt;administrator&lt;/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"urn:oasis:names:tc:xacml:1.0:subject-category:access-subject"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"role"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Condition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Rule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Rule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RuleId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"ViewOrder-SellerRule"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Effect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"Permit"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Condition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FunctionId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"urn:oasis:names:tc:xacml:1.0:function:and"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FunctionId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"urn:oasis:names:tc:xacml:1.0:function:string-equal"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&gt;seller&lt;/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"urn:oasis:names:tc:xacml:1.0:subject-category:access-subject"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"role"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FunctionId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"urn:oasis:names:tc:xacml:1.0:function:string-equal"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"urn:oasis:names:tc:xacml:1.0:subject-category:access-subject"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"department"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"urn:oasis:names:tc:xacml:3.0:attribute-category:resource"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"department"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Condition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Rule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Policy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i/>
          <w:color w:val="5C6370"/>
          <w:sz w:val="22"/>
          <w:szCs w:val="22"/>
        </w:rPr>
        <w:t>&lt;!-- Политика для удаления заказов --&gt;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Policy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PolicyId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"DeleteOrderPolicy"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CA8D3D"/>
          <w:sz w:val="22"/>
          <w:szCs w:val="22"/>
        </w:rPr>
        <w:t>RuleCombiningAlgId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"urn:oasis:names:tc:xacml:3.0:rule-combining-algorithm:permit-overrides"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Target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AnyOf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AllOf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Match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MatchId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"urn:oasis:names:tc:xacml:1.0:function:string-equal"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&gt;delete&lt;/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"urn:oasis:names:tc:xacml:3.0:attribute-category:action"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"action-id"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Match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AllOf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AnyOf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Target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Rule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RuleId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"DeleteOrder-AdminRule"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Effect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"Permit"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Condition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FunctionId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"urn:oasis:names:tc:xacml:1.0:function:and"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FunctionId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"urn:oasis:names:tc:xacml:1.0:function:string-equal"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&gt;administrator&lt;/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"urn:oasis:names:tc:xacml:1.0:subject-category:access-subject"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"role"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FunctionId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"urn:oasis:names:tc:xacml:1.0:function:string-not-equal"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&gt;completed&lt;/</w:t>
      </w:r>
      <w:r>
        <w:rPr>
          <w:rStyle w:val="Style13"/>
          <w:rFonts w:ascii="Calibri" w:hAnsi="Calibri"/>
          <w:color w:val="FF4040"/>
          <w:sz w:val="22"/>
          <w:szCs w:val="22"/>
        </w:rPr>
        <w:t>AttributeValue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Style13"/>
          <w:rFonts w:ascii="Calibri" w:hAnsi="Calibri"/>
          <w:color w:val="FF4040"/>
          <w:sz w:val="22"/>
          <w:szCs w:val="22"/>
        </w:rPr>
        <w:t>AttributeDesignator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Category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"urn:oasis:names:tc:xacml:3.0:attribute-category:resource"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AttributeId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"status"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DataType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"http://www.w3.org/2001/XMLSchema#string"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Calibri" w:hAnsi="Calibri"/>
          <w:color w:val="CA8D3D"/>
          <w:sz w:val="22"/>
          <w:szCs w:val="22"/>
        </w:rPr>
        <w:t>MustBePresent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Style13"/>
          <w:rFonts w:ascii="Calibri" w:hAnsi="Calibri"/>
          <w:color w:val="32A846"/>
          <w:sz w:val="22"/>
          <w:szCs w:val="22"/>
        </w:rPr>
        <w:t>"true"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Apply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Condition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Rule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Policy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Style13"/>
          <w:rFonts w:ascii="Calibri" w:hAnsi="Calibri"/>
          <w:color w:val="FF4040"/>
          <w:sz w:val="22"/>
          <w:szCs w:val="22"/>
        </w:rPr>
        <w:t>PolicySet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&gt;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Готовый файл конфигурации можно загрузить в Policy Decision Point. У PDP могут быть свои требования к формату файла. Например, в Amazon Web Services, о котором речь пойдёт далее, используется собственный JSON-формат.</w:t>
      </w:r>
    </w:p>
    <w:p>
      <w:pPr>
        <w:pStyle w:val="BodyText"/>
        <w:bidi w:val="0"/>
        <w:spacing w:before="30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изучили две модели предоставления доступа — RBAC и ABAC. Различия между ними наглядно показаны в таблице ниже: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Модель ABAC часто используется для настройки доступов в облачных сервисах. Хотя и не всегда. Например, в Yandex Cloud используется модель RBAC. В следующем блоке вы узнаете, как работает настройка доступов облачных сервисах на примере облака Amazon Web Services (AWS).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82690" cy="8250555"/>
            <wp:effectExtent l="0" t="0" r="0" b="0"/>
            <wp:docPr id="11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690" cy="825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2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Реализация IAM в Amazon Web Services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единого входа SSO, аутентификации и авторизации конечных пользователей в Amazon Web Services используется сервис IAM — Cognito. Вот как он выглядит: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31890" cy="2916555"/>
            <wp:effectExtent l="0" t="0" r="0" b="0"/>
            <wp:docPr id="13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291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4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Здесь есть группы пользователей, пользователи, роли. К каждой роли добавляются политики.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82360" cy="2844165"/>
            <wp:effectExtent l="0" t="0" r="0" b="0"/>
            <wp:docPr id="15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284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6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выглядит политика в AWS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Политики могут быть описаны в специфичном для конкретного PDP формате. Политика в AWS называется AlexaForBusinessFullAccess. Она позволяет чётко описать, что может делать конкретный субъект. По умолчанию она даёт полный доступ субъекту ко всем сервисам, которые связывает AWS.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Посмотрите на пример написания политики:</w:t>
      </w:r>
    </w:p>
    <w:p>
      <w:pPr>
        <w:pStyle w:val="Style18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"Version": "2012-10-17",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"Statement": [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"Effect": "Allow",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"Action": [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"a4b:*",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"kms:DescribeKey"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"Resource": "*"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"Action": [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"iam:CreateServiceLinkedRole"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"Effect": "Allow",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"Resource": "*",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"Condition": 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"StringLike": 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"iam:AWSServiceName": [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"*a4b.amazonaws.com"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"Effect": "Allow",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"Action": [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"iam:DeleteServiceLinkedRole",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"iam:GetServiceLinkedRoleDeletionStatus"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"Resource": "arn:aws:iam::*:role/aws-service-role/*a4b.amazonaws.com/AWSServiceRoleForAlexaForBusiness*"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"Effect": "Allow",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"Action": [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"secretsmanager:GetSecretValue",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"secretsmanager:DeleteSecret",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"secretsmanager:UpdateSecret"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"Resource": "arn:aws:secretsmanager:*:*:secret:A4B*"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"Effect": "Allow",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"Action": "secretsmanager:CreateSecret",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"Resource": "*",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"Condition": 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"StringLike": {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"secretsmanager:Name": "A4B*"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>
      <w:pPr>
        <w:pStyle w:val="Style18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}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Из примера видно, что политика состоит из утверждений и каждое из них содержит: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эффект (Effect),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конкретные действия (Action),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какие ресурсы распространяется (Resource),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 каких условиях работает (Condition).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Такое описание позволяет ёмко выразить много ситуаций с предоставлением доступов.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из перечисленных преимуществ получит компания при внедрении любой реализации Identity and Access Management?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Повышение безопасности данных</w:t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7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13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14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18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87.4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Использование IAM позволяет тщательно настроить доступы сотрудникам и повысить безопасность данных.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Снижение затрат на управление доступами</w:t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9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15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16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20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45.1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IAM позволяет автоматизировать управление учётными записями и снизить нагрузку на администрирование процессов.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Снижение нагрузки на администраторов системы</w:t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1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17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18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2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Автоматическое управление доступами позволяет снизить нагрузку на специалистов по администрированию систем.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Снижение расходов на инфраструктуру</w:t>
      </w:r>
      <w:r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3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19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20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преимущество даёт только использование облачного решения.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Упрощение интеграции с системами управления проектами</w:t>
      </w: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4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21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22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Этого можно достичь, если использовать облачное решение IAM. При реализации On-premise решения нужно настраивать интеграции с другими системами самостоятельно.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Соответствие требованиям законодательства</w: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5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23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24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6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IAM позволяет эффективнее соблюсти требования законодательства к безопасности данных, в частности персональных.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Перенесите утверждения к моделям управления доступами, для которых они характерны.</w:t>
      </w:r>
    </w:p>
    <w:p>
      <w:pPr>
        <w:pStyle w:val="BodyText"/>
        <w:bidi w:val="0"/>
        <w:spacing w:before="225" w:after="0"/>
        <w:ind w:hanging="0" w:start="225" w:end="225"/>
        <w:jc w:val="center"/>
        <w:rPr>
          <w:rFonts w:ascii="Calibri" w:hAnsi="Calibri"/>
          <w:b/>
          <w:color w:val="1A1B22"/>
          <w:sz w:val="22"/>
          <w:szCs w:val="22"/>
          <w:shd w:fill="D8E4F5" w:val="clear"/>
        </w:rPr>
      </w:pPr>
      <w:r>
        <w:rPr>
          <w:rFonts w:ascii="Calibri" w:hAnsi="Calibri"/>
          <w:b/>
          <w:color w:val="1A1B22"/>
          <w:sz w:val="22"/>
          <w:szCs w:val="22"/>
          <w:shd w:fill="D8E4F5" w:val="clear"/>
        </w:rPr>
        <w:t>RBAC</w:t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6591300" cy="2095500"/>
                <wp:effectExtent l="0" t="0" r="0" b="0"/>
                <wp:wrapNone/>
                <wp:docPr id="27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2095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19pt;height:165pt;mso-wrap-distance-left:0pt;mso-wrap-distance-right:0pt;mso-wrap-distance-top:0pt;mso-wrap-distance-bottom:0pt;margin-top:0pt;mso-position-vertical:top;mso-position-vertical-relative:text;margin-left:-209.1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60" w:before="60" w:after="60"/>
        <w:ind w:hanging="0" w:start="360" w:end="360"/>
        <w:jc w:val="start"/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  <w:t>Сложнее в администрировании при росте численности организации</w:t>
      </w: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5811520"/>
                <wp:effectExtent l="0" t="0" r="0" b="0"/>
                <wp:wrapNone/>
                <wp:docPr id="28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58115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300" w:end="300"/>
                              <w:jc w:val="start"/>
                              <w:rPr/>
                            </w:pPr>
                            <w:r>
                              <w:rPr/>
                              <w:t>Сложнее в администрировании при росте численности организации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457.6pt;mso-wrap-distance-left:0pt;mso-wrap-distance-right:0pt;mso-wrap-distance-top:0pt;mso-wrap-distance-bottom:0pt;margin-top:-24.0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300" w:end="300"/>
                        <w:jc w:val="start"/>
                        <w:rPr/>
                      </w:pPr>
                      <w:r>
                        <w:rPr/>
                        <w:t>Сложнее в администрировании при росте численности организации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60" w:before="60" w:after="60"/>
        <w:ind w:hanging="0" w:start="360" w:end="360"/>
        <w:jc w:val="start"/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  <w:t>Обладает высокой производительностью</w:t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395980"/>
                <wp:effectExtent l="0" t="0" r="0" b="0"/>
                <wp:wrapNone/>
                <wp:docPr id="29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3959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300" w:end="300"/>
                              <w:jc w:val="start"/>
                              <w:rPr/>
                            </w:pPr>
                            <w:r>
                              <w:rPr/>
                              <w:t>Обладает высокой производительностью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67.4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300" w:end="300"/>
                        <w:jc w:val="start"/>
                        <w:rPr/>
                      </w:pPr>
                      <w:r>
                        <w:rPr/>
                        <w:t>Обладает высокой производительностью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60" w:before="60" w:after="60"/>
        <w:ind w:hanging="0" w:start="360" w:end="360"/>
        <w:jc w:val="start"/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  <w:t>Позволяет легко проводить аудит систем</w:t>
      </w:r>
      <w:r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0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300" w:end="300"/>
                              <w:jc w:val="start"/>
                              <w:rPr/>
                            </w:pPr>
                            <w:r>
                              <w:rPr/>
                              <w:t>Позволяет легко проводить аудит систем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300" w:end="300"/>
                        <w:jc w:val="start"/>
                        <w:rPr/>
                      </w:pPr>
                      <w:r>
                        <w:rPr/>
                        <w:t>Позволяет легко проводить аудит систем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225" w:after="0"/>
        <w:ind w:hanging="0" w:start="225" w:end="225"/>
        <w:jc w:val="center"/>
        <w:rPr>
          <w:rFonts w:ascii="Calibri" w:hAnsi="Calibri"/>
          <w:b/>
          <w:color w:val="1A1B22"/>
          <w:sz w:val="22"/>
          <w:szCs w:val="22"/>
          <w:shd w:fill="FF77BF" w:val="clear"/>
        </w:rPr>
      </w:pPr>
      <w:r>
        <w:rPr>
          <w:rFonts w:ascii="Calibri" w:hAnsi="Calibri"/>
          <w:b/>
          <w:color w:val="1A1B22"/>
          <w:sz w:val="22"/>
          <w:szCs w:val="22"/>
          <w:shd w:fill="FF77BF" w:val="clear"/>
        </w:rPr>
        <w:t>ABAC</w:t>
      </w:r>
    </w:p>
    <w:p>
      <w:pPr>
        <w:pStyle w:val="BodyText"/>
        <w:bidi w:val="0"/>
        <w:spacing w:lineRule="atLeast" w:line="360" w:before="60" w:after="60"/>
        <w:ind w:hanging="0" w:start="360" w:end="360"/>
        <w:jc w:val="start"/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  <w:t>Подходит для крупных организаций</w:t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1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300" w:end="300"/>
                              <w:jc w:val="start"/>
                              <w:rPr/>
                            </w:pPr>
                            <w:r>
                              <w:rPr/>
                              <w:t>Подходит для крупных организаций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300" w:end="300"/>
                        <w:jc w:val="start"/>
                        <w:rPr/>
                      </w:pPr>
                      <w:r>
                        <w:rPr/>
                        <w:t>Подходит для крупных организаций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60" w:before="60" w:after="60"/>
        <w:ind w:hanging="0" w:start="360" w:end="360"/>
        <w:jc w:val="start"/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  <w:t>Обладает высокой гибкостью настроек</w:t>
      </w:r>
      <w:r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395980"/>
                <wp:effectExtent l="0" t="0" r="0" b="0"/>
                <wp:wrapNone/>
                <wp:docPr id="32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3959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300" w:end="300"/>
                              <w:jc w:val="start"/>
                              <w:rPr/>
                            </w:pPr>
                            <w:r>
                              <w:rPr/>
                              <w:t>Обладает высокой гибкостью настроек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67.4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300" w:end="300"/>
                        <w:jc w:val="start"/>
                        <w:rPr/>
                      </w:pPr>
                      <w:r>
                        <w:rPr/>
                        <w:t>Обладает высокой гибкостью настроек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60" w:before="60" w:after="60"/>
        <w:ind w:hanging="0" w:start="360" w:end="360"/>
        <w:jc w:val="start"/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:shd w:fill="FFFFFF" w:val="clear"/>
          <w14:textFill>
            <w14:solidFill>
              <w14:srgbClr w14:val="000000">
                <w14:alpha w14:val="15000"/>
              </w14:srgbClr>
            </w14:solidFill>
          </w14:textFill>
        </w:rPr>
        <w:t>Требует больше времени и сил при внедрении и поддержке</w:t>
      </w:r>
      <w: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5006340"/>
                <wp:effectExtent l="0" t="0" r="0" b="0"/>
                <wp:wrapNone/>
                <wp:docPr id="33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50063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300" w:end="300"/>
                              <w:jc w:val="start"/>
                              <w:rPr/>
                            </w:pPr>
                            <w:r>
                              <w:rPr/>
                              <w:t>Требует больше времени и сил при внедрении и поддержке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94.2pt;mso-wrap-distance-left:0pt;mso-wrap-distance-right:0pt;mso-wrap-distance-top:0pt;mso-wrap-distance-bottom:0pt;margin-top:-107.3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300" w:end="300"/>
                        <w:jc w:val="start"/>
                        <w:rPr/>
                      </w:pPr>
                      <w:r>
                        <w:rPr/>
                        <w:t>Требует больше времени и сил при внедрении и поддержке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  <w:r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9434830"/>
                <wp:effectExtent l="0" t="0" r="0" b="0"/>
                <wp:wrapNone/>
                <wp:docPr id="34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94348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Правильных ответов: 6, неправильных ответов: 0.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42.9pt;mso-wrap-distance-left:0pt;mso-wrap-distance-right:0pt;mso-wrap-distance-top:0pt;mso-wrap-distance-bottom:0pt;margin-top:-481.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Правильных ответов: 6, неправильных ответов: 0.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Выберите подходящую модель управления доступом для описанных ситуаций.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 банка сложная организационная структура из нескольких филиалов в разных странах, за сотрудниками чётко закреплены функции. Необходимо настроить доступ для корпоративной информационной системы.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E36563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E36563"/>
          <w14:textFill>
            <w14:solidFill>
              <w14:srgbClr w14:val="000000">
                <w14:alpha w14:val="15000"/>
              </w14:srgbClr>
            </w14:solidFill>
          </w14:textFill>
        </w:rPr>
        <w:t>RBAC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E36563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E36563"/>
          <w:sz w:val="22"/>
          <w:szCs w:val="22"/>
        </w:rPr>
        <w:t>Несмотря на чёткое закрепление функций за сотрудниками, для банков со сложной структурой подойдёт настройка доступов с помощью ABAC. Эта модель более гибкая и позволит более безопасно настроить доступы.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государственной организации работает 50 сотрудников, у каждого есть набор прав доступа к информации. Численность сотрудников за последние 3 года менялась не более, чем на 5%.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RBAC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 государственных организациях системы ролей и политики устроены сложно и распространяются на федеральном уровне. Обычно в таких случаях подходит модель ABAC. Но в этом примере речь о небольшом учреждении, численность сотрудников меняется незначительно, поэтому можно использовать модель RBAC.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Приложение компании численностью 350 сотрудников построено по монолитной архитектуре. DAU не превышает 500. Нужно быстро и просто управлять правами пользователей.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RBAC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Обе модели можно использовать и в микросервисной, и в монолитной архитектурах. Но для компании с небольшим количеством пользователей подойдёт модель RBAC. Она позволит быстро настроить доступы и экономить время и силы на её поддержку.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Приложение компании за год выросло с 300 до 800 сотрудников, и это было ожидаемо. Отделы продолжают формироваться. Руководство хочет настроить выдачу доступов сотрудникам к нужным системам. Желательно сделать это как можно быстрее, но самое главное — сохранить безопасность данных.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ABAC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 условиях активного ожидаемого роста компании подойдёт модель ABAC. Она потребует больше времени на внедрение. Но точно позволит выполнить главную для руководства цель — обеспечить безопасность данных.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Сеть клиник с множеством филиалов хранит петабайты данных и должна обеспечивать доступ к ним только тем специалистам, которые работают с пациентом.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ABAC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Данные о пациентах конфиденциальны, их безопасность должна быть на очень высоком уровне. С учётом большого количества филиалов клиники модель ABAC сможет обеспечить безопасное хранение и обработку данных.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Коммерческий проект использует межсервисную шину данных, построенную по микросервисной архитектуре. Есть множество пользовательских сценариев, единого описания у них нет. Компании важно повысить безопасность хранения и обработки данных.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ABAC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Модель ABAC позволяет настраивать доступы для сложных процессов, у которых нет чёткого описания.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Компания работает на международном рынке и соблюдает юридические и географические ограничения в странах присутствия.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ABAC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Для соблюдения требований других стран подойдёт модель ABAC. С помощью настройки атрибутов, использовании LDAP, Keycloak, а также Federated Identity можно обеспечить безопасный доступ к данным сотрудников разных странах.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 том, как это сделать, вы узнаете в следующем уроке.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IAM управляет идентификацией пользователей и их доступом в систему, помогает экономить ресурсы на управление учётными записями и обеспечить безопасность данных.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Есть два типа реализации IAM — On-premise и Cloud-based. При реализации On-premise программное обеспечение развёрнуто на собственных серверах компании. При реализации Cloud-based оно развёрнуто в облаке.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Доступы в IAM могут разделяться по двум моделями — ролевой и атрибутивной.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Role-Based Access Control (RBAC) — модель разделения доступов к данным на основе ролей. Роль включает в себя разрешения — то, какие действия доступны пользователю. Эта модель подходит небольшим и средним организациям с чёткой структурой. Её можно быстро настроить и относительно легко поддерживать, но сложно масштабировать.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Attribute-Based Access Control (ABAC) — в этой модели доступ пользователю предоставляется на основе его атрибутов — объектов, действий, контекста. Эту модель сложнее реализовать и поддерживать, но она подходит крупным организациям со сложной структурой. Она позволяет настраивать доступы для сложных процессов без чёткого описания и обеспечивает высокую безопасность данных.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oasis.connectedcommunity.org/communities/tc-community-home2?CommunityKey=67afe552-0921-49b7-9a85-018dc7d3ef1d" TargetMode="External"/><Relationship Id="rId6" Type="http://schemas.openxmlformats.org/officeDocument/2006/relationships/hyperlink" Target="https://alfa.guide/abbreviatedlanguageforauthorization-alfa/" TargetMode="External"/><Relationship Id="rId7" Type="http://schemas.openxmlformats.org/officeDocument/2006/relationships/hyperlink" Target="https://www.nist.gov/identity-access-management/policy-machine-and-next-generation-access-control" TargetMode="Externa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control" Target="activeX/activeX1.xml"/><Relationship Id="rId14" Type="http://schemas.openxmlformats.org/officeDocument/2006/relationships/control" Target="activeX/activeX2.xml"/><Relationship Id="rId15" Type="http://schemas.openxmlformats.org/officeDocument/2006/relationships/control" Target="activeX/activeX3.xml"/><Relationship Id="rId16" Type="http://schemas.openxmlformats.org/officeDocument/2006/relationships/control" Target="activeX/activeX4.xml"/><Relationship Id="rId17" Type="http://schemas.openxmlformats.org/officeDocument/2006/relationships/control" Target="activeX/activeX5.xml"/><Relationship Id="rId18" Type="http://schemas.openxmlformats.org/officeDocument/2006/relationships/control" Target="activeX/activeX6.xml"/><Relationship Id="rId19" Type="http://schemas.openxmlformats.org/officeDocument/2006/relationships/control" Target="activeX/activeX7.xml"/><Relationship Id="rId20" Type="http://schemas.openxmlformats.org/officeDocument/2006/relationships/control" Target="activeX/activeX8.xml"/><Relationship Id="rId21" Type="http://schemas.openxmlformats.org/officeDocument/2006/relationships/control" Target="activeX/activeX9.xml"/><Relationship Id="rId22" Type="http://schemas.openxmlformats.org/officeDocument/2006/relationships/control" Target="activeX/activeX10.xml"/><Relationship Id="rId23" Type="http://schemas.openxmlformats.org/officeDocument/2006/relationships/control" Target="activeX/activeX11.xml"/><Relationship Id="rId24" Type="http://schemas.openxmlformats.org/officeDocument/2006/relationships/control" Target="activeX/activeX12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19</Pages>
  <Words>2473</Words>
  <Characters>19202</Characters>
  <CharactersWithSpaces>23829</CharactersWithSpaces>
  <Paragraphs>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2026-03-24T18:36:40Z</dcterms:created>
  <dc:creator/>
  <dc:description/>
  <dc:language>ru-RU</dc:language>
  <cp:lastModifiedBy/>
  <dcterms:modified xsi:type="dcterms:W3CDTF">2026-03-24T18:40:22Z</dcterms:modified>
  <cp:revision>1</cp:revision>
  <dc:subject/>
  <dc:title/>
</cp:coreProperties>
</file>