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Computational Drug Repurposing for Crohn's Disease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NOD2 R702W Mutation Carriers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Tanmay Vasudeva &amp; Zavier Hayat | January 2026</w:t>
      </w: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t xml:space="preserve">This project identifies FDA-approved drugs that may treat Crohn's disease in patients carrying the R702W NOD2 mutation. Using a multi-stage computational pipeline, we screened 9,566 compounds, validated candidates through molecular dynamics, and identified febuxostat as the lead candidate with enhanced binding to the R702W mutant protein.</w:t>
      </w:r>
    </w:p>
    <w:p>
      <w:pPr>
        <w:pStyle w:val="Heading2"/>
      </w:pPr>
      <w:r>
        <w:t xml:space="preserve">Key Findings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 Compound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Febuxostat</w:t>
            </w:r>
            <w:r>
              <w:t xml:space="preserve"> (FDA-approved for gout)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R702W vs WT Binding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ΔΔE = -2.7 kcal/mol</w:t>
            </w:r>
            <w:r>
              <w:t xml:space="preserve"> (stronger binding to mutant)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 Significance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95% CI: [-2.9, -0.2], </w:t>
            </w:r>
            <w:r>
              <w:rPr>
                <w:b/>
                <w:bCs/>
              </w:rPr>
              <w:t xml:space="preserve">p &lt; 0.05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Model Performance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AUC-ROC = 0.90</w:t>
            </w:r>
            <w:r>
              <w:t xml:space="preserve"> (scaffold CV: 0.92 ± 0.03)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Clinical Trial Power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88.1%</w:t>
            </w:r>
            <w:r>
              <w:t xml:space="preserve"> with 210 patients (Phase II design)</w:t>
            </w:r>
          </w:p>
        </w:tc>
      </w:tr>
    </w:tbl>
    <w:p>
      <w:pPr>
        <w:pStyle w:val="Heading1"/>
      </w:pPr>
      <w:r>
        <w:t xml:space="preserve">2. Computational Pipeline</w:t>
      </w:r>
    </w:p>
    <w:p>
      <w:pPr>
        <w:pStyle w:val="Heading2"/>
      </w:pPr>
      <w:r>
        <w:t xml:space="preserve">Phase 1-3: Virtual Screening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DrugBank + Natural Products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9,566 compounds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GNINA (CNN scoring)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2,129 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XGBoost + Morgan FP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AUC-ROC = 0.90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Lipinski + Veber + PAINS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144 pass (72%)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Drug Candidates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 compounds</w:t>
            </w:r>
          </w:p>
        </w:tc>
      </w:tr>
    </w:tbl>
    <w:p>
      <w:pPr>
        <w:pStyle w:val="Heading2"/>
      </w:pPr>
      <w:r>
        <w:t xml:space="preserve">Phase 4-7: Molecular Dynamics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Simulations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25 simulations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Simulation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~540 ns</w:t>
            </w:r>
            <w:r>
              <w:t xml:space="preserve"> (20 ns × 25 + equilibration)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Mutations Tested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R702W, G908R (vs Wild-Type)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Ligands Tested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Febuxostat, Natural Product, Budesonide, Ursodiol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 Field (Protein)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AMBER14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Force Field (Ligand)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OpenFF 2.1.0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Convergence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52%</w:t>
            </w:r>
            <w:r>
              <w:t xml:space="preserve"> (13/25 converged)</w:t>
            </w:r>
          </w:p>
        </w:tc>
      </w:tr>
    </w:tbl>
    <w:p>
      <w:pPr>
        <w:pStyle w:val="Heading2"/>
      </w:pPr>
      <w:r>
        <w:t xml:space="preserve">Phase 8: MM-GBSA Binding Energy Analysis</w:t>
      </w:r>
    </w:p>
    <w:p>
      <w:pPr>
        <w:spacing w:after="100"/>
      </w:pPr>
      <w:r>
        <w:t xml:space="preserve">Binding energies calculated using MM-GBSA with bound-state filtering (contacts ≥ 75) and bootstrap confidence intervals (1,000 resamples).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ΔΔE (kcal/mol)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95% CI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b/>
                <w:bCs/>
              </w:rPr>
              <w:t xml:space="preserve">R702W vs WT (Febuxostat)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b/>
                <w:bCs/>
              </w:rPr>
              <w:t xml:space="preserve">-2.7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t xml:space="preserve">[-2.9, -0.2]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b/>
                <w:bCs/>
                <w:color w:val="196f3d"/>
              </w:rPr>
              <w:t xml:space="preserve">SIGNIFICANT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G908R vs WT (Febuxostat)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-1.7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[-2.8, +0.3]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significant</w:t>
            </w:r>
          </w:p>
        </w:tc>
      </w:tr>
    </w:tbl>
    <w:p>
      <w:pPr>
        <w:pStyle w:val="Heading1"/>
      </w:pPr>
      <w:r>
        <w:t xml:space="preserve">3. Free Energy Perturbation (FEP) Validation</w:t>
      </w:r>
    </w:p>
    <w:p>
      <w:pPr>
        <w:spacing w:after="100"/>
      </w:pPr>
      <w:r>
        <w:t xml:space="preserve">FEP calculations are being performed to rigorously validate the MM-GBSA results using alchemical free energy methods.</w:t>
      </w:r>
    </w:p>
    <w:p>
      <w:pPr>
        <w:pStyle w:val="Heading2"/>
      </w:pPr>
      <w:r>
        <w:t xml:space="preserve">FEP Setup (Completed)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Absolute Binding FEP with ligand decoupling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wt_complex, mut_complex, solvent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WT Complex Atoms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205,277</w:t>
            </w:r>
            <w:r>
              <w:t xml:space="preserve"> (ARG 702, +1 charge)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Mutant Complex Atoms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205,272</w:t>
            </w:r>
            <w:r>
              <w:t xml:space="preserve"> (TRP 702, 0 charge)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Solvent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1,333 atoms</w:t>
            </w:r>
            <w:r>
              <w:t xml:space="preserve"> (ligand + water + 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Lambda Windows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19 per system</w:t>
            </w:r>
            <w:r>
              <w:t xml:space="preserve"> (10 electrostatic, 9 steric)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Boresch Restraints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DOF (1 distance, 2 angles, 3 dihedrals)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Protein Anchors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ASP1011 CA, ASP1035 CA, GLU1008 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Ligand Anchors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N1x, C10x, C2x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Equilibrium Distance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4.11 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State Correction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7.402 kcal/mol</w:t>
            </w:r>
          </w:p>
        </w:tc>
      </w:tr>
    </w:tbl>
    <w:p>
      <w:pPr>
        <w:pStyle w:val="Heading2"/>
      </w:pPr>
      <w:r>
        <w:t xml:space="preserve">FEP Execution Progress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Windows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Windows 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wt_complex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mut_complex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60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t xml:space="preserve">12% complete</w:t>
            </w:r>
          </w:p>
        </w:tc>
      </w:tr>
    </w:tbl>
    <w:p>
      <w:pPr>
        <w:pStyle w:val="Heading2"/>
      </w:pPr>
      <w:r>
        <w:t xml:space="preserve">Test Window Results (Window 00)</w:t>
      </w:r>
    </w:p>
    <w:p>
      <w:pPr>
        <w:pStyle w:val="ListParagraph"/>
        <w:numPr>
          <w:ilvl w:val="0"/>
          <w:numId w:val="2"/>
        </w:numPr>
      </w:pPr>
      <w:r>
        <w:t xml:space="preserve">Platform: CUDA (RTX 4060 Ti)</w:t>
      </w:r>
    </w:p>
    <w:p>
      <w:pPr>
        <w:pStyle w:val="ListParagraph"/>
        <w:numPr>
          <w:ilvl w:val="0"/>
          <w:numId w:val="2"/>
        </w:numPr>
      </w:pPr>
      <w:r>
        <w:t xml:space="preserve">Performance: ~49 ns/day</w:t>
      </w:r>
    </w:p>
    <w:p>
      <w:pPr>
        <w:pStyle w:val="ListParagraph"/>
        <w:numPr>
          <w:ilvl w:val="0"/>
          <w:numId w:val="2"/>
        </w:numPr>
      </w:pPr>
      <w:r>
        <w:t xml:space="preserve">NVT production energy: -2,739,702.4 kJ/mol (stable)</w:t>
      </w:r>
    </w:p>
    <w:p>
      <w:pPr>
        <w:pStyle w:val="ListParagraph"/>
        <w:numPr>
          <w:ilvl w:val="0"/>
          <w:numId w:val="2"/>
        </w:numPr>
      </w:pPr>
      <w:r>
        <w:t xml:space="preserve">u_nk.npy shape: (1000, 20) ✓</w:t>
      </w:r>
    </w:p>
    <w:p>
      <w:pPr>
        <w:pStyle w:val="ListParagraph"/>
        <w:numPr>
          <w:ilvl w:val="0"/>
          <w:numId w:val="2"/>
        </w:numPr>
      </w:pPr>
      <w:r>
        <w:t xml:space="preserve">Time per window: ~20-30 minutes</w:t>
      </w:r>
    </w:p>
    <w:p>
      <w:pPr>
        <w:pStyle w:val="Heading2"/>
      </w:pPr>
      <w:r>
        <w:t xml:space="preserve">FEP Analysis Formula</w:t>
      </w:r>
    </w:p>
    <w:p>
      <w:pPr>
        <w:spacing w:after="100"/>
      </w:pPr>
      <w:r>
        <w:t xml:space="preserve">The absolute binding free energy will be calculated using:</w:t>
      </w:r>
    </w:p>
    <w:p>
      <w:pPr>
        <w:shd w:fill="f5f5f5" w:val="clear"/>
        <w:spacing w:before="100" w:after="100"/>
        <w:jc w:val="center"/>
      </w:pPr>
      <w:r>
        <w:rPr>
          <w:b/>
          <w:bCs/>
          <w:sz w:val="24"/>
          <w:szCs w:val="24"/>
        </w:rPr>
        <w:t xml:space="preserve">ΔG_bind = ΔG_solvent - ΔG_complex + ΔG_correction</w:t>
      </w:r>
    </w:p>
    <w:p>
      <w:pPr>
        <w:spacing w:after="200"/>
      </w:pPr>
      <w:r>
        <w:t xml:space="preserve">Where ΔG_correction = 7.402 kcal/mol (standard state correction from Boresch restraints)</w:t>
      </w:r>
    </w:p>
    <w:p>
      <w:pPr>
        <w:pStyle w:val="Heading1"/>
      </w:pPr>
      <w:r>
        <w:t xml:space="preserve">4. Machine Learning Model (NOD2-Scout)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XGBoost Classifier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2048-bit Morgan FP + 10 descriptors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AUC-ROC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0.9005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Scaffold CV AUC-ROC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0.9177 ± 0.0326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Random-Scaffold Gap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0.024 (low overfitting)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728 compounds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 compounds</w:t>
            </w:r>
          </w:p>
        </w:tc>
      </w:tr>
    </w:tbl>
    <w:p>
      <w:pPr>
        <w:pStyle w:val="Heading1"/>
      </w:pPr>
      <w:r>
        <w:t xml:space="preserve">5. Clinical Significance</w:t>
      </w:r>
    </w:p>
    <w:p>
      <w:pPr>
        <w:pStyle w:val="Heading2"/>
      </w:pPr>
      <w:r>
        <w:t xml:space="preserve">Precision Medicine Stratification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Genotype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WT NOD2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Febuxostat candidate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binding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b/>
                <w:bCs/>
              </w:rPr>
              <w:t xml:space="preserve">R702W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b/>
                <w:bCs/>
              </w:rPr>
              <w:t xml:space="preserve">Enhanced response 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t xml:space="preserve">-2.7 kcal/mol (p&lt;0.05)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G908R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Febuxostat candidate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Similar to WT, 100% conv.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</w:tcPr>
          <w:p>
            <w:r>
              <w:t xml:space="preserve">L1007fs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</w:tcPr>
          <w:p>
            <w:r>
              <w:rPr>
                <w:b/>
                <w:bCs/>
              </w:rPr>
              <w:t xml:space="preserve">Alternative therapy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</w:tcPr>
          <w:p>
            <w:r>
              <w:t xml:space="preserve">Binding site ablated</w:t>
            </w:r>
          </w:p>
        </w:tc>
      </w:tr>
    </w:tbl>
    <w:p>
      <w:pPr>
        <w:pStyle w:val="Heading1"/>
      </w:pPr>
      <w:r>
        <w:t xml:space="preserve">6. Timeline &amp; Next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ISEF Forms + Research Plan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</w:tcPr>
          <w:p>
            <w:r>
              <w:rPr>
                <w:color w:val="196f3d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14-17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FEP simulations (60 windows)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color w:val="856404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17-18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MBAR analysis + ΔΔG calculation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 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DEADLINE: Forms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Feb 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Fort Worth Regional Science Fair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38 days</w:t>
            </w:r>
          </w:p>
        </w:tc>
      </w:tr>
    </w:tbl>
    <w:p>
      <w:pPr>
        <w:pStyle w:val="Heading1"/>
      </w:pPr>
      <w:r>
        <w:t xml:space="preserve">7. Summary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Compounds Screened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9,566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MD Simulations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Simulation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~540 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MM-GBSA Frames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1,250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Bootstrap Resamples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FEP Windows (total)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60</w:t>
            </w:r>
            <w:r>
              <w:t xml:space="preserve"> (7 complete)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Clinical Trial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88.1%</w:t>
            </w:r>
            <w:r>
              <w:t xml:space="preserve"> (210 patients)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Generated: January 14, 2026 | ISEF 2026 - Translational Medical Science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NOD2 Drug Repurposing Project - ISEF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5276"/>
      <w:sz w:val="48"/>
      <w:szCs w:val="48"/>
    </w:rPr>
  </w:style>
  <w:style w:type="paragraph" w:styleId="Heading1">
    <w:name w:val="Heading 1"/>
    <w:basedOn w:val="Normal"/>
    <w:qFormat/>
    <w:pPr>
      <w:spacing w:before="300" w:after="150"/>
    </w:pPr>
    <w:rPr>
      <w:b/>
      <w:bCs/>
      <w:color w:val="2874a6"/>
      <w:sz w:val="32"/>
      <w:szCs w:val="32"/>
    </w:rPr>
  </w:style>
  <w:style w:type="paragraph" w:styleId="Heading2">
    <w:name w:val="Heading 2"/>
    <w:basedOn w:val="Normal"/>
    <w:qFormat/>
    <w:pPr>
      <w:spacing w:before="200" w:after="100"/>
    </w:pPr>
    <w:rPr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2026-01-14T18:19:11.303Z</dcterms:created>
  <dcterms:modified xsi:type="dcterms:W3CDTF">2026-01-14T18:19:11.303Z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