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Research Plan</w:t>
      </w:r>
    </w:p>
    <w:p>
      <w:pPr>
        <w:spacing w:after="120"/>
      </w:pPr>
      <w:r>
        <w:rPr>
          <w:b/>
          <w:bCs/>
        </w:rPr>
        <w:t xml:space="preserve">Student Name: </w:t>
      </w:r>
      <w:r>
        <w:t xml:space="preserve">Tanmay Vasudeva</w:t>
      </w:r>
    </w:p>
    <w:p>
      <w:pPr>
        <w:spacing w:after="120"/>
      </w:pPr>
      <w:r>
        <w:rPr>
          <w:b/>
          <w:bCs/>
        </w:rPr>
        <w:t xml:space="preserve">Project Title: </w:t>
      </w:r>
      <w:r>
        <w:t xml:space="preserve">NOD2-Scout: A Machine Learning and Free Energy Perturbation Pipeline for Identifying Mutation-Resistant Therapeutics in Crohn's Disease</w:t>
      </w:r>
    </w:p>
    <w:p>
      <w:pPr>
        <w:spacing w:after="240"/>
      </w:pPr>
      <w:r>
        <w:rPr>
          <w:b/>
          <w:bCs/>
        </w:rPr>
        <w:t xml:space="preserve">Category: </w:t>
      </w:r>
      <w:r>
        <w:t xml:space="preserve">Translational Medical Science</w:t>
      </w:r>
    </w:p>
    <w:p>
      <w:pPr>
        <w:spacing w:before="240" w:after="120"/>
      </w:pPr>
      <w:r>
        <w:rPr>
          <w:b/>
          <w:bCs/>
        </w:rPr>
        <w:t xml:space="preserve">Rationale:</w:t>
      </w:r>
    </w:p>
    <w:p>
      <w:pPr>
        <w:spacing w:after="120"/>
      </w:pPr>
      <w:r>
        <w:t xml:space="preserve">Crohn's disease affects over 3 million Americans, causing chronic intestinal inflammation and significantly reducing quality of life. The NOD2 gene harbors the strongest genetic risk factor for Crohn's disease, with the R702W mutation increasing disease susceptibility by up to 40-fold. This mutation disrupts NOD2's ability to detect bacterial cell wall components and mount appropriate immune responses, leading to dysregulated inflammation.</w:t>
      </w:r>
    </w:p>
    <w:p>
      <w:pPr>
        <w:spacing w:after="120"/>
      </w:pPr>
      <w:r>
        <w:t xml:space="preserve">Despite NOD2's established role in Crohn's pathogenesis, no FDA-approved drugs specifically target this protein. Current treatments address downstream inflammation rather than the root cause and often lose efficacy or cause serious side effects. A 2025 study demonstrated that NOD2's leucine-rich repeat (LRR) domain is druggable, yet therapeutic development remains unexplored. As someone living with Crohn's disease carrying the R702W mutation, I am motivated to identify precision medicine approaches that could benefit mutation carriers. Drug repurposing offers a faster path to clinical application since safety profiles are already established.</w:t>
      </w:r>
    </w:p>
    <w:p>
      <w:pPr>
        <w:spacing w:before="240" w:after="120"/>
      </w:pPr>
      <w:r>
        <w:rPr>
          <w:b/>
          <w:bCs/>
        </w:rPr>
        <w:t xml:space="preserve">Research Question/Hypothesis:</w:t>
      </w:r>
    </w:p>
    <w:p>
      <w:pPr>
        <w:spacing w:after="120"/>
      </w:pPr>
      <w:r>
        <w:rPr>
          <w:b/>
          <w:bCs/>
        </w:rPr>
        <w:t xml:space="preserve">Research Question: </w:t>
      </w:r>
      <w:r>
        <w:t xml:space="preserve">Can computational screening identify existing compounds that bind the NOD2 LRR domain and maintain binding affinity in the presence of the disease-associated R702W mutation?</w:t>
      </w:r>
    </w:p>
    <w:p>
      <w:pPr>
        <w:spacing w:after="120"/>
      </w:pPr>
      <w:r>
        <w:rPr>
          <w:b/>
          <w:bCs/>
        </w:rPr>
        <w:t xml:space="preserve">Hypothesis: </w:t>
      </w:r>
      <w:r>
        <w:t xml:space="preserve">Using a multi-stage computational pipeline combining molecular docking, machine learning, molecular dynamics simulations, and free energy perturbation calculations, I will identify drug candidates that bind the NOD2 LRR domain with preserved or enhanced affinity in the R702W mutant compared to wild-type, making them suitable for mutation-agnostic therapy.</w:t>
      </w:r>
    </w:p>
    <w:p>
      <w:pPr>
        <w:spacing w:after="120"/>
      </w:pPr>
      <w:r>
        <w:rPr>
          <w:b/>
          <w:bCs/>
        </w:rPr>
        <w:t xml:space="preserve">Expected Outcomes: </w:t>
      </w:r>
      <w:r>
        <w:t xml:space="preserve">(1) Identification of compounds with favorable NOD2 LRR binding characteristics; (2) Quantification of mutation effects on drug binding using gold-standard free energy methods; (3) Discovery of mutation-resistant candidates suitable for genotype-agnostic therapy.</w:t>
      </w:r>
    </w:p>
    <w:p>
      <w:pPr>
        <w:spacing w:before="240" w:after="120"/>
      </w:pPr>
      <w:r>
        <w:rPr>
          <w:b/>
          <w:bCs/>
        </w:rPr>
        <w:t xml:space="preserve">Materials:</w:t>
      </w:r>
    </w:p>
    <w:p>
      <w:pPr>
        <w:spacing w:after="80"/>
      </w:pPr>
      <w:r>
        <w:rPr>
          <w:i/>
          <w:iCs/>
        </w:rPr>
        <w:t xml:space="preserve">Computational Resources:</w:t>
      </w:r>
    </w:p>
    <w:p>
      <w:pPr>
        <w:spacing w:after="60"/>
      </w:pPr>
      <w:r>
        <w:t xml:space="preserve">- Personal workstation: AMD Ryzen processor, NVIDIA RTX 4060 Ti GPU (8 GB VRAM)</w:t>
      </w:r>
    </w:p>
    <w:p>
      <w:pPr>
        <w:spacing w:after="60"/>
      </w:pPr>
      <w:r>
        <w:t xml:space="preserve">- Cloud computing: VAST.ai GPU instances (NVIDIA A100/H200)</w:t>
      </w:r>
    </w:p>
    <w:p>
      <w:pPr>
        <w:spacing w:after="120"/>
      </w:pPr>
      <w:r>
        <w:t xml:space="preserve">- Total computational time: approximately 600 GPU-hours</w:t>
      </w:r>
    </w:p>
    <w:p>
      <w:pPr>
        <w:spacing w:after="80"/>
      </w:pPr>
      <w:r>
        <w:rPr>
          <w:i/>
          <w:iCs/>
        </w:rPr>
        <w:t xml:space="preserve">Software:</w:t>
      </w:r>
    </w:p>
    <w:p>
      <w:pPr>
        <w:spacing w:after="60"/>
      </w:pPr>
      <w:r>
        <w:t xml:space="preserve">- GNINA 1.0 (molecular docking with CNN scoring)</w:t>
      </w:r>
    </w:p>
    <w:p>
      <w:pPr>
        <w:spacing w:after="60"/>
      </w:pPr>
      <w:r>
        <w:t xml:space="preserve">- OpenMM 8.2 (molecular dynamics simulations)</w:t>
      </w:r>
    </w:p>
    <w:p>
      <w:pPr>
        <w:spacing w:after="60"/>
      </w:pPr>
      <w:r>
        <w:t xml:space="preserve">- OpenFF 2.1.0 Sage and AMBER ff14SB force fields</w:t>
      </w:r>
    </w:p>
    <w:p>
      <w:pPr>
        <w:spacing w:after="60"/>
      </w:pPr>
      <w:r>
        <w:t xml:space="preserve">- pymbar 4.0 (MBAR free energy analysis)</w:t>
      </w:r>
    </w:p>
    <w:p>
      <w:pPr>
        <w:spacing w:after="60"/>
      </w:pPr>
      <w:r>
        <w:t xml:space="preserve">- XGBoost (machine learning gradient boosting)</w:t>
      </w:r>
    </w:p>
    <w:p>
      <w:pPr>
        <w:spacing w:after="120"/>
      </w:pPr>
      <w:r>
        <w:t xml:space="preserve">- RDKit, PyMOL (cheminformatics and visualization)</w:t>
      </w:r>
    </w:p>
    <w:p>
      <w:pPr>
        <w:spacing w:after="80"/>
      </w:pPr>
      <w:r>
        <w:rPr>
          <w:i/>
          <w:iCs/>
        </w:rPr>
        <w:t xml:space="preserve">Data Sources:</w:t>
      </w:r>
    </w:p>
    <w:p>
      <w:pPr>
        <w:spacing w:after="60"/>
      </w:pPr>
      <w:r>
        <w:t xml:space="preserve">- DrugBank 5.0: 2,152 FDA-approved drugs (https://go.drugbank.com/)</w:t>
      </w:r>
    </w:p>
    <w:p>
      <w:pPr>
        <w:spacing w:after="60"/>
      </w:pPr>
      <w:r>
        <w:t xml:space="preserve">- COCONUT database: 7,414 natural products (https://coconut.naturalproducts.net/)</w:t>
      </w:r>
    </w:p>
    <w:p>
      <w:pPr>
        <w:spacing w:after="60"/>
      </w:pPr>
      <w:r>
        <w:t xml:space="preserve">- AlphaFold2 NOD2 structure (UniProt: Q9HC29)</w:t>
      </w:r>
    </w:p>
    <w:p>
      <w:pPr>
        <w:spacing w:after="120"/>
      </w:pPr>
      <w:r>
        <w:t xml:space="preserve">- PDB structure 5IRM (rabbit NOD2 for validation)</w:t>
      </w:r>
    </w:p>
    <w:p>
      <w:pPr>
        <w:spacing w:before="240" w:after="120"/>
      </w:pPr>
      <w:r>
        <w:rPr>
          <w:b/>
          <w:bCs/>
        </w:rPr>
        <w:t xml:space="preserve">Procedures:</w:t>
      </w:r>
    </w:p>
    <w:p>
      <w:pPr>
        <w:spacing w:after="100"/>
      </w:pPr>
      <w:r>
        <w:rPr>
          <w:b/>
          <w:bCs/>
        </w:rPr>
        <w:t xml:space="preserve">Phase 1 - Structure Preparation: </w:t>
      </w:r>
      <w:r>
        <w:t xml:space="preserve">I will retrieve the human NOD2 AlphaFold2 structure and validate it against the rabbit NOD2 crystal structure (PDB: 5IRM). I will prepare the protein for docking by adding hydrogens and assigning protonation states at pH 7.4, then define a docking grid centered on the LRR domain binding pocket.</w:t>
      </w:r>
    </w:p>
    <w:p>
      <w:pPr>
        <w:spacing w:after="100"/>
      </w:pPr>
      <w:r>
        <w:rPr>
          <w:b/>
          <w:bCs/>
        </w:rPr>
        <w:t xml:space="preserve">Phase 2 - Library Assembly: </w:t>
      </w:r>
      <w:r>
        <w:t xml:space="preserve">I will download FDA-approved drugs from DrugBank and natural products from COCONUT. I will generate 3D conformers and assign AM1-BCC partial charges using RDKit. Total library: 9,566 compounds.</w:t>
      </w:r>
    </w:p>
    <w:p>
      <w:pPr>
        <w:spacing w:after="100"/>
      </w:pPr>
      <w:r>
        <w:rPr>
          <w:b/>
          <w:bCs/>
        </w:rPr>
        <w:t xml:space="preserve">Phase 3 - Virtual Screening: </w:t>
      </w:r>
      <w:r>
        <w:t xml:space="preserve">I will perform GPU-accelerated docking using GNINA with CNN rescoring (exhaustiveness=32, 9 poses per compound). I will select the top 500 compounds by affinity score for further analysis.</w:t>
      </w:r>
    </w:p>
    <w:p>
      <w:pPr>
        <w:spacing w:after="100"/>
      </w:pPr>
      <w:r>
        <w:rPr>
          <w:b/>
          <w:bCs/>
        </w:rPr>
        <w:t xml:space="preserve">Phase 4 - Machine Learning (NOD2-Scout): </w:t>
      </w:r>
      <w:r>
        <w:t xml:space="preserve">I will train an XGBoost classifier on 2048-bit Morgan fingerprints with scaffold-split cross-validation. I will re-rank candidates and identify the top 50 hits for molecular dynamics.</w:t>
      </w:r>
    </w:p>
    <w:p>
      <w:pPr>
        <w:spacing w:after="100"/>
      </w:pPr>
      <w:r>
        <w:rPr>
          <w:b/>
          <w:bCs/>
        </w:rPr>
        <w:t xml:space="preserve">Phase 5 - ADMET Filtering: </w:t>
      </w:r>
      <w:r>
        <w:t xml:space="preserve">I will apply Lipinski's Rule of Five and predict pharmacokinetic properties. I will retain candidates with favorable drug-likeness profiles for simulation.</w:t>
      </w:r>
    </w:p>
    <w:p>
      <w:pPr>
        <w:spacing w:after="100"/>
      </w:pPr>
      <w:r>
        <w:rPr>
          <w:b/>
          <w:bCs/>
        </w:rPr>
        <w:t xml:space="preserve">Phase 6 - Molecular Dynamics: </w:t>
      </w:r>
      <w:r>
        <w:t xml:space="preserve">I will prepare protein-ligand complexes in OpenMM with TIP3P-FB water and 0.15 M NaCl. I will run 20 ns production MD per system (4 fs timestep, hydrogen mass repartitioning) for both wild-type and R702W mutant NOD2 with each candidate.</w:t>
      </w:r>
    </w:p>
    <w:p>
      <w:pPr>
        <w:spacing w:after="100"/>
      </w:pPr>
      <w:r>
        <w:rPr>
          <w:b/>
          <w:bCs/>
        </w:rPr>
        <w:t xml:space="preserve">Phase 7 - Free Energy Perturbation: </w:t>
      </w:r>
      <w:r>
        <w:t xml:space="preserve">I will build a thermodynamic cycle with 60 lambda windows per compound. I will sample 1 ns per window with softcore potentials and analyze via MBAR to calculate ΔΔG = ΔG(R702W) - ΔG(WT) with bootstrap uncertainties to quantify the mutation effect on binding.</w:t>
      </w:r>
    </w:p>
    <w:p>
      <w:pPr>
        <w:spacing w:before="240" w:after="120"/>
      </w:pPr>
      <w:r>
        <w:rPr>
          <w:b/>
          <w:bCs/>
        </w:rPr>
        <w:t xml:space="preserve">Risk Assessment:</w:t>
      </w:r>
    </w:p>
    <w:p>
      <w:pPr>
        <w:spacing w:after="120"/>
      </w:pPr>
      <w:r>
        <w:t xml:space="preserve">This is a purely computational project involving no physical experiments, hazardous chemicals, biological agents, or vertebrate animals. All work will be performed on personal computers and cloud computing resources. Computational risks (data loss, software errors) will be mitigated through regular backups and version-controlled environments. No specific safety measures are required.</w:t>
      </w:r>
    </w:p>
    <w:p>
      <w:pPr>
        <w:spacing w:before="240" w:after="120"/>
      </w:pPr>
      <w:r>
        <w:rPr>
          <w:b/>
          <w:bCs/>
        </w:rPr>
        <w:t xml:space="preserve">Data Analysis:</w:t>
      </w:r>
    </w:p>
    <w:p>
      <w:pPr>
        <w:spacing w:after="100"/>
      </w:pPr>
      <w:r>
        <w:t xml:space="preserve">I will rank docking results by CNN affinity scores and visualize binding poses in PyMOL. I will evaluate machine learning model performance with AUC-ROC curves, precision-recall, and confusion matrices using scaffold-split cross-validation. I will assess molecular dynamics stability via RMSD/RMSF plots and protein-ligand contact occupancy analysis. For free energy calculations, I will use MBAR for ΔG with uncertainties; ΔΔG will quantify mutation effect. I will assess statistical significance via z-score (z = ΔΔG/σ); z &gt; 2 indicates p &lt; 0.05. Results will be presented as bar charts with error bars and summary tables.</w:t>
      </w:r>
    </w:p>
    <w:p>
      <w:pPr>
        <w:spacing w:before="240" w:after="120"/>
      </w:pPr>
      <w:r>
        <w:rPr>
          <w:b/>
          <w:bCs/>
        </w:rPr>
        <w:t xml:space="preserve">Bibliography:</w:t>
      </w:r>
    </w:p>
    <w:p>
      <w:pPr>
        <w:spacing w:after="80"/>
      </w:pPr>
      <w:r>
        <w:t xml:space="preserve">Negroni, A., et al. (2018). NOD2 and inflammation: Current insights. Journal of Inflammation Research, 11, 49-60.</w:t>
      </w:r>
    </w:p>
    <w:p>
      <w:pPr>
        <w:spacing w:after="80"/>
      </w:pPr>
      <w:r>
        <w:t xml:space="preserve">Eastman, P., et al. (2017). OpenMM 7: Rapid development of high performance algorithms for molecular dynamics. PLOS Computational Biology, 13(7), e1005659.</w:t>
      </w:r>
    </w:p>
    <w:p>
      <w:pPr>
        <w:spacing w:after="80"/>
      </w:pPr>
      <w:r>
        <w:t xml:space="preserve">McNutt, A. T., et al. (2021). GNINA 1.0: Molecular docking with deep learning. Journal of Cheminformatics, 13(1), 43.</w:t>
      </w:r>
    </w:p>
    <w:p>
      <w:pPr>
        <w:spacing w:after="80"/>
      </w:pPr>
      <w:r>
        <w:t xml:space="preserve">Wang, L., et al. (2015). Accurate and reliable prediction of relative ligand binding potency in prospective drug discovery. Journal of the American Chemical Society, 137(7), 2695-2703.</w:t>
      </w:r>
    </w:p>
    <w:p>
      <w:pPr>
        <w:spacing w:after="80"/>
      </w:pPr>
      <w:r>
        <w:t xml:space="preserve">Shirts, M. R., &amp; Chodera, J. D. (2008). Statistically optimal analysis of samples from multiple equilibrium states. Journal of Chemical Physics, 129(12), 124105.</w:t>
      </w:r>
    </w:p>
    <w:p>
      <w:pPr>
        <w:spacing w:after="80"/>
      </w:pPr>
      <w:r>
        <w:t xml:space="preserve">Boyle, J. P., et al. (2014). Insights into the molecular basis of NOD2 signaling. Open Biology, 4(12), 140178.</w:t>
      </w:r>
    </w:p>
    <w:p>
      <w:pPr>
        <w:spacing w:before="240" w:after="120"/>
      </w:pPr>
      <w:r>
        <w:rPr>
          <w:b/>
          <w:bCs/>
        </w:rPr>
        <w:t xml:space="preserve">AI Tool Disclosure:</w:t>
      </w:r>
    </w:p>
    <w:p>
      <w:pPr>
        <w:spacing w:after="120"/>
      </w:pPr>
      <w:r>
        <w:t xml:space="preserve">AI tools (Claude) may be used minimally during the early stages of the project for assistance with code debugging. All usage will be documented in the laboratory notebook. All experimental design, data collection, analysis, interpretation, and writing will be performed independently by the student.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2026-01-20T02:15:11.239Z</dcterms:created>
  <dcterms:modified xsi:type="dcterms:W3CDTF">2026-01-20T02:15:11.240Z</dcterms:modified>
</cp:coreProperties>
</file>

<file path=docProps/custom.xml><?xml version="1.0" encoding="utf-8"?>
<Properties xmlns="http://schemas.openxmlformats.org/officeDocument/2006/custom-properties" xmlns:vt="http://schemas.openxmlformats.org/officeDocument/2006/docPropsVTypes"/>
</file>