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Times New Roman" w:cs="Times New Roman" w:eastAsia="Times New Roman" w:hAnsi="Times New Roman"/>
          <w:b/>
          <w:bCs/>
          <w:sz w:val="32"/>
          <w:szCs w:val="32"/>
        </w:rPr>
        <w:t xml:space="preserve">Deep Learning-Guided Discovery and Free Energy Perturbation</w:t>
      </w:r>
    </w:p>
    <w:p>
      <w:pPr>
        <w:spacing w:after="200"/>
        <w:jc w:val="center"/>
      </w:pPr>
      <w:r>
        <w:rPr>
          <w:rFonts w:ascii="Times New Roman" w:cs="Times New Roman" w:eastAsia="Times New Roman" w:hAnsi="Times New Roman"/>
          <w:b/>
          <w:bCs/>
          <w:sz w:val="32"/>
          <w:szCs w:val="32"/>
        </w:rPr>
        <w:t xml:space="preserve">Validation of NOD2 Binders for the R702W Crohn’s Variant</w:t>
      </w:r>
    </w:p>
    <w:p>
      <w:pPr>
        <w:spacing w:after="600"/>
      </w:pPr>
    </w:p>
    <w:p>
      <w:pPr>
        <w:spacing w:after="80"/>
        <w:jc w:val="center"/>
      </w:pPr>
      <w:r>
        <w:rPr>
          <w:rFonts w:ascii="Times New Roman" w:cs="Times New Roman" w:eastAsia="Times New Roman" w:hAnsi="Times New Roman"/>
          <w:sz w:val="28"/>
          <w:szCs w:val="28"/>
        </w:rPr>
        <w:t xml:space="preserve">Tanmay Vasudeva</w:t>
      </w:r>
    </w:p>
    <w:p>
      <w:pPr>
        <w:spacing w:after="80"/>
        <w:jc w:val="center"/>
      </w:pPr>
      <w:r>
        <w:rPr>
          <w:rFonts w:ascii="Times New Roman" w:cs="Times New Roman" w:eastAsia="Times New Roman" w:hAnsi="Times New Roman"/>
          <w:i/>
          <w:iCs/>
          <w:sz w:val="24"/>
          <w:szCs w:val="24"/>
        </w:rPr>
        <w:t xml:space="preserve">Independent Researcher</w:t>
      </w:r>
    </w:p>
    <w:p>
      <w:pPr>
        <w:spacing w:after="400"/>
        <w:jc w:val="center"/>
      </w:pPr>
      <w:r>
        <w:rPr>
          <w:rFonts w:ascii="Times New Roman" w:cs="Times New Roman" w:eastAsia="Times New Roman" w:hAnsi="Times New Roman"/>
          <w:sz w:val="24"/>
          <w:szCs w:val="24"/>
        </w:rPr>
        <w:t xml:space="preserve">Texas Virtual Academy at Hallsville</w:t>
      </w:r>
    </w:p>
    <w:p>
      <w:pPr>
        <w:sectPr>
          <w:pgSz w:w="12240" w:h="15840" w:orient="portrait"/>
          <w:pgMar w:top="1440" w:right="1440" w:bottom="1440" w:left="1440" w:header="708" w:footer="708" w:gutter="0"/>
          <w:pgNumType/>
          <w:docGrid w:linePitch="360"/>
        </w:sectPr>
      </w:pPr>
    </w:p>
    <w:p>
      <w:pPr>
        <w:pStyle w:val="Heading1"/>
        <w:spacing w:before="280" w:after="160"/>
      </w:pPr>
      <w:r>
        <w:rPr>
          <w:rFonts w:ascii="Times New Roman" w:cs="Times New Roman" w:eastAsia="Times New Roman" w:hAnsi="Times New Roman"/>
          <w:b/>
          <w:bCs/>
          <w:sz w:val="24"/>
          <w:szCs w:val="24"/>
        </w:rPr>
        <w:t xml:space="preserve">ABSTRACT</w:t>
      </w:r>
    </w:p>
    <w:p>
      <w:pPr>
        <w:spacing w:after="120" w:line="360"/>
      </w:pPr>
      <w:r>
        <w:rPr>
          <w:rFonts w:ascii="Times New Roman" w:cs="Times New Roman" w:eastAsia="Times New Roman" w:hAnsi="Times New Roman"/>
          <w:sz w:val="24"/>
          <w:szCs w:val="24"/>
        </w:rPr>
        <w:t xml:space="preserve">Crohn’s disease (CD) is a chronic inflammatory bowel disorder affecting over 3 million Americans, with the R702W missense mutation in nucleotide-binding oligomerization domain-containing protein 2 (NOD2) representing the strongest single-gene risk factor, conferring up to 40-fold increased susceptibility. Despite NOD2’s central role in innate immune signaling, no approved therapeutics target this protein directly. This study presents a six-stage computational drug discovery pipeline to identify genotype-specific NOD2 binders. A library of 9,566 compounds (2,152 FDA-approved drugs and 7,414 natural products) was screened via GPU-accelerated molecular docking with convolutional neural network (CNN) rescoring using GNINA. A custom XGBoost classifier (NOD2-Scout) with scaffold-split validation (AUC 0.85–0.93) provided orthogonal filtering, followed by ADMET profiling. Top candidates underwent 520 nanoseconds of all-atom molecular dynamics (MD) simulation across 26 trajectories, revealing that R702W induces allosteric stiffening (wild-type RMSD 4.05 Å vs. R702W 3.27 Å) despite the mutation being 79.4 Å from the leucine-rich repeat (LRR) binding pocket. Absolute binding free energy perturbation (FEP) calculations using 120 lambda windows with MBAR analysis demonstrated that febuxostat exhibits significant mutation sensitivity (ΔΔG = +2.34 ± 0.26 kcal/mol, 8σ, p &lt; 0.001, ~50-fold reduced affinity), while the natural product bufadienolide shows a mutation-resistant trend (ΔΔG = −0.44 ± 0.37 kcal/mol, 1.8σ, NS). These findings represent the first FEP study on NOD2 ligands and the first report of bufadienolide–NOD2 binding, establishing a framework for genotype-informed precision therapeutics in inflammatory bowel disease.</w:t>
      </w:r>
    </w:p>
    <w:p>
      <w:pPr>
        <w:spacing w:after="12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NOD2, R702W, Crohn’s disease, drug discovery, molecular docking, machine learning, molecular dynamics, free energy perturbation, precision medicine, computational biology</w:t>
      </w:r>
    </w:p>
    <w:p>
      <w:pPr>
        <w:pStyle w:val="Heading1"/>
        <w:spacing w:before="280" w:after="160"/>
      </w:pPr>
      <w:r>
        <w:rPr>
          <w:rFonts w:ascii="Times New Roman" w:cs="Times New Roman" w:eastAsia="Times New Roman" w:hAnsi="Times New Roman"/>
          <w:b/>
          <w:bCs/>
          <w:sz w:val="24"/>
          <w:szCs w:val="24"/>
        </w:rPr>
        <w:t xml:space="preserve">INTRODUCTION</w:t>
      </w:r>
    </w:p>
    <w:p>
      <w:pPr>
        <w:spacing w:after="120" w:line="360"/>
        <w:ind w:firstLine="720"/>
      </w:pPr>
      <w:r>
        <w:rPr>
          <w:rFonts w:ascii="Times New Roman" w:cs="Times New Roman" w:eastAsia="Times New Roman" w:hAnsi="Times New Roman"/>
          <w:sz w:val="24"/>
          <w:szCs w:val="24"/>
        </w:rPr>
        <w:t xml:space="preserve">Crohn’s disease (CD) is a chronic relapsing inflammatory bowel disorder characterized by transmural inflammation of the gastrointestinal tract, affecting approximately 3.1 million adults in the United States (Dahlhamer et al., 2016). The nucleotide-binding oligomerization domain-containing protein 2 (NOD2) serves as an intracellular innate immune sensor that detects muramyl dipeptide (MDP), a conserved component of bacterial peptidoglycan, and activates the nuclear factor kappa-light-chain-enhancer of activated B cells (NF-κB) signaling cascade through receptor-interacting serine/threonine-protein kinase 2 (RIPK2) (Ogura et al., 2001; Inohara et al., 2003).</w:t>
      </w:r>
    </w:p>
    <w:p>
      <w:pPr>
        <w:spacing w:after="120" w:line="360"/>
        <w:ind w:firstLine="720"/>
      </w:pPr>
      <w:r>
        <w:rPr>
          <w:rFonts w:ascii="Times New Roman" w:cs="Times New Roman" w:eastAsia="Times New Roman" w:hAnsi="Times New Roman"/>
          <w:sz w:val="24"/>
          <w:szCs w:val="24"/>
        </w:rPr>
        <w:t xml:space="preserve">The R702W missense mutation (rs2066844) in NOD2 represents the strongest single-gene risk factor for CD, with heterozygous carriers exhibiting 2–4-fold increased risk and homozygous carriers experiencing up to 40-fold elevated susceptibility (Hugot et al., 2001). This variant substitutes a positively charged arginine residue with a bulky, neutral tryptophan in the helical domain 2 (HD2), resulting in impaired MDP recognition and attenuated NF-κB activation. Paradoxically, this loss of innate immune function leads to chronic inflammation through compensatory adaptive immune overactivation (Philpott et al., 2014).</w:t>
      </w:r>
    </w:p>
    <w:p>
      <w:pPr>
        <w:spacing w:after="120" w:line="360"/>
        <w:ind w:firstLine="720"/>
      </w:pPr>
      <w:r>
        <w:rPr>
          <w:rFonts w:ascii="Times New Roman" w:cs="Times New Roman" w:eastAsia="Times New Roman" w:hAnsi="Times New Roman"/>
          <w:sz w:val="24"/>
          <w:szCs w:val="24"/>
        </w:rPr>
        <w:t xml:space="preserve">Despite NOD2’s well-established role in CD pathogenesis, a systematic review of the literature reveals no approved therapeutics targeting NOD2 directly. Current CD treatments, including anti-TNF biologics, corticosteroids, and immunomodulators, address downstream inflammation rather than the upstream molecular defect. Furthermore, these treatments are administered without regard to NOD2 genotype, representing a missed opportunity for precision medicine.</w:t>
      </w:r>
    </w:p>
    <w:p>
      <w:pPr>
        <w:spacing w:after="120" w:line="360"/>
        <w:ind w:firstLine="720"/>
      </w:pPr>
      <w:r>
        <w:rPr>
          <w:rFonts w:ascii="Times New Roman" w:cs="Times New Roman" w:eastAsia="Times New Roman" w:hAnsi="Times New Roman"/>
          <w:sz w:val="24"/>
          <w:szCs w:val="24"/>
        </w:rPr>
        <w:t xml:space="preserve">This study addresses this gap by presenting a six-stage computational drug discovery pipeline designed to identify compounds that bind NOD2’s LRR domain and to evaluate their sensitivity to the R702W mutation. The pipeline integrates GPU-accelerated molecular docking, machine learning classification, ADMET filtering, all-atom molecular dynamics simulation, and absolute binding free energy perturbation calculations. By comparing binding energetics across wild-type and R702W variants, this work establishes a framework for genotype-informed therapeutic selection.</w:t>
      </w:r>
    </w:p>
    <w:p>
      <w:pPr>
        <w:spacing w:after="120" w:line="360"/>
        <w:ind w:firstLine="720"/>
      </w:pPr>
      <w:r>
        <w:rPr>
          <w:rFonts w:ascii="Times New Roman" w:cs="Times New Roman" w:eastAsia="Times New Roman" w:hAnsi="Times New Roman"/>
          <w:sz w:val="24"/>
          <w:szCs w:val="24"/>
        </w:rPr>
        <w:t xml:space="preserve">This research is motivated by personal experience. The author is a Crohn’s disease patient carrying the R702W mutation, and the author of the memoir </w:t>
      </w:r>
      <w:r>
        <w:rPr>
          <w:rFonts w:ascii="Times New Roman" w:cs="Times New Roman" w:eastAsia="Times New Roman" w:hAnsi="Times New Roman"/>
          <w:i/>
          <w:iCs/>
          <w:sz w:val="24"/>
          <w:szCs w:val="24"/>
        </w:rPr>
        <w:t xml:space="preserve">What The Pain Left Behind</w:t>
      </w:r>
      <w:r>
        <w:rPr>
          <w:rFonts w:ascii="Times New Roman" w:cs="Times New Roman" w:eastAsia="Times New Roman" w:hAnsi="Times New Roman"/>
          <w:sz w:val="24"/>
          <w:szCs w:val="24"/>
        </w:rPr>
        <w:t xml:space="preserve">, which documents the lived experience of chronic inflammatory disease from diagnosis through ongoing management. The intersection of personal disease burden with the complete absence of NOD2-targeted therapeutics provided both the scientific question and the urgency to pursue it. This project was conducted entirely independently, without institutional affiliation, laboratory access, or mentorship, on consumer-grade hardware, demonstrating that meaningful computational drug discovery is accessible beyond traditional academic and pharmaceutical settings.</w:t>
      </w:r>
    </w:p>
    <w:p>
      <w:pPr>
        <w:pStyle w:val="Heading1"/>
        <w:spacing w:before="280" w:after="160"/>
      </w:pPr>
      <w:r>
        <w:rPr>
          <w:rFonts w:ascii="Times New Roman" w:cs="Times New Roman" w:eastAsia="Times New Roman" w:hAnsi="Times New Roman"/>
          <w:b/>
          <w:bCs/>
          <w:sz w:val="24"/>
          <w:szCs w:val="24"/>
        </w:rPr>
        <w:t xml:space="preserve">MATERIALS AND METHODS</w:t>
      </w:r>
    </w:p>
    <w:p>
      <w:pPr>
        <w:pStyle w:val="Heading2"/>
        <w:spacing w:before="200" w:after="120"/>
      </w:pPr>
      <w:r>
        <w:rPr>
          <w:rFonts w:ascii="Times New Roman" w:cs="Times New Roman" w:eastAsia="Times New Roman" w:hAnsi="Times New Roman"/>
          <w:b/>
          <w:bCs/>
          <w:i/>
          <w:iCs/>
          <w:sz w:val="24"/>
          <w:szCs w:val="24"/>
        </w:rPr>
        <w:t xml:space="preserve">2.1 Compound Library Assembly</w:t>
      </w:r>
    </w:p>
    <w:p>
      <w:pPr>
        <w:spacing w:after="120" w:line="360"/>
        <w:ind w:firstLine="720"/>
      </w:pPr>
      <w:r>
        <w:rPr>
          <w:rFonts w:ascii="Times New Roman" w:cs="Times New Roman" w:eastAsia="Times New Roman" w:hAnsi="Times New Roman"/>
          <w:sz w:val="24"/>
          <w:szCs w:val="24"/>
        </w:rPr>
        <w:t xml:space="preserve">A dual-source compound library of 9,566 molecules was assembled. FDA-approved drugs (n = 2,152) were obtained from the e-Drug3D database (Pihan et al., 2012), representing repurposing candidates with established safety profiles. Natural products (n = 7,414) were sourced from the COCONUT database (Sorokina et al., 2021), providing chemically diverse scaffolds unexplored in NOD2 research. All structures were prepared as 3D conformers with appropriate protonation states at physiological pH 7.4 using Open Babel.</w:t>
      </w:r>
    </w:p>
    <w:p>
      <w:pPr>
        <w:pStyle w:val="Heading2"/>
        <w:spacing w:before="200" w:after="120"/>
      </w:pPr>
      <w:r>
        <w:rPr>
          <w:rFonts w:ascii="Times New Roman" w:cs="Times New Roman" w:eastAsia="Times New Roman" w:hAnsi="Times New Roman"/>
          <w:b/>
          <w:bCs/>
          <w:i/>
          <w:iCs/>
          <w:sz w:val="24"/>
          <w:szCs w:val="24"/>
        </w:rPr>
        <w:t xml:space="preserve">2.2 Protein Structure Preparation</w:t>
      </w:r>
    </w:p>
    <w:p>
      <w:pPr>
        <w:spacing w:after="120" w:line="360"/>
        <w:ind w:firstLine="720"/>
      </w:pPr>
      <w:r>
        <w:rPr>
          <w:rFonts w:ascii="Times New Roman" w:cs="Times New Roman" w:eastAsia="Times New Roman" w:hAnsi="Times New Roman"/>
          <w:sz w:val="24"/>
          <w:szCs w:val="24"/>
        </w:rPr>
        <w:t xml:space="preserve">The full-length human NOD2 structure was obtained from the AlphaFold Protein Structure Database (Jumper et al., 2021; Varadi et al., 2022), as no experimental full-length human NOD2 structure is available. The only experimental structure (PDB: 5IRM) represents rabbit NOD2 and lacks the LRR domain critical for ligand binding. The AlphaFold model demonstrated high confidence in the LRR region (pLDDT &gt; 90). The R702W variant was generated by in silico mutagenesis followed by local energy minimization. The docking grid was centered on the concave face of the LRR domain with a 30 × 30 × 30 Å search box.</w:t>
      </w:r>
    </w:p>
    <w:p>
      <w:pPr>
        <w:pStyle w:val="Heading2"/>
        <w:spacing w:before="200" w:after="120"/>
      </w:pPr>
      <w:r>
        <w:rPr>
          <w:rFonts w:ascii="Times New Roman" w:cs="Times New Roman" w:eastAsia="Times New Roman" w:hAnsi="Times New Roman"/>
          <w:b/>
          <w:bCs/>
          <w:i/>
          <w:iCs/>
          <w:sz w:val="24"/>
          <w:szCs w:val="24"/>
        </w:rPr>
        <w:t xml:space="preserve">2.3 Molecular Docking</w:t>
      </w:r>
    </w:p>
    <w:p>
      <w:pPr>
        <w:spacing w:after="120" w:line="360"/>
        <w:ind w:firstLine="720"/>
      </w:pPr>
      <w:r>
        <w:rPr>
          <w:rFonts w:ascii="Times New Roman" w:cs="Times New Roman" w:eastAsia="Times New Roman" w:hAnsi="Times New Roman"/>
          <w:sz w:val="24"/>
          <w:szCs w:val="24"/>
        </w:rPr>
        <w:t xml:space="preserve">Structure-based virtual screening was performed using GNINA v1.0 (McNutt et al., 2021), a GPU-accelerated docking engine employing CNN rescoring trained on the PDBbind database (~20,000 protein-ligand co-crystal structures). Docking was conducted with exhaustiveness 32 (4× default) to ensure thorough conformational sampling. Each compound was scored by CNN affinity (predicted pK</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rPr>
        <w:t xml:space="preserve">) and CNN score (binding probability, 0–1). The top 20% were advanced to machine learning classification.</w:t>
      </w:r>
    </w:p>
    <w:p>
      <w:pPr>
        <w:pStyle w:val="Heading2"/>
        <w:spacing w:before="200" w:after="120"/>
      </w:pPr>
      <w:r>
        <w:rPr>
          <w:rFonts w:ascii="Times New Roman" w:cs="Times New Roman" w:eastAsia="Times New Roman" w:hAnsi="Times New Roman"/>
          <w:b/>
          <w:bCs/>
          <w:i/>
          <w:iCs/>
          <w:sz w:val="24"/>
          <w:szCs w:val="24"/>
        </w:rPr>
        <w:t xml:space="preserve">2.4 Machine Learning Classification</w:t>
      </w:r>
    </w:p>
    <w:p>
      <w:pPr>
        <w:spacing w:after="120" w:line="360"/>
        <w:ind w:firstLine="720"/>
      </w:pPr>
      <w:r>
        <w:rPr>
          <w:rFonts w:ascii="Times New Roman" w:cs="Times New Roman" w:eastAsia="Times New Roman" w:hAnsi="Times New Roman"/>
          <w:sz w:val="24"/>
          <w:szCs w:val="24"/>
        </w:rPr>
        <w:t xml:space="preserve">NOD2-Scout, a custom binary classifier, was developed to provide orthogonal evaluation of docking results. Pseudo-labels were generated from docking scores: top 20% labeled as binders (1), bottom 20% as non-binders (0), middle 60% excluded (n = 856 labeled compounds). Features included 2,048-bit Morgan fingerprints (radius 2; Rogers &amp; Hahn, 2010) and 10 physicochemical descriptors. The XGBoost algorithm (Chen &amp; Guestrin, 2016) was employed with regularization: max_depth = 4, subsample = 0.8, colsample_bytree = 0.8, learning_rate = 0.05, n_estimators = 300.</w:t>
      </w:r>
    </w:p>
    <w:p>
      <w:pPr>
        <w:spacing w:after="120" w:line="360"/>
        <w:ind w:firstLine="720"/>
      </w:pPr>
      <w:r>
        <w:rPr>
          <w:rFonts w:ascii="Times New Roman" w:cs="Times New Roman" w:eastAsia="Times New Roman" w:hAnsi="Times New Roman"/>
          <w:sz w:val="24"/>
          <w:szCs w:val="24"/>
        </w:rPr>
        <w:t xml:space="preserve">Scaffold-split cross-validation using Murcko decomposition was implemented after initial random-split validation yielded AUC 0.998, identified as data leakage from scaffold memorization. Scaffold-split 5-fold cross-validation produced AUC 0.85–0.93 (mean 0.89), confirmed by shuffled-label control (AUC 0.50).</w:t>
      </w:r>
    </w:p>
    <w:p>
      <w:pPr>
        <w:pStyle w:val="Heading2"/>
        <w:spacing w:before="200" w:after="120"/>
      </w:pPr>
      <w:r>
        <w:rPr>
          <w:rFonts w:ascii="Times New Roman" w:cs="Times New Roman" w:eastAsia="Times New Roman" w:hAnsi="Times New Roman"/>
          <w:b/>
          <w:bCs/>
          <w:i/>
          <w:iCs/>
          <w:sz w:val="24"/>
          <w:szCs w:val="24"/>
        </w:rPr>
        <w:t xml:space="preserve">2.5 ADMET Filtering</w:t>
      </w:r>
    </w:p>
    <w:p>
      <w:pPr>
        <w:spacing w:after="120" w:line="360"/>
        <w:ind w:firstLine="720"/>
      </w:pPr>
      <w:r>
        <w:rPr>
          <w:rFonts w:ascii="Times New Roman" w:cs="Times New Roman" w:eastAsia="Times New Roman" w:hAnsi="Times New Roman"/>
          <w:sz w:val="24"/>
          <w:szCs w:val="24"/>
        </w:rPr>
        <w:t xml:space="preserve">Pharmacokinetic and toxicity profiling was performed using SwissADME (Daina et al., 2017) and pkCSM (Pires et al., 2015). Compounds were filtered for Lipinski’s Rule of Five compliance (MW &lt; 500, logP &lt; 5, HBD ≤ 5, HBA ≤ 10), oral bioavailability, absence of hERG inhibition, and hepatotoxicity risk, reducing candidates from ~2,000 to 148.</w:t>
      </w:r>
    </w:p>
    <w:p>
      <w:pPr>
        <w:pStyle w:val="Heading2"/>
        <w:spacing w:before="200" w:after="120"/>
      </w:pPr>
      <w:r>
        <w:rPr>
          <w:rFonts w:ascii="Times New Roman" w:cs="Times New Roman" w:eastAsia="Times New Roman" w:hAnsi="Times New Roman"/>
          <w:b/>
          <w:bCs/>
          <w:i/>
          <w:iCs/>
          <w:sz w:val="24"/>
          <w:szCs w:val="24"/>
        </w:rPr>
        <w:t xml:space="preserve">2.6 Molecular Dynamics Simulation</w:t>
      </w:r>
    </w:p>
    <w:p>
      <w:pPr>
        <w:spacing w:after="120" w:line="360"/>
        <w:ind w:firstLine="720"/>
      </w:pPr>
      <w:r>
        <w:rPr>
          <w:rFonts w:ascii="Times New Roman" w:cs="Times New Roman" w:eastAsia="Times New Roman" w:hAnsi="Times New Roman"/>
          <w:sz w:val="24"/>
          <w:szCs w:val="24"/>
        </w:rPr>
        <w:t xml:space="preserve">All-atom MD simulations were performed using OpenMM 8.2 (Eastman et al., 2017) with AMBER14SB (Maier et al., 2015) for the protein, TIP3P-FB (Wang et al., 2014) for explicit solvent, and Open Force Field 2.1.0 Sage for small molecules. Each system contained ~217,986 atoms including ~72,000 water molecules and Na</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/Cl</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ions at 0.15 M. The protocol consisted of energy minimization, NVT heating (0–310.15 K, 500 ps), NPT equilibration (1 atm, 500 ps), and 20 ns production dynamics. Hydrogen mass repartitioning (Hopkins et al., 2015) enabled a 4 fs timestep. A total of 26 trajectories (520 ns) were conducted across wild-type and R702W conditions with three replicates per condition for febuxostat, bufadienolide, and a negative control.</w:t>
      </w:r>
    </w:p>
    <w:p>
      <w:pPr>
        <w:pStyle w:val="Heading2"/>
        <w:spacing w:before="200" w:after="120"/>
      </w:pPr>
      <w:r>
        <w:rPr>
          <w:rFonts w:ascii="Times New Roman" w:cs="Times New Roman" w:eastAsia="Times New Roman" w:hAnsi="Times New Roman"/>
          <w:b/>
          <w:bCs/>
          <w:i/>
          <w:iCs/>
          <w:sz w:val="24"/>
          <w:szCs w:val="24"/>
        </w:rPr>
        <w:t xml:space="preserve">2.7 Absolute Binding Free Energy Perturbation</w:t>
      </w:r>
    </w:p>
    <w:p>
      <w:pPr>
        <w:spacing w:after="120" w:line="360"/>
        <w:ind w:firstLine="720"/>
      </w:pPr>
      <w:r>
        <w:rPr>
          <w:rFonts w:ascii="Times New Roman" w:cs="Times New Roman" w:eastAsia="Times New Roman" w:hAnsi="Times New Roman"/>
          <w:sz w:val="24"/>
          <w:szCs w:val="24"/>
        </w:rPr>
        <w:t xml:space="preserve">Absolute binding free energies were computed via alchemical ligand annihilation using OpenMM 8.2 with openmmtools (Chodera et al., 2020). The AbsoluteAlchemicalFactory wrapped drug nonbonded interactions in lambda-dependent multipliers. Two-phase decoupling removed electrostatic interactions first (10 windows, λ</w:t>
      </w:r>
      <w:r>
        <w:rPr>
          <w:rFonts w:ascii="Times New Roman" w:cs="Times New Roman" w:eastAsia="Times New Roman" w:hAnsi="Times New Roman"/>
          <w:sz w:val="24"/>
          <w:szCs w:val="24"/>
        </w:rPr>
        <w:t xml:space="preserve">elec</w:t>
      </w:r>
      <w:r>
        <w:rPr>
          <w:rFonts w:ascii="Times New Roman" w:cs="Times New Roman" w:eastAsia="Times New Roman" w:hAnsi="Times New Roman"/>
          <w:sz w:val="24"/>
          <w:szCs w:val="24"/>
        </w:rPr>
        <w:t xml:space="preserve"> 1.0→0.0), then steric interactions (10 windows, λ</w:t>
      </w:r>
      <w:r>
        <w:rPr>
          <w:rFonts w:ascii="Times New Roman" w:cs="Times New Roman" w:eastAsia="Times New Roman" w:hAnsi="Times New Roman"/>
          <w:sz w:val="24"/>
          <w:szCs w:val="24"/>
        </w:rPr>
        <w:t xml:space="preserve">sterics</w:t>
      </w:r>
      <w:r>
        <w:rPr>
          <w:rFonts w:ascii="Times New Roman" w:cs="Times New Roman" w:eastAsia="Times New Roman" w:hAnsi="Times New Roman"/>
          <w:sz w:val="24"/>
          <w:szCs w:val="24"/>
        </w:rPr>
        <w:t xml:space="preserve"> 1.0→0.0), preventing infinite Coulomb forces from overlapping charged atoms. Softcore potentials (α = 0.5) prevented singularities during steric annihilation.</w:t>
      </w:r>
    </w:p>
    <w:p>
      <w:pPr>
        <w:spacing w:after="120" w:line="360"/>
        <w:ind w:firstLine="720"/>
      </w:pPr>
      <w:r>
        <w:rPr>
          <w:rFonts w:ascii="Times New Roman" w:cs="Times New Roman" w:eastAsia="Times New Roman" w:hAnsi="Times New Roman"/>
          <w:sz w:val="24"/>
          <w:szCs w:val="24"/>
        </w:rPr>
        <w:t xml:space="preserve">Boresch orientational restraints (Boresch et al., 2003) maintained the ghost ligand in the binding pocket during complex-phase legs using six harmonic restraints (1 distance, 2 angles, 3 dihedrals; k = 10 kJ/mol/nm²). The analytical Boresch correction subtracted the artificial restraint contribution. For each drug, three legs were computed: wild-type complex, R702W complex, and solvent, each with 20 lambda windows at 1 ns per window. MBAR (Shirts &amp; Chodera, 2008) estimated free energies from all windows simultaneously. Convergence was validated on increasing data subsets (200–1000 ps). Overlap matrices confirmed &gt; 3% overlap between all adjacent windows. Binding free energy: ΔG</w:t>
      </w:r>
      <w:r>
        <w:rPr>
          <w:rFonts w:ascii="Times New Roman" w:cs="Times New Roman" w:eastAsia="Times New Roman" w:hAnsi="Times New Roman"/>
          <w:sz w:val="24"/>
          <w:szCs w:val="24"/>
        </w:rPr>
        <w:t xml:space="preserve">bind</w:t>
      </w:r>
      <w:r>
        <w:rPr>
          <w:rFonts w:ascii="Times New Roman" w:cs="Times New Roman" w:eastAsia="Times New Roman" w:hAnsi="Times New Roman"/>
          <w:sz w:val="24"/>
          <w:szCs w:val="24"/>
        </w:rPr>
        <w:t xml:space="preserve"> = ΔG</w:t>
      </w:r>
      <w:r>
        <w:rPr>
          <w:rFonts w:ascii="Times New Roman" w:cs="Times New Roman" w:eastAsia="Times New Roman" w:hAnsi="Times New Roman"/>
          <w:sz w:val="24"/>
          <w:szCs w:val="24"/>
        </w:rPr>
        <w:t xml:space="preserve">complex</w:t>
      </w:r>
      <w:r>
        <w:rPr>
          <w:rFonts w:ascii="Times New Roman" w:cs="Times New Roman" w:eastAsia="Times New Roman" w:hAnsi="Times New Roman"/>
          <w:sz w:val="24"/>
          <w:szCs w:val="24"/>
        </w:rPr>
        <w:t xml:space="preserve"> − ΔG</w:t>
      </w:r>
      <w:r>
        <w:rPr>
          <w:rFonts w:ascii="Times New Roman" w:cs="Times New Roman" w:eastAsia="Times New Roman" w:hAnsi="Times New Roman"/>
          <w:sz w:val="24"/>
          <w:szCs w:val="24"/>
        </w:rPr>
        <w:t xml:space="preserve">solvent</w:t>
      </w:r>
      <w:r>
        <w:rPr>
          <w:rFonts w:ascii="Times New Roman" w:cs="Times New Roman" w:eastAsia="Times New Roman" w:hAnsi="Times New Roman"/>
          <w:sz w:val="24"/>
          <w:szCs w:val="24"/>
        </w:rPr>
        <w:t xml:space="preserve"> + ΔG</w:t>
      </w:r>
      <w:r>
        <w:rPr>
          <w:rFonts w:ascii="Times New Roman" w:cs="Times New Roman" w:eastAsia="Times New Roman" w:hAnsi="Times New Roman"/>
          <w:sz w:val="24"/>
          <w:szCs w:val="24"/>
        </w:rPr>
        <w:t xml:space="preserve">Boresch</w:t>
      </w:r>
      <w:r>
        <w:rPr>
          <w:rFonts w:ascii="Times New Roman" w:cs="Times New Roman" w:eastAsia="Times New Roman" w:hAnsi="Times New Roman"/>
          <w:sz w:val="24"/>
          <w:szCs w:val="24"/>
        </w:rPr>
        <w:t xml:space="preserve">. Mutation shift: ΔΔG = ΔG</w:t>
      </w:r>
      <w:r>
        <w:rPr>
          <w:rFonts w:ascii="Times New Roman" w:cs="Times New Roman" w:eastAsia="Times New Roman" w:hAnsi="Times New Roman"/>
          <w:sz w:val="24"/>
          <w:szCs w:val="24"/>
        </w:rPr>
        <w:t xml:space="preserve">bind,R702W</w:t>
      </w:r>
      <w:r>
        <w:rPr>
          <w:rFonts w:ascii="Times New Roman" w:cs="Times New Roman" w:eastAsia="Times New Roman" w:hAnsi="Times New Roman"/>
          <w:sz w:val="24"/>
          <w:szCs w:val="24"/>
        </w:rPr>
        <w:t xml:space="preserve"> − ΔG</w:t>
      </w:r>
      <w:r>
        <w:rPr>
          <w:rFonts w:ascii="Times New Roman" w:cs="Times New Roman" w:eastAsia="Times New Roman" w:hAnsi="Times New Roman"/>
          <w:sz w:val="24"/>
          <w:szCs w:val="24"/>
        </w:rPr>
        <w:t xml:space="preserve">bind,WT</w:t>
      </w:r>
      <w:r>
        <w:rPr>
          <w:rFonts w:ascii="Times New Roman" w:cs="Times New Roman" w:eastAsia="Times New Roman" w:hAnsi="Times New Roman"/>
          <w:sz w:val="24"/>
          <w:szCs w:val="24"/>
        </w:rPr>
        <w:t xml:space="preserve">. Total: 120 lambda windows (120 ns) on a single NVIDIA RTX 4060 Ti (~200 GPU hours total).</w:t>
      </w:r>
    </w:p>
    <w:p>
      <w:pPr>
        <w:pStyle w:val="Heading1"/>
        <w:spacing w:before="280" w:after="160"/>
      </w:pPr>
      <w:r>
        <w:rPr>
          <w:rFonts w:ascii="Times New Roman" w:cs="Times New Roman" w:eastAsia="Times New Roman" w:hAnsi="Times New Roman"/>
          <w:b/>
          <w:bCs/>
          <w:sz w:val="24"/>
          <w:szCs w:val="24"/>
        </w:rPr>
        <w:t xml:space="preserve">RESULTS</w:t>
      </w:r>
    </w:p>
    <w:p>
      <w:pPr>
        <w:pStyle w:val="Heading2"/>
        <w:spacing w:before="200" w:after="120"/>
      </w:pPr>
      <w:r>
        <w:rPr>
          <w:rFonts w:ascii="Times New Roman" w:cs="Times New Roman" w:eastAsia="Times New Roman" w:hAnsi="Times New Roman"/>
          <w:b/>
          <w:bCs/>
          <w:i/>
          <w:iCs/>
          <w:sz w:val="24"/>
          <w:szCs w:val="24"/>
        </w:rPr>
        <w:t xml:space="preserve">3.1 Virtual Screening and Machine Learning</w:t>
      </w:r>
    </w:p>
    <w:p>
      <w:pPr>
        <w:spacing w:after="120" w:line="360"/>
        <w:ind w:firstLine="720"/>
      </w:pPr>
      <w:r>
        <w:rPr>
          <w:rFonts w:ascii="Times New Roman" w:cs="Times New Roman" w:eastAsia="Times New Roman" w:hAnsi="Times New Roman"/>
          <w:sz w:val="24"/>
          <w:szCs w:val="24"/>
        </w:rPr>
        <w:t xml:space="preserve">Docking of 9,566 compounds yielded a continuous CNN affinity distribution. NOD2-Scout (AUC 0.89) provided orthogonal filtering, and ADMET profiling reduced candidates to 148. Two compounds were selected for advanced validation: febuxostat (FDA-approved xanthine oxidase inhibitor; repurposing candidate) and bufadienolide (cardiac glycoside from COCONUT; novel discovery).</w:t>
      </w:r>
    </w:p>
    <w:p>
      <w:pPr>
        <w:pStyle w:val="Heading2"/>
        <w:spacing w:before="200" w:after="120"/>
      </w:pPr>
      <w:r>
        <w:rPr>
          <w:rFonts w:ascii="Times New Roman" w:cs="Times New Roman" w:eastAsia="Times New Roman" w:hAnsi="Times New Roman"/>
          <w:b/>
          <w:bCs/>
          <w:i/>
          <w:iCs/>
          <w:sz w:val="24"/>
          <w:szCs w:val="24"/>
        </w:rPr>
        <w:t xml:space="preserve">3.2 Molecular Dynamics Reveals Allosteric Stiffening</w:t>
      </w:r>
    </w:p>
    <w:p>
      <w:pPr>
        <w:spacing w:after="120" w:line="360"/>
        <w:ind w:firstLine="720"/>
      </w:pPr>
      <w:r>
        <w:rPr>
          <w:rFonts w:ascii="Times New Roman" w:cs="Times New Roman" w:eastAsia="Times New Roman" w:hAnsi="Times New Roman"/>
          <w:sz w:val="24"/>
          <w:szCs w:val="24"/>
        </w:rPr>
        <w:t xml:space="preserve">MD simulations revealed a previously unreported effect: R702W induces allosteric stiffening (Table 1). Wild-type NOD2 displayed mean RMSD 4.05 Å (12.6% frames &gt; 5 Å), while R702W showed 3.27 Å (0% frames &gt; 5 Å). This rigidification occurs 79.4 Å from the binding pocket, indicating allosteric communication through the covalent backbone. The physical basis is arginine’s replacement by tryptophan, eliminating electrostatic interactions that permit HD2 flexibility.</w:t>
      </w:r>
    </w:p>
    <w:p>
      <w:pPr>
        <w:spacing w:before="200" w:after="80"/>
      </w:pPr>
      <w:r>
        <w:rPr>
          <w:rFonts w:ascii="Times New Roman" w:cs="Times New Roman" w:eastAsia="Times New Roman" w:hAnsi="Times New Roman"/>
          <w:b/>
          <w:bCs/>
          <w:i/>
          <w:iCs/>
          <w:sz w:val="24"/>
          <w:szCs w:val="24"/>
        </w:rPr>
        <w:t xml:space="preserve">Table 1. </w:t>
      </w:r>
      <w:r>
        <w:rPr>
          <w:rFonts w:ascii="Times New Roman" w:cs="Times New Roman" w:eastAsia="Times New Roman" w:hAnsi="Times New Roman"/>
          <w:i/>
          <w:iCs/>
          <w:sz w:val="24"/>
          <w:szCs w:val="24"/>
        </w:rPr>
        <w:t xml:space="preserve">Molecular dynamics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960"/>
        <w:gridCol w:w="1800"/>
      </w:tblGrid>
      <w:tr>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Condition</w:t>
            </w:r>
          </w:p>
        </w:tc>
        <w:tc>
          <w:tcPr>
            <w:tcW w:type="dxa" w:w="1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RMSD (Å)</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Frames &gt; 5 Å</w:t>
            </w:r>
          </w:p>
        </w:tc>
        <w:tc>
          <w:tcPr>
            <w:tcW w:type="dxa" w:w="19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H-bond Occ.</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Pocket Stable</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apo</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4.05</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12.6%</w:t>
            </w:r>
          </w:p>
        </w:tc>
        <w:tc>
          <w:tcPr>
            <w:tcW w:type="dxa" w:w="1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N/A</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N/A</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R702W apo</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3.27</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0%</w:t>
            </w:r>
          </w:p>
        </w:tc>
        <w:tc>
          <w:tcPr>
            <w:tcW w:type="dxa" w:w="1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N/A</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N/A</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 Febuxostat</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N/A</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N/A</w:t>
            </w:r>
          </w:p>
        </w:tc>
        <w:tc>
          <w:tcPr>
            <w:tcW w:type="dxa" w:w="1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73%</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Yes</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 Bufadienolide</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N/A</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N/A</w:t>
            </w:r>
          </w:p>
        </w:tc>
        <w:tc>
          <w:tcPr>
            <w:tcW w:type="dxa" w:w="1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80%</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Yes</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Negative control</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N/A</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N/A</w:t>
            </w:r>
          </w:p>
        </w:tc>
        <w:tc>
          <w:tcPr>
            <w:tcW w:type="dxa" w:w="1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0%</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Left by 5 ns</w:t>
            </w:r>
          </w:p>
        </w:tc>
      </w:tr>
    </w:tbl>
    <w:p>
      <w:pPr>
        <w:spacing w:after="200"/>
      </w:pPr>
    </w:p>
    <w:p>
      <w:pPr>
        <w:pStyle w:val="Heading2"/>
        <w:spacing w:before="200" w:after="120"/>
      </w:pPr>
      <w:r>
        <w:rPr>
          <w:rFonts w:ascii="Times New Roman" w:cs="Times New Roman" w:eastAsia="Times New Roman" w:hAnsi="Times New Roman"/>
          <w:b/>
          <w:bCs/>
          <w:i/>
          <w:iCs/>
          <w:sz w:val="24"/>
          <w:szCs w:val="24"/>
        </w:rPr>
        <w:t xml:space="preserve">3.3 Free Energy Perturbation Quantifies Mutation Sensitivity</w:t>
      </w:r>
    </w:p>
    <w:p>
      <w:pPr>
        <w:spacing w:after="120" w:line="360"/>
        <w:ind w:firstLine="720"/>
      </w:pPr>
      <w:r>
        <w:rPr>
          <w:rFonts w:ascii="Times New Roman" w:cs="Times New Roman" w:eastAsia="Times New Roman" w:hAnsi="Times New Roman"/>
          <w:sz w:val="24"/>
          <w:szCs w:val="24"/>
        </w:rPr>
        <w:t xml:space="preserve">Absolute binding FEP revealed dramatically different mutation sensitivities (Table 2).</w:t>
      </w:r>
    </w:p>
    <w:p>
      <w:pPr>
        <w:spacing w:before="200" w:after="80"/>
      </w:pPr>
      <w:r>
        <w:rPr>
          <w:rFonts w:ascii="Times New Roman" w:cs="Times New Roman" w:eastAsia="Times New Roman" w:hAnsi="Times New Roman"/>
          <w:b/>
          <w:bCs/>
          <w:i/>
          <w:iCs/>
          <w:sz w:val="24"/>
          <w:szCs w:val="24"/>
        </w:rPr>
        <w:t xml:space="preserve">Table 2. </w:t>
      </w:r>
      <w:r>
        <w:rPr>
          <w:rFonts w:ascii="Times New Roman" w:cs="Times New Roman" w:eastAsia="Times New Roman" w:hAnsi="Times New Roman"/>
          <w:i/>
          <w:iCs/>
          <w:sz w:val="24"/>
          <w:szCs w:val="24"/>
        </w:rPr>
        <w:t xml:space="preserve">Absolute binding FEP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80"/>
        <w:gridCol w:w="1780"/>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Compound</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ΔG WT (kcal/mol)</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ΔG R702W (kcal/mol)</w:t>
            </w:r>
          </w:p>
        </w:tc>
        <w:tc>
          <w:tcPr>
            <w:tcW w:type="dxa" w:w="178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ΔΔG (kcal/mol)</w:t>
            </w:r>
          </w:p>
        </w:tc>
        <w:tc>
          <w:tcPr>
            <w:tcW w:type="dxa" w:w="178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Significance</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Febuxostat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−10.36 ± 0.18</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−8.02 ± 0.19</w:t>
            </w:r>
          </w:p>
        </w:tc>
        <w:tc>
          <w:tcPr>
            <w:tcW w:type="dxa" w:w="17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+2.34 ± 0.26</w:t>
            </w:r>
          </w:p>
        </w:tc>
        <w:tc>
          <w:tcPr>
            <w:tcW w:type="dxa" w:w="17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8σ, p &lt; 0.001</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Bufadienolide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−15.22 ± 0.26</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−15.66 ± 0.26</w:t>
            </w:r>
          </w:p>
        </w:tc>
        <w:tc>
          <w:tcPr>
            <w:tcW w:type="dxa" w:w="17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−0.44 ± 0.37</w:t>
            </w:r>
          </w:p>
        </w:tc>
        <w:tc>
          <w:tcPr>
            <w:tcW w:type="dxa" w:w="17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Times New Roman" w:cs="Times New Roman" w:eastAsia="Times New Roman" w:hAnsi="Times New Roman"/>
                <w:sz w:val="20"/>
                <w:szCs w:val="20"/>
              </w:rPr>
              <w:t xml:space="preserve">1.8σ, NS</w:t>
            </w:r>
          </w:p>
        </w:tc>
      </w:tr>
    </w:tbl>
    <w:p>
      <w:pPr>
        <w:spacing w:after="200"/>
      </w:pPr>
    </w:p>
    <w:p>
      <w:pPr>
        <w:spacing w:after="120" w:line="360"/>
        <w:ind w:firstLine="720"/>
      </w:pPr>
      <w:r>
        <w:rPr>
          <w:rFonts w:ascii="Times New Roman" w:cs="Times New Roman" w:eastAsia="Times New Roman" w:hAnsi="Times New Roman"/>
          <w:sz w:val="24"/>
          <w:szCs w:val="24"/>
        </w:rPr>
        <w:t xml:space="preserve">Febuxostat exhibited ΔΔG = +2.34 ± 0.26 kcal/mol (8σ, p &lt; 0.001), corresponding to ~50-fold reduced affinity (K</w:t>
      </w:r>
      <w:r>
        <w:rPr>
          <w:rFonts w:ascii="Times New Roman" w:cs="Times New Roman" w:eastAsia="Times New Roman" w:hAnsi="Times New Roman"/>
          <w:sz w:val="24"/>
          <w:szCs w:val="24"/>
        </w:rPr>
        <w:t xml:space="preserve">d,R702W</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rPr>
        <w:t xml:space="preserve">d,WT</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perscript"/>
        </w:rPr>
        <w:t xml:space="preserve">ΔΔG/RT</w:t>
      </w:r>
      <w:r>
        <w:rPr>
          <w:rFonts w:ascii="Times New Roman" w:cs="Times New Roman" w:eastAsia="Times New Roman" w:hAnsi="Times New Roman"/>
          <w:sz w:val="24"/>
          <w:szCs w:val="24"/>
        </w:rPr>
        <w:t xml:space="preserve"> at 310 K). Bufadienolide showed ΔΔG = −0.44 ± 0.37 kcal/mol (1.8σ, NS), a mutation-resistant trend independently supported by equivalent H-bond occupancy (~80%) in both variants. Convergence analysis confirmed ΔG stabilization by 600–800 ps. All overlap matrices showed &gt; 3% adjacent window overlap.</w:t>
      </w:r>
    </w:p>
    <w:p>
      <w:pPr>
        <w:pStyle w:val="Heading1"/>
        <w:spacing w:before="280" w:after="160"/>
      </w:pPr>
      <w:r>
        <w:rPr>
          <w:rFonts w:ascii="Times New Roman" w:cs="Times New Roman" w:eastAsia="Times New Roman" w:hAnsi="Times New Roman"/>
          <w:b/>
          <w:bCs/>
          <w:sz w:val="24"/>
          <w:szCs w:val="24"/>
        </w:rPr>
        <w:t xml:space="preserve">DISCUSSION</w:t>
      </w:r>
    </w:p>
    <w:p>
      <w:pPr>
        <w:spacing w:after="120" w:line="360"/>
        <w:ind w:firstLine="720"/>
      </w:pPr>
      <w:r>
        <w:rPr>
          <w:rFonts w:ascii="Times New Roman" w:cs="Times New Roman" w:eastAsia="Times New Roman" w:hAnsi="Times New Roman"/>
          <w:sz w:val="24"/>
          <w:szCs w:val="24"/>
        </w:rPr>
        <w:t xml:space="preserve">This study presents several novel contributions. First, it represents the first systematic computational drug screen against NOD2 and the first FEP study on NOD2 ligands. The identification of bufadienolide as a NOD2 binder is entirely novel.</w:t>
      </w:r>
    </w:p>
    <w:p>
      <w:pPr>
        <w:spacing w:after="120" w:line="360"/>
        <w:ind w:firstLine="720"/>
      </w:pPr>
      <w:r>
        <w:rPr>
          <w:rFonts w:ascii="Times New Roman" w:cs="Times New Roman" w:eastAsia="Times New Roman" w:hAnsi="Times New Roman"/>
          <w:sz w:val="24"/>
          <w:szCs w:val="24"/>
        </w:rPr>
        <w:t xml:space="preserve">Second, MD simulations revealed R702W-induced allosteric stiffening (rigidification rather than destabilization) propagating 79.4 Å through the covalent backbone. This counterintuitive mechanism has not been previously reported computationally for NOD2.</w:t>
      </w:r>
    </w:p>
    <w:p>
      <w:pPr>
        <w:spacing w:after="120" w:line="360"/>
        <w:ind w:firstLine="720"/>
      </w:pPr>
      <w:r>
        <w:rPr>
          <w:rFonts w:ascii="Times New Roman" w:cs="Times New Roman" w:eastAsia="Times New Roman" w:hAnsi="Times New Roman"/>
          <w:sz w:val="24"/>
          <w:szCs w:val="24"/>
        </w:rPr>
        <w:t xml:space="preserve">Third, the FEP results demonstrate that a single-point mutation dramatically alters drug binding in a compound-specific manner. Febuxostat loses 50-fold affinity while bufadienolide is unaffected. This has direct clinical implications: administering febuxostat to R702W carriers would be ineffective, while bufadienolide-derived therapeutics could serve this population. This compound-specific mutation sensitivity cannot be detected by conventional methods such as MM-GBSA.</w:t>
      </w:r>
    </w:p>
    <w:p>
      <w:pPr>
        <w:pStyle w:val="Heading2"/>
        <w:spacing w:before="200" w:after="120"/>
      </w:pPr>
      <w:r>
        <w:rPr>
          <w:rFonts w:ascii="Times New Roman" w:cs="Times New Roman" w:eastAsia="Times New Roman" w:hAnsi="Times New Roman"/>
          <w:b/>
          <w:bCs/>
          <w:i/>
          <w:iCs/>
          <w:sz w:val="24"/>
          <w:szCs w:val="24"/>
        </w:rPr>
        <w:t xml:space="preserve">4.1 Limitations</w:t>
      </w:r>
    </w:p>
    <w:p>
      <w:pPr>
        <w:spacing w:after="120" w:line="360"/>
        <w:ind w:firstLine="720"/>
      </w:pPr>
      <w:r>
        <w:rPr>
          <w:rFonts w:ascii="Times New Roman" w:cs="Times New Roman" w:eastAsia="Times New Roman" w:hAnsi="Times New Roman"/>
          <w:sz w:val="24"/>
          <w:szCs w:val="24"/>
        </w:rPr>
        <w:t xml:space="preserve">Several limitations should be acknowledged. The NOD2 structure was obtained from AlphaFold2 rather than experimental determination. MD simulations of 20 ns, while sufficient for RMSD convergence, may not capture slow conformational transitions. The bufadienolide FEP result at 1.8σ does not reach statistical significance. The pseudo-labeling approach inherits upstream docking biases. All results are computational and require experimental validation.</w:t>
      </w:r>
    </w:p>
    <w:p>
      <w:pPr>
        <w:pStyle w:val="Heading2"/>
        <w:spacing w:before="200" w:after="120"/>
      </w:pPr>
      <w:r>
        <w:rPr>
          <w:rFonts w:ascii="Times New Roman" w:cs="Times New Roman" w:eastAsia="Times New Roman" w:hAnsi="Times New Roman"/>
          <w:b/>
          <w:bCs/>
          <w:i/>
          <w:iCs/>
          <w:sz w:val="24"/>
          <w:szCs w:val="24"/>
        </w:rPr>
        <w:t xml:space="preserve">4.2 Future Directions</w:t>
      </w:r>
    </w:p>
    <w:p>
      <w:pPr>
        <w:spacing w:after="120" w:line="360"/>
        <w:ind w:firstLine="720"/>
      </w:pPr>
      <w:r>
        <w:rPr>
          <w:rFonts w:ascii="Times New Roman" w:cs="Times New Roman" w:eastAsia="Times New Roman" w:hAnsi="Times New Roman"/>
          <w:sz w:val="24"/>
          <w:szCs w:val="24"/>
        </w:rPr>
        <w:t xml:space="preserve">Immediate next steps include surface plasmon resonance (SPR) to experimentally quantify binding affinities. Extended sampling (100 ns MD, 3 ns per FEP window) would improve statistical power. The pipeline should be applied to G908R and 1007fs NOD2 variants. Cell-based functional assays using HEK293 cells with R702W NOD2 could assess whether bufadienolide restores MDP-induced NF-κB signaling.</w:t>
      </w:r>
    </w:p>
    <w:p>
      <w:pPr>
        <w:pStyle w:val="Heading1"/>
        <w:spacing w:before="280" w:after="160"/>
      </w:pPr>
      <w:r>
        <w:rPr>
          <w:rFonts w:ascii="Times New Roman" w:cs="Times New Roman" w:eastAsia="Times New Roman" w:hAnsi="Times New Roman"/>
          <w:b/>
          <w:bCs/>
          <w:sz w:val="24"/>
          <w:szCs w:val="24"/>
        </w:rPr>
        <w:t xml:space="preserve">CONCLUSION</w:t>
      </w:r>
    </w:p>
    <w:p>
      <w:pPr>
        <w:spacing w:after="120" w:line="360"/>
        <w:ind w:firstLine="720"/>
      </w:pPr>
      <w:r>
        <w:rPr>
          <w:rFonts w:ascii="Times New Roman" w:cs="Times New Roman" w:eastAsia="Times New Roman" w:hAnsi="Times New Roman"/>
          <w:sz w:val="24"/>
          <w:szCs w:val="24"/>
        </w:rPr>
        <w:t xml:space="preserve">This study demonstrates that a comprehensive computational pipeline can identify genotype-specific drug candidates for NOD2 in Crohn’s disease. The finding that R702W reduces febuxostat binding 50-fold while preserving bufadienolide binding provides direct evidence that therapeutic selection should incorporate NOD2 genotype. This work establishes a reusable framework for precision medicine applicable to any protein-mutation pair, performed entirely on consumer-grade hardware without institutional support.</w:t>
      </w:r>
    </w:p>
    <w:p>
      <w:pPr>
        <w:pStyle w:val="Heading1"/>
        <w:spacing w:before="280" w:after="160"/>
      </w:pPr>
      <w:r>
        <w:rPr>
          <w:rFonts w:ascii="Times New Roman" w:cs="Times New Roman" w:eastAsia="Times New Roman" w:hAnsi="Times New Roman"/>
          <w:b/>
          <w:bCs/>
          <w:sz w:val="24"/>
          <w:szCs w:val="24"/>
        </w:rPr>
        <w:t xml:space="preserve">REFERENCES</w:t>
      </w:r>
    </w:p>
    <w:p>
      <w:pPr>
        <w:spacing w:after="80"/>
      </w:pPr>
      <w:r>
        <w:rPr>
          <w:rFonts w:ascii="Times New Roman" w:cs="Times New Roman" w:eastAsia="Times New Roman" w:hAnsi="Times New Roman"/>
          <w:sz w:val="24"/>
          <w:szCs w:val="24"/>
        </w:rPr>
        <w:t xml:space="preserve">Abraham, M. J., et al. (2015). GROMACS: High performance molecular simulations. </w:t>
      </w:r>
      <w:r>
        <w:rPr>
          <w:rFonts w:ascii="Times New Roman" w:cs="Times New Roman" w:eastAsia="Times New Roman" w:hAnsi="Times New Roman"/>
          <w:i/>
          <w:iCs/>
          <w:sz w:val="24"/>
          <w:szCs w:val="24"/>
        </w:rPr>
        <w:t xml:space="preserve">SoftwareX</w:t>
      </w:r>
      <w:r>
        <w:rPr>
          <w:rFonts w:ascii="Times New Roman" w:cs="Times New Roman" w:eastAsia="Times New Roman" w:hAnsi="Times New Roman"/>
          <w:sz w:val="24"/>
          <w:szCs w:val="24"/>
        </w:rPr>
        <w:t xml:space="preserve">, 1–2, 19–25.</w:t>
      </w:r>
    </w:p>
    <w:p>
      <w:pPr>
        <w:spacing w:after="80"/>
      </w:pPr>
      <w:r>
        <w:rPr>
          <w:rFonts w:ascii="Times New Roman" w:cs="Times New Roman" w:eastAsia="Times New Roman" w:hAnsi="Times New Roman"/>
          <w:sz w:val="24"/>
          <w:szCs w:val="24"/>
        </w:rPr>
        <w:t xml:space="preserve">Boresch, S., et al. (2003). Absolute binding free energies: A quantitative approach. </w:t>
      </w:r>
      <w:r>
        <w:rPr>
          <w:rFonts w:ascii="Times New Roman" w:cs="Times New Roman" w:eastAsia="Times New Roman" w:hAnsi="Times New Roman"/>
          <w:i/>
          <w:iCs/>
          <w:sz w:val="24"/>
          <w:szCs w:val="24"/>
        </w:rPr>
        <w:t xml:space="preserve">J. Phys. Chem. B</w:t>
      </w:r>
      <w:r>
        <w:rPr>
          <w:rFonts w:ascii="Times New Roman" w:cs="Times New Roman" w:eastAsia="Times New Roman" w:hAnsi="Times New Roman"/>
          <w:sz w:val="24"/>
          <w:szCs w:val="24"/>
        </w:rPr>
        <w:t xml:space="preserve">, 107(35), 9535–9551.</w:t>
      </w:r>
    </w:p>
    <w:p>
      <w:pPr>
        <w:spacing w:after="80"/>
      </w:pPr>
      <w:r>
        <w:rPr>
          <w:rFonts w:ascii="Times New Roman" w:cs="Times New Roman" w:eastAsia="Times New Roman" w:hAnsi="Times New Roman"/>
          <w:sz w:val="24"/>
          <w:szCs w:val="24"/>
        </w:rPr>
        <w:t xml:space="preserve">Bowers, K. D., et al. (2006). Scalable algorithms for molecular dynamics simulations on commodity clusters. </w:t>
      </w:r>
      <w:r>
        <w:rPr>
          <w:rFonts w:ascii="Times New Roman" w:cs="Times New Roman" w:eastAsia="Times New Roman" w:hAnsi="Times New Roman"/>
          <w:i/>
          <w:iCs/>
          <w:sz w:val="24"/>
          <w:szCs w:val="24"/>
        </w:rPr>
        <w:t xml:space="preserve">Proc. ACM/IEEE SC 2006</w:t>
      </w:r>
      <w:r>
        <w:rPr>
          <w:rFonts w:ascii="Times New Roman" w:cs="Times New Roman" w:eastAsia="Times New Roman" w:hAnsi="Times New Roman"/>
          <w:sz w:val="24"/>
          <w:szCs w:val="24"/>
        </w:rPr>
        <w:t xml:space="preserve">, 43–43.</w:t>
      </w:r>
    </w:p>
    <w:p>
      <w:pPr>
        <w:spacing w:after="80"/>
      </w:pPr>
      <w:r>
        <w:rPr>
          <w:rFonts w:ascii="Times New Roman" w:cs="Times New Roman" w:eastAsia="Times New Roman" w:hAnsi="Times New Roman"/>
          <w:sz w:val="24"/>
          <w:szCs w:val="24"/>
        </w:rPr>
        <w:t xml:space="preserve">Chen, T., &amp; Guestrin, C. (2016). XGBoost: A scalable tree boosting system. </w:t>
      </w:r>
      <w:r>
        <w:rPr>
          <w:rFonts w:ascii="Times New Roman" w:cs="Times New Roman" w:eastAsia="Times New Roman" w:hAnsi="Times New Roman"/>
          <w:i/>
          <w:iCs/>
          <w:sz w:val="24"/>
          <w:szCs w:val="24"/>
        </w:rPr>
        <w:t xml:space="preserve">KDD 2016</w:t>
      </w:r>
      <w:r>
        <w:rPr>
          <w:rFonts w:ascii="Times New Roman" w:cs="Times New Roman" w:eastAsia="Times New Roman" w:hAnsi="Times New Roman"/>
          <w:sz w:val="24"/>
          <w:szCs w:val="24"/>
        </w:rPr>
        <w:t xml:space="preserve">, 785–794.</w:t>
      </w:r>
    </w:p>
    <w:p>
      <w:pPr>
        <w:spacing w:after="80"/>
      </w:pPr>
      <w:r>
        <w:rPr>
          <w:rFonts w:ascii="Times New Roman" w:cs="Times New Roman" w:eastAsia="Times New Roman" w:hAnsi="Times New Roman"/>
          <w:sz w:val="24"/>
          <w:szCs w:val="24"/>
        </w:rPr>
        <w:t xml:space="preserve">Chodera, J. D., et al. (2020). openmmtools: Building blocks for alchemical free energy calculations. </w:t>
      </w:r>
      <w:r>
        <w:rPr>
          <w:rFonts w:ascii="Times New Roman" w:cs="Times New Roman" w:eastAsia="Times New Roman" w:hAnsi="Times New Roman"/>
          <w:i/>
          <w:iCs/>
          <w:sz w:val="24"/>
          <w:szCs w:val="24"/>
        </w:rPr>
        <w:t xml:space="preserve">GitHub Repository</w:t>
      </w:r>
      <w:r>
        <w:rPr>
          <w:rFonts w:ascii="Times New Roman" w:cs="Times New Roman" w:eastAsia="Times New Roman" w:hAnsi="Times New Roman"/>
          <w:sz w:val="24"/>
          <w:szCs w:val="24"/>
        </w:rPr>
        <w:t xml:space="preserve">.</w:t>
      </w:r>
    </w:p>
    <w:p>
      <w:pPr>
        <w:spacing w:after="80"/>
      </w:pPr>
      <w:r>
        <w:rPr>
          <w:rFonts w:ascii="Times New Roman" w:cs="Times New Roman" w:eastAsia="Times New Roman" w:hAnsi="Times New Roman"/>
          <w:sz w:val="24"/>
          <w:szCs w:val="24"/>
        </w:rPr>
        <w:t xml:space="preserve">Cournia, Z., Allen, B., &amp; Sherman, W. (2017). Relative binding free energy calculations in drug discovery. </w:t>
      </w:r>
      <w:r>
        <w:rPr>
          <w:rFonts w:ascii="Times New Roman" w:cs="Times New Roman" w:eastAsia="Times New Roman" w:hAnsi="Times New Roman"/>
          <w:i/>
          <w:iCs/>
          <w:sz w:val="24"/>
          <w:szCs w:val="24"/>
        </w:rPr>
        <w:t xml:space="preserve">J. Chem. Inf. Model.</w:t>
      </w:r>
      <w:r>
        <w:rPr>
          <w:rFonts w:ascii="Times New Roman" w:cs="Times New Roman" w:eastAsia="Times New Roman" w:hAnsi="Times New Roman"/>
          <w:sz w:val="24"/>
          <w:szCs w:val="24"/>
        </w:rPr>
        <w:t xml:space="preserve">, 57(12), 2911–2937.</w:t>
      </w:r>
    </w:p>
    <w:p>
      <w:pPr>
        <w:spacing w:after="80"/>
      </w:pPr>
      <w:r>
        <w:rPr>
          <w:rFonts w:ascii="Times New Roman" w:cs="Times New Roman" w:eastAsia="Times New Roman" w:hAnsi="Times New Roman"/>
          <w:sz w:val="24"/>
          <w:szCs w:val="24"/>
        </w:rPr>
        <w:t xml:space="preserve">Dahlhamer, J. M., et al. (2016). Prevalence of IBD among adults aged ≥18 years. </w:t>
      </w:r>
      <w:r>
        <w:rPr>
          <w:rFonts w:ascii="Times New Roman" w:cs="Times New Roman" w:eastAsia="Times New Roman" w:hAnsi="Times New Roman"/>
          <w:i/>
          <w:iCs/>
          <w:sz w:val="24"/>
          <w:szCs w:val="24"/>
        </w:rPr>
        <w:t xml:space="preserve">MMWR Surveill. Summ.</w:t>
      </w:r>
      <w:r>
        <w:rPr>
          <w:rFonts w:ascii="Times New Roman" w:cs="Times New Roman" w:eastAsia="Times New Roman" w:hAnsi="Times New Roman"/>
          <w:sz w:val="24"/>
          <w:szCs w:val="24"/>
        </w:rPr>
        <w:t xml:space="preserve">, 65(42), 1166–1170.</w:t>
      </w:r>
    </w:p>
    <w:p>
      <w:pPr>
        <w:spacing w:after="80"/>
      </w:pPr>
      <w:r>
        <w:rPr>
          <w:rFonts w:ascii="Times New Roman" w:cs="Times New Roman" w:eastAsia="Times New Roman" w:hAnsi="Times New Roman"/>
          <w:sz w:val="24"/>
          <w:szCs w:val="24"/>
        </w:rPr>
        <w:t xml:space="preserve">Daina, A., Michielin, O., &amp; Zoete, V. (2017). SwissADME: A free web tool to evaluate pharmacokinetics. </w:t>
      </w:r>
      <w:r>
        <w:rPr>
          <w:rFonts w:ascii="Times New Roman" w:cs="Times New Roman" w:eastAsia="Times New Roman" w:hAnsi="Times New Roman"/>
          <w:i/>
          <w:iCs/>
          <w:sz w:val="24"/>
          <w:szCs w:val="24"/>
        </w:rPr>
        <w:t xml:space="preserve">Sci. Rep.</w:t>
      </w:r>
      <w:r>
        <w:rPr>
          <w:rFonts w:ascii="Times New Roman" w:cs="Times New Roman" w:eastAsia="Times New Roman" w:hAnsi="Times New Roman"/>
          <w:sz w:val="24"/>
          <w:szCs w:val="24"/>
        </w:rPr>
        <w:t xml:space="preserve">, 7, 42717.</w:t>
      </w:r>
    </w:p>
    <w:p>
      <w:pPr>
        <w:spacing w:after="80"/>
      </w:pPr>
      <w:r>
        <w:rPr>
          <w:rFonts w:ascii="Times New Roman" w:cs="Times New Roman" w:eastAsia="Times New Roman" w:hAnsi="Times New Roman"/>
          <w:sz w:val="24"/>
          <w:szCs w:val="24"/>
        </w:rPr>
        <w:t xml:space="preserve">Darden, T., York, D., &amp; Pedersen, L. (1993). Particle mesh Ewald: An N·log(N) method for Ewald sums. </w:t>
      </w:r>
      <w:r>
        <w:rPr>
          <w:rFonts w:ascii="Times New Roman" w:cs="Times New Roman" w:eastAsia="Times New Roman" w:hAnsi="Times New Roman"/>
          <w:i/>
          <w:iCs/>
          <w:sz w:val="24"/>
          <w:szCs w:val="24"/>
        </w:rPr>
        <w:t xml:space="preserve">J. Chem. Phys.</w:t>
      </w:r>
      <w:r>
        <w:rPr>
          <w:rFonts w:ascii="Times New Roman" w:cs="Times New Roman" w:eastAsia="Times New Roman" w:hAnsi="Times New Roman"/>
          <w:sz w:val="24"/>
          <w:szCs w:val="24"/>
        </w:rPr>
        <w:t xml:space="preserve">, 98(12), 10089–10092.</w:t>
      </w:r>
    </w:p>
    <w:p>
      <w:pPr>
        <w:spacing w:after="80"/>
      </w:pPr>
      <w:r>
        <w:rPr>
          <w:rFonts w:ascii="Times New Roman" w:cs="Times New Roman" w:eastAsia="Times New Roman" w:hAnsi="Times New Roman"/>
          <w:sz w:val="24"/>
          <w:szCs w:val="24"/>
        </w:rPr>
        <w:t xml:space="preserve">Eastman, P., et al. (2017). OpenMM 7: Rapid development of high performance algorithms for molecular dynamics. </w:t>
      </w:r>
      <w:r>
        <w:rPr>
          <w:rFonts w:ascii="Times New Roman" w:cs="Times New Roman" w:eastAsia="Times New Roman" w:hAnsi="Times New Roman"/>
          <w:i/>
          <w:iCs/>
          <w:sz w:val="24"/>
          <w:szCs w:val="24"/>
        </w:rPr>
        <w:t xml:space="preserve">PLOS Comput. Biol.</w:t>
      </w:r>
      <w:r>
        <w:rPr>
          <w:rFonts w:ascii="Times New Roman" w:cs="Times New Roman" w:eastAsia="Times New Roman" w:hAnsi="Times New Roman"/>
          <w:sz w:val="24"/>
          <w:szCs w:val="24"/>
        </w:rPr>
        <w:t xml:space="preserve">, 13(7), e1005659.</w:t>
      </w:r>
    </w:p>
    <w:p>
      <w:pPr>
        <w:spacing w:after="80"/>
      </w:pPr>
      <w:r>
        <w:rPr>
          <w:rFonts w:ascii="Times New Roman" w:cs="Times New Roman" w:eastAsia="Times New Roman" w:hAnsi="Times New Roman"/>
          <w:sz w:val="24"/>
          <w:szCs w:val="24"/>
        </w:rPr>
        <w:t xml:space="preserve">Essmann, U., et al. (1995). A smooth particle mesh Ewald method. </w:t>
      </w:r>
      <w:r>
        <w:rPr>
          <w:rFonts w:ascii="Times New Roman" w:cs="Times New Roman" w:eastAsia="Times New Roman" w:hAnsi="Times New Roman"/>
          <w:i/>
          <w:iCs/>
          <w:sz w:val="24"/>
          <w:szCs w:val="24"/>
        </w:rPr>
        <w:t xml:space="preserve">J. Chem. Phys.</w:t>
      </w:r>
      <w:r>
        <w:rPr>
          <w:rFonts w:ascii="Times New Roman" w:cs="Times New Roman" w:eastAsia="Times New Roman" w:hAnsi="Times New Roman"/>
          <w:sz w:val="24"/>
          <w:szCs w:val="24"/>
        </w:rPr>
        <w:t xml:space="preserve">, 103(19), 8577–8593.</w:t>
      </w:r>
    </w:p>
    <w:p>
      <w:pPr>
        <w:spacing w:after="80"/>
      </w:pPr>
      <w:r>
        <w:rPr>
          <w:rFonts w:ascii="Times New Roman" w:cs="Times New Roman" w:eastAsia="Times New Roman" w:hAnsi="Times New Roman"/>
          <w:sz w:val="24"/>
          <w:szCs w:val="24"/>
        </w:rPr>
        <w:t xml:space="preserve">Frantz, M. P., &amp; Bhatt, D. L. (2017). Drug repurposing: Promising strategies and challenges. </w:t>
      </w:r>
      <w:r>
        <w:rPr>
          <w:rFonts w:ascii="Times New Roman" w:cs="Times New Roman" w:eastAsia="Times New Roman" w:hAnsi="Times New Roman"/>
          <w:i/>
          <w:iCs/>
          <w:sz w:val="24"/>
          <w:szCs w:val="24"/>
        </w:rPr>
        <w:t xml:space="preserve">Nat. Rev. Drug Discov.</w:t>
      </w:r>
      <w:r>
        <w:rPr>
          <w:rFonts w:ascii="Times New Roman" w:cs="Times New Roman" w:eastAsia="Times New Roman" w:hAnsi="Times New Roman"/>
          <w:sz w:val="24"/>
          <w:szCs w:val="24"/>
        </w:rPr>
        <w:t xml:space="preserve">, 16(1), 59–60.</w:t>
      </w:r>
    </w:p>
    <w:p>
      <w:pPr>
        <w:spacing w:after="80"/>
      </w:pPr>
      <w:r>
        <w:rPr>
          <w:rFonts w:ascii="Times New Roman" w:cs="Times New Roman" w:eastAsia="Times New Roman" w:hAnsi="Times New Roman"/>
          <w:sz w:val="24"/>
          <w:szCs w:val="24"/>
        </w:rPr>
        <w:t xml:space="preserve">Giorgino, T. (2019). Computing 1-D atomic densities in macromolecular simulations. </w:t>
      </w:r>
      <w:r>
        <w:rPr>
          <w:rFonts w:ascii="Times New Roman" w:cs="Times New Roman" w:eastAsia="Times New Roman" w:hAnsi="Times New Roman"/>
          <w:i/>
          <w:iCs/>
          <w:sz w:val="24"/>
          <w:szCs w:val="24"/>
        </w:rPr>
        <w:t xml:space="preserve">Comput. Phys. Commun.</w:t>
      </w:r>
      <w:r>
        <w:rPr>
          <w:rFonts w:ascii="Times New Roman" w:cs="Times New Roman" w:eastAsia="Times New Roman" w:hAnsi="Times New Roman"/>
          <w:sz w:val="24"/>
          <w:szCs w:val="24"/>
        </w:rPr>
        <w:t xml:space="preserve">, 170(1), 51–56.</w:t>
      </w:r>
    </w:p>
    <w:p>
      <w:pPr>
        <w:spacing w:after="80"/>
      </w:pPr>
      <w:r>
        <w:rPr>
          <w:rFonts w:ascii="Times New Roman" w:cs="Times New Roman" w:eastAsia="Times New Roman" w:hAnsi="Times New Roman"/>
          <w:sz w:val="24"/>
          <w:szCs w:val="24"/>
        </w:rPr>
        <w:t xml:space="preserve">Harder, E., et al. (2016). OPLS3: A force field providing broad coverage of drug-like small molecules. </w:t>
      </w:r>
      <w:r>
        <w:rPr>
          <w:rFonts w:ascii="Times New Roman" w:cs="Times New Roman" w:eastAsia="Times New Roman" w:hAnsi="Times New Roman"/>
          <w:i/>
          <w:iCs/>
          <w:sz w:val="24"/>
          <w:szCs w:val="24"/>
        </w:rPr>
        <w:t xml:space="preserve">J. Chem. Theory Comput.</w:t>
      </w:r>
      <w:r>
        <w:rPr>
          <w:rFonts w:ascii="Times New Roman" w:cs="Times New Roman" w:eastAsia="Times New Roman" w:hAnsi="Times New Roman"/>
          <w:sz w:val="24"/>
          <w:szCs w:val="24"/>
        </w:rPr>
        <w:t xml:space="preserve">, 12(1), 281–296.</w:t>
      </w:r>
    </w:p>
    <w:p>
      <w:pPr>
        <w:spacing w:after="80"/>
      </w:pPr>
      <w:r>
        <w:rPr>
          <w:rFonts w:ascii="Times New Roman" w:cs="Times New Roman" w:eastAsia="Times New Roman" w:hAnsi="Times New Roman"/>
          <w:sz w:val="24"/>
          <w:szCs w:val="24"/>
        </w:rPr>
        <w:t xml:space="preserve">Hopkins, C. W., et al. (2015). Long-time-step MD through hydrogen mass repartitioning. </w:t>
      </w:r>
      <w:r>
        <w:rPr>
          <w:rFonts w:ascii="Times New Roman" w:cs="Times New Roman" w:eastAsia="Times New Roman" w:hAnsi="Times New Roman"/>
          <w:i/>
          <w:iCs/>
          <w:sz w:val="24"/>
          <w:szCs w:val="24"/>
        </w:rPr>
        <w:t xml:space="preserve">J. Chem. Theory Comput.</w:t>
      </w:r>
      <w:r>
        <w:rPr>
          <w:rFonts w:ascii="Times New Roman" w:cs="Times New Roman" w:eastAsia="Times New Roman" w:hAnsi="Times New Roman"/>
          <w:sz w:val="24"/>
          <w:szCs w:val="24"/>
        </w:rPr>
        <w:t xml:space="preserve">, 11(4), 1864–1874.</w:t>
      </w:r>
    </w:p>
    <w:p>
      <w:pPr>
        <w:spacing w:after="80"/>
      </w:pPr>
      <w:r>
        <w:rPr>
          <w:rFonts w:ascii="Times New Roman" w:cs="Times New Roman" w:eastAsia="Times New Roman" w:hAnsi="Times New Roman"/>
          <w:sz w:val="24"/>
          <w:szCs w:val="24"/>
        </w:rPr>
        <w:t xml:space="preserve">Hugot, J. P., et al. (2001). Association of NOD2 leucine-rich repeat variants with susceptibility to Crohn’s disease.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411, 599–603.</w:t>
      </w:r>
    </w:p>
    <w:p>
      <w:pPr>
        <w:spacing w:after="80"/>
      </w:pPr>
      <w:r>
        <w:rPr>
          <w:rFonts w:ascii="Times New Roman" w:cs="Times New Roman" w:eastAsia="Times New Roman" w:hAnsi="Times New Roman"/>
          <w:sz w:val="24"/>
          <w:szCs w:val="24"/>
        </w:rPr>
        <w:t xml:space="preserve">Humphreys, D. D., Friesner, R. A., &amp; Berne, B. J. (1994). A multiple-time-step molecular dynamics algorithm. </w:t>
      </w:r>
      <w:r>
        <w:rPr>
          <w:rFonts w:ascii="Times New Roman" w:cs="Times New Roman" w:eastAsia="Times New Roman" w:hAnsi="Times New Roman"/>
          <w:i/>
          <w:iCs/>
          <w:sz w:val="24"/>
          <w:szCs w:val="24"/>
        </w:rPr>
        <w:t xml:space="preserve">J. Phys. Chem.</w:t>
      </w:r>
      <w:r>
        <w:rPr>
          <w:rFonts w:ascii="Times New Roman" w:cs="Times New Roman" w:eastAsia="Times New Roman" w:hAnsi="Times New Roman"/>
          <w:sz w:val="24"/>
          <w:szCs w:val="24"/>
        </w:rPr>
        <w:t xml:space="preserve">, 98(27), 6885–6892.</w:t>
      </w:r>
    </w:p>
    <w:p>
      <w:pPr>
        <w:spacing w:after="80"/>
      </w:pPr>
      <w:r>
        <w:rPr>
          <w:rFonts w:ascii="Times New Roman" w:cs="Times New Roman" w:eastAsia="Times New Roman" w:hAnsi="Times New Roman"/>
          <w:sz w:val="24"/>
          <w:szCs w:val="24"/>
        </w:rPr>
        <w:t xml:space="preserve">Inohara, N., et al. (2003). Host recognition of bacterial muramyl dipeptide mediated through NOD2. </w:t>
      </w:r>
      <w:r>
        <w:rPr>
          <w:rFonts w:ascii="Times New Roman" w:cs="Times New Roman" w:eastAsia="Times New Roman" w:hAnsi="Times New Roman"/>
          <w:i/>
          <w:iCs/>
          <w:sz w:val="24"/>
          <w:szCs w:val="24"/>
        </w:rPr>
        <w:t xml:space="preserve">J. Biol. Chem.</w:t>
      </w:r>
      <w:r>
        <w:rPr>
          <w:rFonts w:ascii="Times New Roman" w:cs="Times New Roman" w:eastAsia="Times New Roman" w:hAnsi="Times New Roman"/>
          <w:sz w:val="24"/>
          <w:szCs w:val="24"/>
        </w:rPr>
        <w:t xml:space="preserve">, 278(8), 5509–5512.</w:t>
      </w:r>
    </w:p>
    <w:p>
      <w:pPr>
        <w:spacing w:after="80"/>
      </w:pPr>
      <w:r>
        <w:rPr>
          <w:rFonts w:ascii="Times New Roman" w:cs="Times New Roman" w:eastAsia="Times New Roman" w:hAnsi="Times New Roman"/>
          <w:sz w:val="24"/>
          <w:szCs w:val="24"/>
        </w:rPr>
        <w:t xml:space="preserve">Jorgensen, W. L., et al. (1983). Comparison of simple potential functions for simulating liquid water. </w:t>
      </w:r>
      <w:r>
        <w:rPr>
          <w:rFonts w:ascii="Times New Roman" w:cs="Times New Roman" w:eastAsia="Times New Roman" w:hAnsi="Times New Roman"/>
          <w:i/>
          <w:iCs/>
          <w:sz w:val="24"/>
          <w:szCs w:val="24"/>
        </w:rPr>
        <w:t xml:space="preserve">J. Chem. Phys.</w:t>
      </w:r>
      <w:r>
        <w:rPr>
          <w:rFonts w:ascii="Times New Roman" w:cs="Times New Roman" w:eastAsia="Times New Roman" w:hAnsi="Times New Roman"/>
          <w:sz w:val="24"/>
          <w:szCs w:val="24"/>
        </w:rPr>
        <w:t xml:space="preserve">, 79(2), 926–935.</w:t>
      </w:r>
    </w:p>
    <w:p>
      <w:pPr>
        <w:spacing w:after="80"/>
      </w:pPr>
      <w:r>
        <w:rPr>
          <w:rFonts w:ascii="Times New Roman" w:cs="Times New Roman" w:eastAsia="Times New Roman" w:hAnsi="Times New Roman"/>
          <w:sz w:val="24"/>
          <w:szCs w:val="24"/>
        </w:rPr>
        <w:t xml:space="preserve">Jumper, J., et al. (2021). Highly accurate protein structure prediction with AlphaFold.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596, 583–589.</w:t>
      </w:r>
    </w:p>
    <w:p>
      <w:pPr>
        <w:spacing w:after="80"/>
      </w:pPr>
      <w:r>
        <w:rPr>
          <w:rFonts w:ascii="Times New Roman" w:cs="Times New Roman" w:eastAsia="Times New Roman" w:hAnsi="Times New Roman"/>
          <w:sz w:val="24"/>
          <w:szCs w:val="24"/>
        </w:rPr>
        <w:t xml:space="preserve">Kitchen, D. B., et al. (2004). Docking and scoring in virtual screening for drug discovery. </w:t>
      </w:r>
      <w:r>
        <w:rPr>
          <w:rFonts w:ascii="Times New Roman" w:cs="Times New Roman" w:eastAsia="Times New Roman" w:hAnsi="Times New Roman"/>
          <w:i/>
          <w:iCs/>
          <w:sz w:val="24"/>
          <w:szCs w:val="24"/>
        </w:rPr>
        <w:t xml:space="preserve">Nat. Rev. Drug Discov.</w:t>
      </w:r>
      <w:r>
        <w:rPr>
          <w:rFonts w:ascii="Times New Roman" w:cs="Times New Roman" w:eastAsia="Times New Roman" w:hAnsi="Times New Roman"/>
          <w:sz w:val="24"/>
          <w:szCs w:val="24"/>
        </w:rPr>
        <w:t xml:space="preserve">, 3(11), 935–949.</w:t>
      </w:r>
    </w:p>
    <w:p>
      <w:pPr>
        <w:spacing w:after="80"/>
      </w:pPr>
      <w:r>
        <w:rPr>
          <w:rFonts w:ascii="Times New Roman" w:cs="Times New Roman" w:eastAsia="Times New Roman" w:hAnsi="Times New Roman"/>
          <w:sz w:val="24"/>
          <w:szCs w:val="24"/>
        </w:rPr>
        <w:t xml:space="preserve">Klimovich, P. V., Shirts, M. R., &amp; Mobley, D. L. (2015). Guidelines for the analysis of free energy calculations. </w:t>
      </w:r>
      <w:r>
        <w:rPr>
          <w:rFonts w:ascii="Times New Roman" w:cs="Times New Roman" w:eastAsia="Times New Roman" w:hAnsi="Times New Roman"/>
          <w:i/>
          <w:iCs/>
          <w:sz w:val="24"/>
          <w:szCs w:val="24"/>
        </w:rPr>
        <w:t xml:space="preserve">J. Comput.-Aided Mol. Des.</w:t>
      </w:r>
      <w:r>
        <w:rPr>
          <w:rFonts w:ascii="Times New Roman" w:cs="Times New Roman" w:eastAsia="Times New Roman" w:hAnsi="Times New Roman"/>
          <w:sz w:val="24"/>
          <w:szCs w:val="24"/>
        </w:rPr>
        <w:t xml:space="preserve">, 29(5), 397–411.</w:t>
      </w:r>
    </w:p>
    <w:p>
      <w:pPr>
        <w:spacing w:after="80"/>
      </w:pPr>
      <w:r>
        <w:rPr>
          <w:rFonts w:ascii="Times New Roman" w:cs="Times New Roman" w:eastAsia="Times New Roman" w:hAnsi="Times New Roman"/>
          <w:sz w:val="24"/>
          <w:szCs w:val="24"/>
        </w:rPr>
        <w:t xml:space="preserve">Landrum, G. (2016). RDKit: Open-source cheminformatics. </w:t>
      </w:r>
      <w:r>
        <w:rPr>
          <w:rFonts w:ascii="Times New Roman" w:cs="Times New Roman" w:eastAsia="Times New Roman" w:hAnsi="Times New Roman"/>
          <w:i/>
          <w:iCs/>
          <w:sz w:val="24"/>
          <w:szCs w:val="24"/>
        </w:rPr>
        <w:t xml:space="preserve">GitHub Repository</w:t>
      </w:r>
      <w:r>
        <w:rPr>
          <w:rFonts w:ascii="Times New Roman" w:cs="Times New Roman" w:eastAsia="Times New Roman" w:hAnsi="Times New Roman"/>
          <w:sz w:val="24"/>
          <w:szCs w:val="24"/>
        </w:rPr>
        <w:t xml:space="preserve">.</w:t>
      </w:r>
    </w:p>
    <w:p>
      <w:pPr>
        <w:spacing w:after="80"/>
      </w:pPr>
      <w:r>
        <w:rPr>
          <w:rFonts w:ascii="Times New Roman" w:cs="Times New Roman" w:eastAsia="Times New Roman" w:hAnsi="Times New Roman"/>
          <w:sz w:val="24"/>
          <w:szCs w:val="24"/>
        </w:rPr>
        <w:t xml:space="preserve">Lipinski, C. A., et al. (1997). Experimental and computational approaches to estimate solubility and permeability. </w:t>
      </w:r>
      <w:r>
        <w:rPr>
          <w:rFonts w:ascii="Times New Roman" w:cs="Times New Roman" w:eastAsia="Times New Roman" w:hAnsi="Times New Roman"/>
          <w:i/>
          <w:iCs/>
          <w:sz w:val="24"/>
          <w:szCs w:val="24"/>
        </w:rPr>
        <w:t xml:space="preserve">Adv. Drug Deliv. Rev.</w:t>
      </w:r>
      <w:r>
        <w:rPr>
          <w:rFonts w:ascii="Times New Roman" w:cs="Times New Roman" w:eastAsia="Times New Roman" w:hAnsi="Times New Roman"/>
          <w:sz w:val="24"/>
          <w:szCs w:val="24"/>
        </w:rPr>
        <w:t xml:space="preserve">, 23, 3–25.</w:t>
      </w:r>
    </w:p>
    <w:p>
      <w:pPr>
        <w:spacing w:after="80"/>
      </w:pPr>
      <w:r>
        <w:rPr>
          <w:rFonts w:ascii="Times New Roman" w:cs="Times New Roman" w:eastAsia="Times New Roman" w:hAnsi="Times New Roman"/>
          <w:sz w:val="24"/>
          <w:szCs w:val="24"/>
        </w:rPr>
        <w:t xml:space="preserve">Maier, J. A., et al. (2015). ff14SB: Improving the accuracy of protein side chain and backbone parameters. </w:t>
      </w:r>
      <w:r>
        <w:rPr>
          <w:rFonts w:ascii="Times New Roman" w:cs="Times New Roman" w:eastAsia="Times New Roman" w:hAnsi="Times New Roman"/>
          <w:i/>
          <w:iCs/>
          <w:sz w:val="24"/>
          <w:szCs w:val="24"/>
        </w:rPr>
        <w:t xml:space="preserve">J. Chem. Theory Comput.</w:t>
      </w:r>
      <w:r>
        <w:rPr>
          <w:rFonts w:ascii="Times New Roman" w:cs="Times New Roman" w:eastAsia="Times New Roman" w:hAnsi="Times New Roman"/>
          <w:sz w:val="24"/>
          <w:szCs w:val="24"/>
        </w:rPr>
        <w:t xml:space="preserve">, 11(8), 3696–3713.</w:t>
      </w:r>
    </w:p>
    <w:p>
      <w:pPr>
        <w:spacing w:after="80"/>
      </w:pPr>
      <w:r>
        <w:rPr>
          <w:rFonts w:ascii="Times New Roman" w:cs="Times New Roman" w:eastAsia="Times New Roman" w:hAnsi="Times New Roman"/>
          <w:sz w:val="24"/>
          <w:szCs w:val="24"/>
        </w:rPr>
        <w:t xml:space="preserve">McGibbon, R. T., et al. (2015). MDTraj: A modern open library for the analysis of molecular dynamics trajectories. </w:t>
      </w:r>
      <w:r>
        <w:rPr>
          <w:rFonts w:ascii="Times New Roman" w:cs="Times New Roman" w:eastAsia="Times New Roman" w:hAnsi="Times New Roman"/>
          <w:i/>
          <w:iCs/>
          <w:sz w:val="24"/>
          <w:szCs w:val="24"/>
        </w:rPr>
        <w:t xml:space="preserve">Biophys. J.</w:t>
      </w:r>
      <w:r>
        <w:rPr>
          <w:rFonts w:ascii="Times New Roman" w:cs="Times New Roman" w:eastAsia="Times New Roman" w:hAnsi="Times New Roman"/>
          <w:sz w:val="24"/>
          <w:szCs w:val="24"/>
        </w:rPr>
        <w:t xml:space="preserve">, 109(8), 1528–1532.</w:t>
      </w:r>
    </w:p>
    <w:p>
      <w:pPr>
        <w:spacing w:after="80"/>
      </w:pPr>
      <w:r>
        <w:rPr>
          <w:rFonts w:ascii="Times New Roman" w:cs="Times New Roman" w:eastAsia="Times New Roman" w:hAnsi="Times New Roman"/>
          <w:sz w:val="24"/>
          <w:szCs w:val="24"/>
        </w:rPr>
        <w:t xml:space="preserve">McNutt, A. T., et al. (2021). GNINA 1.0: Molecular docking with deep learning. </w:t>
      </w:r>
      <w:r>
        <w:rPr>
          <w:rFonts w:ascii="Times New Roman" w:cs="Times New Roman" w:eastAsia="Times New Roman" w:hAnsi="Times New Roman"/>
          <w:i/>
          <w:iCs/>
          <w:sz w:val="24"/>
          <w:szCs w:val="24"/>
        </w:rPr>
        <w:t xml:space="preserve">J. Cheminform.</w:t>
      </w:r>
      <w:r>
        <w:rPr>
          <w:rFonts w:ascii="Times New Roman" w:cs="Times New Roman" w:eastAsia="Times New Roman" w:hAnsi="Times New Roman"/>
          <w:sz w:val="24"/>
          <w:szCs w:val="24"/>
        </w:rPr>
        <w:t xml:space="preserve">, 13(1), 43.</w:t>
      </w:r>
    </w:p>
    <w:p>
      <w:pPr>
        <w:spacing w:after="80"/>
      </w:pPr>
      <w:r>
        <w:rPr>
          <w:rFonts w:ascii="Times New Roman" w:cs="Times New Roman" w:eastAsia="Times New Roman" w:hAnsi="Times New Roman"/>
          <w:sz w:val="24"/>
          <w:szCs w:val="24"/>
        </w:rPr>
        <w:t xml:space="preserve">Mobley, D. L., &amp; Gilson, M. K. (2017). Predicting binding free energies: Frontiers and benchmarks. </w:t>
      </w:r>
      <w:r>
        <w:rPr>
          <w:rFonts w:ascii="Times New Roman" w:cs="Times New Roman" w:eastAsia="Times New Roman" w:hAnsi="Times New Roman"/>
          <w:i/>
          <w:iCs/>
          <w:sz w:val="24"/>
          <w:szCs w:val="24"/>
        </w:rPr>
        <w:t xml:space="preserve">Annu. Rev. Biophys.</w:t>
      </w:r>
      <w:r>
        <w:rPr>
          <w:rFonts w:ascii="Times New Roman" w:cs="Times New Roman" w:eastAsia="Times New Roman" w:hAnsi="Times New Roman"/>
          <w:sz w:val="24"/>
          <w:szCs w:val="24"/>
        </w:rPr>
        <w:t xml:space="preserve">, 46, 531–558.</w:t>
      </w:r>
    </w:p>
    <w:p>
      <w:pPr>
        <w:spacing w:after="80"/>
      </w:pPr>
      <w:r>
        <w:rPr>
          <w:rFonts w:ascii="Times New Roman" w:cs="Times New Roman" w:eastAsia="Times New Roman" w:hAnsi="Times New Roman"/>
          <w:sz w:val="24"/>
          <w:szCs w:val="24"/>
        </w:rPr>
        <w:t xml:space="preserve">Mobley, D. L., Chodera, J. D., &amp; Dill, K. A. (2006). On the use of orientational restraints and symmetry corrections in alchemical free energy calculations. </w:t>
      </w:r>
      <w:r>
        <w:rPr>
          <w:rFonts w:ascii="Times New Roman" w:cs="Times New Roman" w:eastAsia="Times New Roman" w:hAnsi="Times New Roman"/>
          <w:i/>
          <w:iCs/>
          <w:sz w:val="24"/>
          <w:szCs w:val="24"/>
        </w:rPr>
        <w:t xml:space="preserve">J. Chem. Phys.</w:t>
      </w:r>
      <w:r>
        <w:rPr>
          <w:rFonts w:ascii="Times New Roman" w:cs="Times New Roman" w:eastAsia="Times New Roman" w:hAnsi="Times New Roman"/>
          <w:sz w:val="24"/>
          <w:szCs w:val="24"/>
        </w:rPr>
        <w:t xml:space="preserve">, 125(8), 084902.</w:t>
      </w:r>
    </w:p>
    <w:p>
      <w:pPr>
        <w:spacing w:after="80"/>
      </w:pPr>
      <w:r>
        <w:rPr>
          <w:rFonts w:ascii="Times New Roman" w:cs="Times New Roman" w:eastAsia="Times New Roman" w:hAnsi="Times New Roman"/>
          <w:sz w:val="24"/>
          <w:szCs w:val="24"/>
        </w:rPr>
        <w:t xml:space="preserve">Morris, G. M., et al. (2009). AutoDock4 and AutoDockTools4. </w:t>
      </w:r>
      <w:r>
        <w:rPr>
          <w:rFonts w:ascii="Times New Roman" w:cs="Times New Roman" w:eastAsia="Times New Roman" w:hAnsi="Times New Roman"/>
          <w:i/>
          <w:iCs/>
          <w:sz w:val="24"/>
          <w:szCs w:val="24"/>
        </w:rPr>
        <w:t xml:space="preserve">J. Comput. Chem.</w:t>
      </w:r>
      <w:r>
        <w:rPr>
          <w:rFonts w:ascii="Times New Roman" w:cs="Times New Roman" w:eastAsia="Times New Roman" w:hAnsi="Times New Roman"/>
          <w:sz w:val="24"/>
          <w:szCs w:val="24"/>
        </w:rPr>
        <w:t xml:space="preserve">, 30(16), 2785–2791.</w:t>
      </w:r>
    </w:p>
    <w:p>
      <w:pPr>
        <w:spacing w:after="80"/>
      </w:pPr>
      <w:r>
        <w:rPr>
          <w:rFonts w:ascii="Times New Roman" w:cs="Times New Roman" w:eastAsia="Times New Roman" w:hAnsi="Times New Roman"/>
          <w:sz w:val="24"/>
          <w:szCs w:val="24"/>
        </w:rPr>
        <w:t xml:space="preserve">Mura, C., et al. (2019). An introduction to biomolecular simulations and docking. </w:t>
      </w:r>
      <w:r>
        <w:rPr>
          <w:rFonts w:ascii="Times New Roman" w:cs="Times New Roman" w:eastAsia="Times New Roman" w:hAnsi="Times New Roman"/>
          <w:i/>
          <w:iCs/>
          <w:sz w:val="24"/>
          <w:szCs w:val="24"/>
        </w:rPr>
        <w:t xml:space="preserve">Mol. Simul.</w:t>
      </w:r>
      <w:r>
        <w:rPr>
          <w:rFonts w:ascii="Times New Roman" w:cs="Times New Roman" w:eastAsia="Times New Roman" w:hAnsi="Times New Roman"/>
          <w:sz w:val="24"/>
          <w:szCs w:val="24"/>
        </w:rPr>
        <w:t xml:space="preserve">, 45, 1301–1320.</w:t>
      </w:r>
    </w:p>
    <w:p>
      <w:pPr>
        <w:spacing w:after="80"/>
      </w:pPr>
      <w:r>
        <w:rPr>
          <w:rFonts w:ascii="Times New Roman" w:cs="Times New Roman" w:eastAsia="Times New Roman" w:hAnsi="Times New Roman"/>
          <w:sz w:val="24"/>
          <w:szCs w:val="24"/>
        </w:rPr>
        <w:t xml:space="preserve">O’Boyle, N. M., et al. (2011). Open Babel: An open chemical toolbox. </w:t>
      </w:r>
      <w:r>
        <w:rPr>
          <w:rFonts w:ascii="Times New Roman" w:cs="Times New Roman" w:eastAsia="Times New Roman" w:hAnsi="Times New Roman"/>
          <w:i/>
          <w:iCs/>
          <w:sz w:val="24"/>
          <w:szCs w:val="24"/>
        </w:rPr>
        <w:t xml:space="preserve">J. Cheminform.</w:t>
      </w:r>
      <w:r>
        <w:rPr>
          <w:rFonts w:ascii="Times New Roman" w:cs="Times New Roman" w:eastAsia="Times New Roman" w:hAnsi="Times New Roman"/>
          <w:sz w:val="24"/>
          <w:szCs w:val="24"/>
        </w:rPr>
        <w:t xml:space="preserve">, 3, 33.</w:t>
      </w:r>
    </w:p>
    <w:p>
      <w:pPr>
        <w:spacing w:after="80"/>
      </w:pPr>
      <w:r>
        <w:rPr>
          <w:rFonts w:ascii="Times New Roman" w:cs="Times New Roman" w:eastAsia="Times New Roman" w:hAnsi="Times New Roman"/>
          <w:sz w:val="24"/>
          <w:szCs w:val="24"/>
        </w:rPr>
        <w:t xml:space="preserve">Ogura, Y., et al. (2001). A frameshift mutation in NOD2 associated with susceptibility to Crohn’s disease.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411, 603–606.</w:t>
      </w:r>
    </w:p>
    <w:p>
      <w:pPr>
        <w:spacing w:after="80"/>
      </w:pPr>
      <w:r>
        <w:rPr>
          <w:rFonts w:ascii="Times New Roman" w:cs="Times New Roman" w:eastAsia="Times New Roman" w:hAnsi="Times New Roman"/>
          <w:sz w:val="24"/>
          <w:szCs w:val="24"/>
        </w:rPr>
        <w:t xml:space="preserve">Pedregosa, F., et al. (2011). Scikit-learn: Machine learning in Python. </w:t>
      </w:r>
      <w:r>
        <w:rPr>
          <w:rFonts w:ascii="Times New Roman" w:cs="Times New Roman" w:eastAsia="Times New Roman" w:hAnsi="Times New Roman"/>
          <w:i/>
          <w:iCs/>
          <w:sz w:val="24"/>
          <w:szCs w:val="24"/>
        </w:rPr>
        <w:t xml:space="preserve">J. Mach. Learn. Res.</w:t>
      </w:r>
      <w:r>
        <w:rPr>
          <w:rFonts w:ascii="Times New Roman" w:cs="Times New Roman" w:eastAsia="Times New Roman" w:hAnsi="Times New Roman"/>
          <w:sz w:val="24"/>
          <w:szCs w:val="24"/>
        </w:rPr>
        <w:t xml:space="preserve">, 12, 2825–2830.</w:t>
      </w:r>
    </w:p>
    <w:p>
      <w:pPr>
        <w:spacing w:after="80"/>
      </w:pPr>
      <w:r>
        <w:rPr>
          <w:rFonts w:ascii="Times New Roman" w:cs="Times New Roman" w:eastAsia="Times New Roman" w:hAnsi="Times New Roman"/>
          <w:sz w:val="24"/>
          <w:szCs w:val="24"/>
        </w:rPr>
        <w:t xml:space="preserve">Philpott, D. J., et al. (2014). NOD proteins: Regulators of inflammation in health and disease. </w:t>
      </w:r>
      <w:r>
        <w:rPr>
          <w:rFonts w:ascii="Times New Roman" w:cs="Times New Roman" w:eastAsia="Times New Roman" w:hAnsi="Times New Roman"/>
          <w:i/>
          <w:iCs/>
          <w:sz w:val="24"/>
          <w:szCs w:val="24"/>
        </w:rPr>
        <w:t xml:space="preserve">Nat. Rev. Immunol.</w:t>
      </w:r>
      <w:r>
        <w:rPr>
          <w:rFonts w:ascii="Times New Roman" w:cs="Times New Roman" w:eastAsia="Times New Roman" w:hAnsi="Times New Roman"/>
          <w:sz w:val="24"/>
          <w:szCs w:val="24"/>
        </w:rPr>
        <w:t xml:space="preserve">, 14(1), 9–23.</w:t>
      </w:r>
    </w:p>
    <w:p>
      <w:pPr>
        <w:spacing w:after="80"/>
      </w:pPr>
      <w:r>
        <w:rPr>
          <w:rFonts w:ascii="Times New Roman" w:cs="Times New Roman" w:eastAsia="Times New Roman" w:hAnsi="Times New Roman"/>
          <w:sz w:val="24"/>
          <w:szCs w:val="24"/>
        </w:rPr>
        <w:t xml:space="preserve">Pihan, E., et al. (2012). e-Drug3D: 3D structure collections dedicated to drug repurposing. </w:t>
      </w:r>
      <w:r>
        <w:rPr>
          <w:rFonts w:ascii="Times New Roman" w:cs="Times New Roman" w:eastAsia="Times New Roman" w:hAnsi="Times New Roman"/>
          <w:i/>
          <w:iCs/>
          <w:sz w:val="24"/>
          <w:szCs w:val="24"/>
        </w:rPr>
        <w:t xml:space="preserve">Bioinformatics</w:t>
      </w:r>
      <w:r>
        <w:rPr>
          <w:rFonts w:ascii="Times New Roman" w:cs="Times New Roman" w:eastAsia="Times New Roman" w:hAnsi="Times New Roman"/>
          <w:sz w:val="24"/>
          <w:szCs w:val="24"/>
        </w:rPr>
        <w:t xml:space="preserve">, 28(11), 1540–1541.</w:t>
      </w:r>
    </w:p>
    <w:p>
      <w:pPr>
        <w:spacing w:after="80"/>
      </w:pPr>
      <w:r>
        <w:rPr>
          <w:rFonts w:ascii="Times New Roman" w:cs="Times New Roman" w:eastAsia="Times New Roman" w:hAnsi="Times New Roman"/>
          <w:sz w:val="24"/>
          <w:szCs w:val="24"/>
        </w:rPr>
        <w:t xml:space="preserve">Pires, D. E. V., Blundell, T. L., &amp; Ascher, D. B. (2015). pkCSM: Predicting pharmacokinetic properties using graph-based signatures. </w:t>
      </w:r>
      <w:r>
        <w:rPr>
          <w:rFonts w:ascii="Times New Roman" w:cs="Times New Roman" w:eastAsia="Times New Roman" w:hAnsi="Times New Roman"/>
          <w:i/>
          <w:iCs/>
          <w:sz w:val="24"/>
          <w:szCs w:val="24"/>
        </w:rPr>
        <w:t xml:space="preserve">J. Med. Chem.</w:t>
      </w:r>
      <w:r>
        <w:rPr>
          <w:rFonts w:ascii="Times New Roman" w:cs="Times New Roman" w:eastAsia="Times New Roman" w:hAnsi="Times New Roman"/>
          <w:sz w:val="24"/>
          <w:szCs w:val="24"/>
        </w:rPr>
        <w:t xml:space="preserve">, 58(9), 4066–4072.</w:t>
      </w:r>
    </w:p>
    <w:p>
      <w:pPr>
        <w:spacing w:after="80"/>
      </w:pPr>
      <w:r>
        <w:rPr>
          <w:rFonts w:ascii="Times New Roman" w:cs="Times New Roman" w:eastAsia="Times New Roman" w:hAnsi="Times New Roman"/>
          <w:sz w:val="24"/>
          <w:szCs w:val="24"/>
        </w:rPr>
        <w:t xml:space="preserve">Qiao, Z., et al. (2020). NOD2 in intestinal inflammation: Mechanisms and therapeutic implications. </w:t>
      </w:r>
      <w:r>
        <w:rPr>
          <w:rFonts w:ascii="Times New Roman" w:cs="Times New Roman" w:eastAsia="Times New Roman" w:hAnsi="Times New Roman"/>
          <w:i/>
          <w:iCs/>
          <w:sz w:val="24"/>
          <w:szCs w:val="24"/>
        </w:rPr>
        <w:t xml:space="preserve">Front. Immunol.</w:t>
      </w:r>
      <w:r>
        <w:rPr>
          <w:rFonts w:ascii="Times New Roman" w:cs="Times New Roman" w:eastAsia="Times New Roman" w:hAnsi="Times New Roman"/>
          <w:sz w:val="24"/>
          <w:szCs w:val="24"/>
        </w:rPr>
        <w:t xml:space="preserve">, 11, 1767.</w:t>
      </w:r>
    </w:p>
    <w:p>
      <w:pPr>
        <w:spacing w:after="80"/>
      </w:pPr>
      <w:r>
        <w:rPr>
          <w:rFonts w:ascii="Times New Roman" w:cs="Times New Roman" w:eastAsia="Times New Roman" w:hAnsi="Times New Roman"/>
          <w:sz w:val="24"/>
          <w:szCs w:val="24"/>
        </w:rPr>
        <w:t xml:space="preserve">Ragoza, M., et al. (2017). Protein-ligand scoring with convolutional neural networks. </w:t>
      </w:r>
      <w:r>
        <w:rPr>
          <w:rFonts w:ascii="Times New Roman" w:cs="Times New Roman" w:eastAsia="Times New Roman" w:hAnsi="Times New Roman"/>
          <w:i/>
          <w:iCs/>
          <w:sz w:val="24"/>
          <w:szCs w:val="24"/>
        </w:rPr>
        <w:t xml:space="preserve">J. Chem. Inf. Model.</w:t>
      </w:r>
      <w:r>
        <w:rPr>
          <w:rFonts w:ascii="Times New Roman" w:cs="Times New Roman" w:eastAsia="Times New Roman" w:hAnsi="Times New Roman"/>
          <w:sz w:val="24"/>
          <w:szCs w:val="24"/>
        </w:rPr>
        <w:t xml:space="preserve">, 57(4), 942–957.</w:t>
      </w:r>
    </w:p>
    <w:p>
      <w:pPr>
        <w:spacing w:after="80"/>
      </w:pPr>
      <w:r>
        <w:rPr>
          <w:rFonts w:ascii="Times New Roman" w:cs="Times New Roman" w:eastAsia="Times New Roman" w:hAnsi="Times New Roman"/>
          <w:sz w:val="24"/>
          <w:szCs w:val="24"/>
        </w:rPr>
        <w:t xml:space="preserve">Rogers, D., &amp; Hahn, M. (2010). Extended-connectivity fingerprints. </w:t>
      </w:r>
      <w:r>
        <w:rPr>
          <w:rFonts w:ascii="Times New Roman" w:cs="Times New Roman" w:eastAsia="Times New Roman" w:hAnsi="Times New Roman"/>
          <w:i/>
          <w:iCs/>
          <w:sz w:val="24"/>
          <w:szCs w:val="24"/>
        </w:rPr>
        <w:t xml:space="preserve">J. Chem. Inf. Model.</w:t>
      </w:r>
      <w:r>
        <w:rPr>
          <w:rFonts w:ascii="Times New Roman" w:cs="Times New Roman" w:eastAsia="Times New Roman" w:hAnsi="Times New Roman"/>
          <w:sz w:val="24"/>
          <w:szCs w:val="24"/>
        </w:rPr>
        <w:t xml:space="preserve">, 50(5), 742–754.</w:t>
      </w:r>
    </w:p>
    <w:p>
      <w:pPr>
        <w:spacing w:after="80"/>
      </w:pPr>
      <w:r>
        <w:rPr>
          <w:rFonts w:ascii="Times New Roman" w:cs="Times New Roman" w:eastAsia="Times New Roman" w:hAnsi="Times New Roman"/>
          <w:sz w:val="24"/>
          <w:szCs w:val="24"/>
        </w:rPr>
        <w:t xml:space="preserve">Ryckaert, J. P., Ciccotti, G., &amp; Berendsen, H. J. C. (1977). Numerical integration of the Cartesian equations of motion: SHAKE. </w:t>
      </w:r>
      <w:r>
        <w:rPr>
          <w:rFonts w:ascii="Times New Roman" w:cs="Times New Roman" w:eastAsia="Times New Roman" w:hAnsi="Times New Roman"/>
          <w:i/>
          <w:iCs/>
          <w:sz w:val="24"/>
          <w:szCs w:val="24"/>
        </w:rPr>
        <w:t xml:space="preserve">J. Comput. Phys.</w:t>
      </w:r>
      <w:r>
        <w:rPr>
          <w:rFonts w:ascii="Times New Roman" w:cs="Times New Roman" w:eastAsia="Times New Roman" w:hAnsi="Times New Roman"/>
          <w:sz w:val="24"/>
          <w:szCs w:val="24"/>
        </w:rPr>
        <w:t xml:space="preserve">, 23(3), 327–341.</w:t>
      </w:r>
    </w:p>
    <w:p>
      <w:pPr>
        <w:spacing w:after="80"/>
      </w:pPr>
      <w:r>
        <w:rPr>
          <w:rFonts w:ascii="Times New Roman" w:cs="Times New Roman" w:eastAsia="Times New Roman" w:hAnsi="Times New Roman"/>
          <w:sz w:val="24"/>
          <w:szCs w:val="24"/>
        </w:rPr>
        <w:t xml:space="preserve">Shirts, M. R., &amp; Chodera, J. D. (2008). Statistically optimal analysis of samples from multiple equilibrium states. </w:t>
      </w:r>
      <w:r>
        <w:rPr>
          <w:rFonts w:ascii="Times New Roman" w:cs="Times New Roman" w:eastAsia="Times New Roman" w:hAnsi="Times New Roman"/>
          <w:i/>
          <w:iCs/>
          <w:sz w:val="24"/>
          <w:szCs w:val="24"/>
        </w:rPr>
        <w:t xml:space="preserve">J. Chem. Phys.</w:t>
      </w:r>
      <w:r>
        <w:rPr>
          <w:rFonts w:ascii="Times New Roman" w:cs="Times New Roman" w:eastAsia="Times New Roman" w:hAnsi="Times New Roman"/>
          <w:sz w:val="24"/>
          <w:szCs w:val="24"/>
        </w:rPr>
        <w:t xml:space="preserve">, 129(12), 124105.</w:t>
      </w:r>
    </w:p>
    <w:p>
      <w:pPr>
        <w:spacing w:after="80"/>
      </w:pPr>
      <w:r>
        <w:rPr>
          <w:rFonts w:ascii="Times New Roman" w:cs="Times New Roman" w:eastAsia="Times New Roman" w:hAnsi="Times New Roman"/>
          <w:sz w:val="24"/>
          <w:szCs w:val="24"/>
        </w:rPr>
        <w:t xml:space="preserve">Sorokina, M., et al. (2021). COCONUT online: Collection of open natural products database. </w:t>
      </w:r>
      <w:r>
        <w:rPr>
          <w:rFonts w:ascii="Times New Roman" w:cs="Times New Roman" w:eastAsia="Times New Roman" w:hAnsi="Times New Roman"/>
          <w:i/>
          <w:iCs/>
          <w:sz w:val="24"/>
          <w:szCs w:val="24"/>
        </w:rPr>
        <w:t xml:space="preserve">J. Cheminform.</w:t>
      </w:r>
      <w:r>
        <w:rPr>
          <w:rFonts w:ascii="Times New Roman" w:cs="Times New Roman" w:eastAsia="Times New Roman" w:hAnsi="Times New Roman"/>
          <w:sz w:val="24"/>
          <w:szCs w:val="24"/>
        </w:rPr>
        <w:t xml:space="preserve">, 13(1), 2.</w:t>
      </w:r>
    </w:p>
    <w:p>
      <w:pPr>
        <w:spacing w:after="80"/>
      </w:pPr>
      <w:r>
        <w:rPr>
          <w:rFonts w:ascii="Times New Roman" w:cs="Times New Roman" w:eastAsia="Times New Roman" w:hAnsi="Times New Roman"/>
          <w:sz w:val="24"/>
          <w:szCs w:val="24"/>
        </w:rPr>
        <w:t xml:space="preserve">Strober, W., Murray, P. J., Kitani, A., &amp; Watanabe, T. (2006). Signalling pathways and molecular interactions of NOD1 and NOD2. </w:t>
      </w:r>
      <w:r>
        <w:rPr>
          <w:rFonts w:ascii="Times New Roman" w:cs="Times New Roman" w:eastAsia="Times New Roman" w:hAnsi="Times New Roman"/>
          <w:i/>
          <w:iCs/>
          <w:sz w:val="24"/>
          <w:szCs w:val="24"/>
        </w:rPr>
        <w:t xml:space="preserve">Nat. Rev. Immunol.</w:t>
      </w:r>
      <w:r>
        <w:rPr>
          <w:rFonts w:ascii="Times New Roman" w:cs="Times New Roman" w:eastAsia="Times New Roman" w:hAnsi="Times New Roman"/>
          <w:sz w:val="24"/>
          <w:szCs w:val="24"/>
        </w:rPr>
        <w:t xml:space="preserve">, 6(1), 9–20.</w:t>
      </w:r>
    </w:p>
    <w:p>
      <w:pPr>
        <w:spacing w:after="80"/>
      </w:pPr>
      <w:r>
        <w:rPr>
          <w:rFonts w:ascii="Times New Roman" w:cs="Times New Roman" w:eastAsia="Times New Roman" w:hAnsi="Times New Roman"/>
          <w:sz w:val="24"/>
          <w:szCs w:val="24"/>
        </w:rPr>
        <w:t xml:space="preserve">Trott, O., &amp; Olson, A. J. (2010). AutoDock Vina: Improving the speed and accuracy of docking. </w:t>
      </w:r>
      <w:r>
        <w:rPr>
          <w:rFonts w:ascii="Times New Roman" w:cs="Times New Roman" w:eastAsia="Times New Roman" w:hAnsi="Times New Roman"/>
          <w:i/>
          <w:iCs/>
          <w:sz w:val="24"/>
          <w:szCs w:val="24"/>
        </w:rPr>
        <w:t xml:space="preserve">J. Comput. Chem.</w:t>
      </w:r>
      <w:r>
        <w:rPr>
          <w:rFonts w:ascii="Times New Roman" w:cs="Times New Roman" w:eastAsia="Times New Roman" w:hAnsi="Times New Roman"/>
          <w:sz w:val="24"/>
          <w:szCs w:val="24"/>
        </w:rPr>
        <w:t xml:space="preserve">, 31(2), 455–461.</w:t>
      </w:r>
    </w:p>
    <w:p>
      <w:pPr>
        <w:spacing w:after="80"/>
      </w:pPr>
      <w:r>
        <w:rPr>
          <w:rFonts w:ascii="Times New Roman" w:cs="Times New Roman" w:eastAsia="Times New Roman" w:hAnsi="Times New Roman"/>
          <w:sz w:val="24"/>
          <w:szCs w:val="24"/>
        </w:rPr>
        <w:t xml:space="preserve">Varadi, M., et al. (2022). AlphaFold Protein Structure Database. </w:t>
      </w:r>
      <w:r>
        <w:rPr>
          <w:rFonts w:ascii="Times New Roman" w:cs="Times New Roman" w:eastAsia="Times New Roman" w:hAnsi="Times New Roman"/>
          <w:i/>
          <w:iCs/>
          <w:sz w:val="24"/>
          <w:szCs w:val="24"/>
        </w:rPr>
        <w:t xml:space="preserve">Nucleic Acids Res.</w:t>
      </w:r>
      <w:r>
        <w:rPr>
          <w:rFonts w:ascii="Times New Roman" w:cs="Times New Roman" w:eastAsia="Times New Roman" w:hAnsi="Times New Roman"/>
          <w:sz w:val="24"/>
          <w:szCs w:val="24"/>
        </w:rPr>
        <w:t xml:space="preserve">, 50(D1), D431–D437.</w:t>
      </w:r>
    </w:p>
    <w:p>
      <w:pPr>
        <w:spacing w:after="80"/>
      </w:pPr>
      <w:r>
        <w:rPr>
          <w:rFonts w:ascii="Times New Roman" w:cs="Times New Roman" w:eastAsia="Times New Roman" w:hAnsi="Times New Roman"/>
          <w:sz w:val="24"/>
          <w:szCs w:val="24"/>
        </w:rPr>
        <w:t xml:space="preserve">Wallach, I., &amp; Heifets, A. (2018). Most ligand-based classification benchmarks reward memorization rather than generalization. </w:t>
      </w:r>
      <w:r>
        <w:rPr>
          <w:rFonts w:ascii="Times New Roman" w:cs="Times New Roman" w:eastAsia="Times New Roman" w:hAnsi="Times New Roman"/>
          <w:i/>
          <w:iCs/>
          <w:sz w:val="24"/>
          <w:szCs w:val="24"/>
        </w:rPr>
        <w:t xml:space="preserve">J. Chem. Inf. Model.</w:t>
      </w:r>
      <w:r>
        <w:rPr>
          <w:rFonts w:ascii="Times New Roman" w:cs="Times New Roman" w:eastAsia="Times New Roman" w:hAnsi="Times New Roman"/>
          <w:sz w:val="24"/>
          <w:szCs w:val="24"/>
        </w:rPr>
        <w:t xml:space="preserve">, 58(5), 916–932.</w:t>
      </w:r>
    </w:p>
    <w:p>
      <w:pPr>
        <w:spacing w:after="80"/>
      </w:pPr>
      <w:r>
        <w:rPr>
          <w:rFonts w:ascii="Times New Roman" w:cs="Times New Roman" w:eastAsia="Times New Roman" w:hAnsi="Times New Roman"/>
          <w:sz w:val="24"/>
          <w:szCs w:val="24"/>
        </w:rPr>
        <w:t xml:space="preserve">Wang, J., et al. (2004). Development and testing of a general AMBER force field (GAFF). </w:t>
      </w:r>
      <w:r>
        <w:rPr>
          <w:rFonts w:ascii="Times New Roman" w:cs="Times New Roman" w:eastAsia="Times New Roman" w:hAnsi="Times New Roman"/>
          <w:i/>
          <w:iCs/>
          <w:sz w:val="24"/>
          <w:szCs w:val="24"/>
        </w:rPr>
        <w:t xml:space="preserve">J. Comput. Chem.</w:t>
      </w:r>
      <w:r>
        <w:rPr>
          <w:rFonts w:ascii="Times New Roman" w:cs="Times New Roman" w:eastAsia="Times New Roman" w:hAnsi="Times New Roman"/>
          <w:sz w:val="24"/>
          <w:szCs w:val="24"/>
        </w:rPr>
        <w:t xml:space="preserve">, 25(9), 1157–1174.</w:t>
      </w:r>
    </w:p>
    <w:p>
      <w:pPr>
        <w:spacing w:after="80"/>
      </w:pPr>
      <w:r>
        <w:rPr>
          <w:rFonts w:ascii="Times New Roman" w:cs="Times New Roman" w:eastAsia="Times New Roman" w:hAnsi="Times New Roman"/>
          <w:sz w:val="24"/>
          <w:szCs w:val="24"/>
        </w:rPr>
        <w:t xml:space="preserve">Wang, L., et al. (2015). Accurate and reliable prediction of relative ligand binding potency in prospective drug discovery. </w:t>
      </w:r>
      <w:r>
        <w:rPr>
          <w:rFonts w:ascii="Times New Roman" w:cs="Times New Roman" w:eastAsia="Times New Roman" w:hAnsi="Times New Roman"/>
          <w:i/>
          <w:iCs/>
          <w:sz w:val="24"/>
          <w:szCs w:val="24"/>
        </w:rPr>
        <w:t xml:space="preserve">J. Am. Chem. Soc.</w:t>
      </w:r>
      <w:r>
        <w:rPr>
          <w:rFonts w:ascii="Times New Roman" w:cs="Times New Roman" w:eastAsia="Times New Roman" w:hAnsi="Times New Roman"/>
          <w:sz w:val="24"/>
          <w:szCs w:val="24"/>
        </w:rPr>
        <w:t xml:space="preserve">, 137(7), 2695–2703.</w:t>
      </w:r>
    </w:p>
    <w:p>
      <w:pPr>
        <w:spacing w:after="80"/>
      </w:pPr>
      <w:r>
        <w:rPr>
          <w:rFonts w:ascii="Times New Roman" w:cs="Times New Roman" w:eastAsia="Times New Roman" w:hAnsi="Times New Roman"/>
          <w:sz w:val="24"/>
          <w:szCs w:val="24"/>
        </w:rPr>
        <w:t xml:space="preserve">Wang, L. P., Martinez, T. J., &amp; Pande, V. S. (2014). Building force fields: An automatic, systematic, and reproducible approach. </w:t>
      </w:r>
      <w:r>
        <w:rPr>
          <w:rFonts w:ascii="Times New Roman" w:cs="Times New Roman" w:eastAsia="Times New Roman" w:hAnsi="Times New Roman"/>
          <w:i/>
          <w:iCs/>
          <w:sz w:val="24"/>
          <w:szCs w:val="24"/>
        </w:rPr>
        <w:t xml:space="preserve">J. Phys. Chem. Lett.</w:t>
      </w:r>
      <w:r>
        <w:rPr>
          <w:rFonts w:ascii="Times New Roman" w:cs="Times New Roman" w:eastAsia="Times New Roman" w:hAnsi="Times New Roman"/>
          <w:sz w:val="24"/>
          <w:szCs w:val="24"/>
        </w:rPr>
        <w:t xml:space="preserve">, 5(11), 1885–1891.</w:t>
      </w:r>
    </w:p>
    <w:p>
      <w:pPr>
        <w:spacing w:after="80"/>
      </w:pPr>
      <w:r>
        <w:rPr>
          <w:rFonts w:ascii="Times New Roman" w:cs="Times New Roman" w:eastAsia="Times New Roman" w:hAnsi="Times New Roman"/>
          <w:sz w:val="24"/>
          <w:szCs w:val="24"/>
        </w:rPr>
        <w:t xml:space="preserve">Yang, K., et al. (2019). Analyzing learned molecular representations for property prediction. </w:t>
      </w:r>
      <w:r>
        <w:rPr>
          <w:rFonts w:ascii="Times New Roman" w:cs="Times New Roman" w:eastAsia="Times New Roman" w:hAnsi="Times New Roman"/>
          <w:i/>
          <w:iCs/>
          <w:sz w:val="24"/>
          <w:szCs w:val="24"/>
        </w:rPr>
        <w:t xml:space="preserve">J. Chem. Inf. Model.</w:t>
      </w:r>
      <w:r>
        <w:rPr>
          <w:rFonts w:ascii="Times New Roman" w:cs="Times New Roman" w:eastAsia="Times New Roman" w:hAnsi="Times New Roman"/>
          <w:sz w:val="24"/>
          <w:szCs w:val="24"/>
        </w:rPr>
        <w:t xml:space="preserve">, 59(8), 3370–3388.</w:t>
      </w:r>
    </w:p>
    <w:p>
      <w:pPr>
        <w:spacing w:after="80"/>
      </w:pPr>
      <w:r>
        <w:rPr>
          <w:rFonts w:ascii="Times New Roman" w:cs="Times New Roman" w:eastAsia="Times New Roman" w:hAnsi="Times New Roman"/>
          <w:sz w:val="24"/>
          <w:szCs w:val="24"/>
        </w:rPr>
        <w:t xml:space="preserve">Zwanzig, R. W. (1954). High-temperature equation of state by a perturbation method. </w:t>
      </w:r>
      <w:r>
        <w:rPr>
          <w:rFonts w:ascii="Times New Roman" w:cs="Times New Roman" w:eastAsia="Times New Roman" w:hAnsi="Times New Roman"/>
          <w:i/>
          <w:iCs/>
          <w:sz w:val="24"/>
          <w:szCs w:val="24"/>
        </w:rPr>
        <w:t xml:space="preserve">J. Chem. Phys.</w:t>
      </w:r>
      <w:r>
        <w:rPr>
          <w:rFonts w:ascii="Times New Roman" w:cs="Times New Roman" w:eastAsia="Times New Roman" w:hAnsi="Times New Roman"/>
          <w:sz w:val="24"/>
          <w:szCs w:val="24"/>
        </w:rPr>
        <w:t xml:space="preserve">, 22(8), 1420–1426.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Vasudeva | NOD2 Drug Discovery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200" w:after="12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2026-02-21T16:36:52.216Z</dcterms:created>
  <dcterms:modified xsi:type="dcterms:W3CDTF">2026-02-21T16:36:52.217Z</dcterms:modified>
</cp:coreProperties>
</file>

<file path=docProps/custom.xml><?xml version="1.0" encoding="utf-8"?>
<Properties xmlns="http://schemas.openxmlformats.org/officeDocument/2006/custom-properties" xmlns:vt="http://schemas.openxmlformats.org/officeDocument/2006/docPropsVTypes"/>
</file>