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sourcing recommendation</w:t>
      </w:r>
    </w:p>
    <w:p>
      <w:pPr>
        <w:pStyle w:val="Subtitle"/>
      </w:pPr>
      <w:r>
        <w:t>WP010 decision brief   |   Version 1.1   |   September 2026</w:t>
      </w:r>
    </w:p>
    <w:p>
      <w:pPr>
        <w:spacing w:after="140"/>
      </w:pPr>
      <w:r>
        <w:rPr>
          <w:b w:val="0"/>
          <w:color w:val="505050"/>
          <w:sz w:val="18"/>
        </w:rPr>
        <w:t>“Should NEXT rebalance its disclosed sourcing footprint following the 2026 changes in relative UK trade treatment-and, for the selected apparel category, which country alternatives are most attractive, by how much, and under what conditions?”</w:t>
      </w:r>
    </w:p>
    <w:p>
      <w:pPr>
        <w:spacing w:after="140"/>
      </w:pPr>
      <w:r>
        <w:rPr>
          <w:b w:val="0"/>
          <w:color w:val="505050"/>
          <w:sz w:val="18"/>
        </w:rPr>
        <w:t>The governed question concerns NEXT’s disclosed sourcing footprint. The 73% top-three disclosure has a mixed brand and supplier-tier boundary. Four locked CN8 categories provide the external trade benchmarks; actual NEXT apparel procurement shares cannot be isolated from public disclosures. [S01]</w:t>
      </w:r>
    </w:p>
    <w:p>
      <w:pPr>
        <w:pStyle w:val="Heading2"/>
      </w:pPr>
      <w:r>
        <w:t>Recommended decision</w:t>
      </w:r>
    </w:p>
    <w:p>
      <w:r>
        <w:rPr>
          <w:b/>
        </w:rPr>
        <w:t>Do not adopt a blanket China-reduction programme. Advance Turkey-led knitwear and India/Vietnam dress options to commercial validation. Do not proceed with the tested cotton transfers as diversification; reject the tested cotton-shirt blend on both cost and concentration grounds. [S06–S08]</w:t>
      </w:r>
    </w:p>
    <w:tbl>
      <w:tblPr>
        <w:tblW w:type="auto" w:w="0"/>
        <w:jc w:val="center"/>
        <w:tblLayout w:type="fixed"/>
        <w:tblLook w:firstColumn="1" w:firstRow="1" w:lastColumn="0" w:lastRow="0" w:noHBand="0" w:noVBand="1" w:val="04A0"/>
      </w:tblPr>
      <w:tblGrid>
        <w:gridCol w:w="2088"/>
        <w:gridCol w:w="3096"/>
        <w:gridCol w:w="5040"/>
      </w:tblGrid>
      <w:tr>
        <w:trPr>
          <w:cantSplit/>
          <w:tblHeader/>
        </w:trPr>
        <w:tc>
          <w:tcPr>
            <w:tcW w:type="dxa" w:w="2088"/>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Category</w:t>
            </w:r>
          </w:p>
        </w:tc>
        <w:tc>
          <w:tcPr>
            <w:tcW w:type="dxa" w:w="3096"/>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Decision on tested options</w:t>
            </w:r>
          </w:p>
        </w:tc>
        <w:tc>
          <w:tcPr>
            <w:tcW w:type="dxa" w:w="504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Basis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MMF knitwear</w:t>
              <w:br/>
              <w:t>61103099</w:t>
            </w:r>
          </w:p>
        </w:tc>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Advance Turkey-led options</w:t>
            </w:r>
          </w:p>
        </w:tc>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Selected mixes retain substantial benchmark headroom. Price comparability and capacity must be established.</w:t>
            </w:r>
          </w:p>
        </w:tc>
      </w:tr>
      <w:tr>
        <w:trPr>
          <w:cantSplit/>
        </w:trPr>
        <w:tc>
          <w:tcPr>
            <w:tcW w:type="dxa" w:w="208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Synthetic dresses</w:t>
              <w:br/>
              <w:t>62044300</w:t>
            </w:r>
          </w:p>
        </w:tc>
        <w:tc>
          <w:tcPr>
            <w:tcW w:type="dxa" w:w="309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Advance India and Vietnam options</w:t>
            </w:r>
          </w:p>
        </w:tc>
        <w:tc>
          <w:tcPr>
            <w:tcW w:type="dxa" w:w="50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Larger concentration benefit in the comparison, with a thin cost margin and conditional origin entitlement.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Cotton T-shirts</w:t>
              <w:br/>
              <w:t>61091000</w:t>
            </w:r>
          </w:p>
        </w:tc>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Close the tested diversification proposal</w:t>
            </w:r>
          </w:p>
        </w:tc>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Every active tested transfer increases concentration. Any separate cost proposal needs its own case.</w:t>
            </w:r>
          </w:p>
        </w:tc>
      </w:tr>
      <w:tr>
        <w:trPr>
          <w:cantSplit/>
        </w:trPr>
        <w:tc>
          <w:tcPr>
            <w:tcW w:type="dxa" w:w="208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Cotton shirts</w:t>
              <w:br/>
              <w:t>62052000</w:t>
            </w:r>
          </w:p>
        </w:tc>
        <w:tc>
          <w:tcPr>
            <w:tcW w:type="dxa" w:w="309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Close the tested receiver-blend proposal</w:t>
            </w:r>
          </w:p>
        </w:tc>
        <w:tc>
          <w:tcPr>
            <w:tcW w:type="dxa" w:w="50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Every active case increases cost and concentration. Reopen only on materially different evidence.</w:t>
            </w:r>
          </w:p>
        </w:tc>
      </w:tr>
    </w:tbl>
    <w:p>
      <w:pPr>
        <w:pStyle w:val="Heading2"/>
      </w:pPr>
      <w:r>
        <w:t>Conditions for proceeding</w:t>
      </w:r>
    </w:p>
    <w:p>
      <w:r>
        <w:rPr>
          <w:b w:val="0"/>
        </w:rPr>
        <w:t>The next business step is a bounded commercial validation with an agreed review date. Obtain comparable quotes, production and origin evidence, available capacity and service terms. Proceed to a controlled trial only when the candidate meets the commercial and mandatory requirements. If neither synthetic proposal clears, stand down this proposed programme.</w:t>
      </w:r>
    </w:p>
    <w:p>
      <w:pPr>
        <w:spacing w:after="140"/>
      </w:pPr>
      <w:r>
        <w:rPr>
          <w:b w:val="0"/>
          <w:color w:val="505050"/>
          <w:sz w:val="18"/>
        </w:rPr>
        <w:t>No supplier or site is approved by this analysis. Model shifts are illustrations, not NEXT order quantities. Myanmar remains excluded from actionable additional allocation under D008/D020. [S06–S08]</w:t>
      </w:r>
    </w:p>
    <w:p>
      <w:r>
        <w:br w:type="page"/>
      </w:r>
    </w:p>
    <w:p>
      <w:pPr>
        <w:pStyle w:val="Heading1"/>
      </w:pPr>
      <w:r>
        <w:t>Why the answer differs by category</w:t>
      </w:r>
    </w:p>
    <w:p>
      <w:r>
        <w:rPr>
          <w:b w:val="0"/>
        </w:rPr>
        <w:t>The 26 designed scenarios give consistent concentration directions but different cost outcomes. Knitwear and dresses reduce country concentration in every case. Both cotton categories increase concentration whenever a transfer occurs. Synthetic cost savings have exceptions; the tested cotton-shirt blend costs more in every active case. [S08]</w:t>
      </w:r>
    </w:p>
    <w:tbl>
      <w:tblPr>
        <w:tblW w:type="auto" w:w="0"/>
        <w:jc w:val="center"/>
        <w:tblLayout w:type="fixed"/>
        <w:tblLook w:firstColumn="1" w:firstRow="1" w:lastColumn="0" w:lastRow="0" w:noHBand="0" w:noVBand="1" w:val="04A0"/>
      </w:tblPr>
      <w:tblGrid>
        <w:gridCol w:w="1944"/>
        <w:gridCol w:w="1008"/>
        <w:gridCol w:w="1008"/>
        <w:gridCol w:w="1152"/>
        <w:gridCol w:w="2160"/>
        <w:gridCol w:w="2952"/>
      </w:tblGrid>
      <w:tr>
        <w:trPr>
          <w:cantSplit/>
          <w:tblHeader/>
        </w:trPr>
        <w:tc>
          <w:tcPr>
            <w:tcW w:type="dxa" w:w="194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Category</w:t>
            </w:r>
          </w:p>
        </w:tc>
        <w:tc>
          <w:tcPr>
            <w:tcW w:type="dxa" w:w="1008"/>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Lower cost</w:t>
            </w:r>
          </w:p>
        </w:tc>
        <w:tc>
          <w:tcPr>
            <w:tcW w:type="dxa" w:w="1008"/>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Higher cost</w:t>
            </w:r>
          </w:p>
        </w:tc>
        <w:tc>
          <w:tcPr>
            <w:tcW w:type="dxa" w:w="1152"/>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No change</w:t>
            </w:r>
          </w:p>
        </w:tc>
        <w:tc>
          <w:tcPr>
            <w:tcW w:type="dxa" w:w="216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Cost range</w:t>
            </w:r>
          </w:p>
        </w:tc>
        <w:tc>
          <w:tcPr>
            <w:tcW w:type="dxa" w:w="2952"/>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HHI direction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MMF knitwear</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24/26</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2/26</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0/26</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−8.35% to +0.17%</w:t>
            </w:r>
          </w:p>
        </w:tc>
        <w:tc>
          <w:tcPr>
            <w:tcW w:type="dxa" w:w="29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Lower in 26/26</w:t>
            </w:r>
          </w:p>
        </w:tc>
      </w:tr>
      <w:tr>
        <w:trPr>
          <w:cantSplit/>
        </w:trPr>
        <w:tc>
          <w:tcPr>
            <w:tcW w:type="dxa" w:w="194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Synthetic dresses</w:t>
            </w:r>
          </w:p>
        </w:tc>
        <w:tc>
          <w:tcPr>
            <w:tcW w:type="dxa" w:w="100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21/26</w:t>
            </w:r>
          </w:p>
        </w:tc>
        <w:tc>
          <w:tcPr>
            <w:tcW w:type="dxa" w:w="100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5/26</w:t>
            </w:r>
          </w:p>
        </w:tc>
        <w:tc>
          <w:tcPr>
            <w:tcW w:type="dxa" w:w="11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0/26</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−0.82% to +0.76%</w:t>
            </w:r>
          </w:p>
        </w:tc>
        <w:tc>
          <w:tcPr>
            <w:tcW w:type="dxa" w:w="29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Lower in 26/26</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Cotton T-shirts</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14/26</w:t>
            </w:r>
          </w:p>
        </w:tc>
        <w:tc>
          <w:tcPr>
            <w:tcW w:type="dxa" w:w="100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8/26</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4/26</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−1.06% to +0.65%</w:t>
            </w:r>
          </w:p>
        </w:tc>
        <w:tc>
          <w:tcPr>
            <w:tcW w:type="dxa" w:w="29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Higher in 22/22 active</w:t>
            </w:r>
          </w:p>
        </w:tc>
      </w:tr>
      <w:tr>
        <w:trPr>
          <w:cantSplit/>
        </w:trPr>
        <w:tc>
          <w:tcPr>
            <w:tcW w:type="dxa" w:w="194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Cotton shirts</w:t>
            </w:r>
          </w:p>
        </w:tc>
        <w:tc>
          <w:tcPr>
            <w:tcW w:type="dxa" w:w="100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0/26</w:t>
            </w:r>
          </w:p>
        </w:tc>
        <w:tc>
          <w:tcPr>
            <w:tcW w:type="dxa" w:w="100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22/26</w:t>
            </w:r>
          </w:p>
        </w:tc>
        <w:tc>
          <w:tcPr>
            <w:tcW w:type="dxa" w:w="11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4/26</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0.00% to +2.82%</w:t>
            </w:r>
          </w:p>
        </w:tc>
        <w:tc>
          <w:tcPr>
            <w:tcW w:type="dxa" w:w="29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Higher in 22/22 active</w:t>
            </w:r>
          </w:p>
        </w:tc>
      </w:tr>
    </w:tbl>
    <w:p>
      <w:pPr>
        <w:spacing w:after="140"/>
      </w:pPr>
      <w:r>
        <w:rPr>
          <w:b w:val="0"/>
          <w:color w:val="505050"/>
          <w:sz w:val="18"/>
        </w:rPr>
        <w:t>Cost changes are category benchmark-index changes. HHI sums squared country mass shares and multiplies by 10,000, within the ten-country baseline. Lower HHI means less concentration in that population. Case frequencies are not probabilities. [S08]</w:t>
      </w:r>
    </w:p>
    <w:p>
      <w:pPr>
        <w:pStyle w:val="Heading2"/>
      </w:pPr>
      <w:r>
        <w:t>The basket does not support a general saving claim</w:t>
      </w:r>
    </w:p>
    <w:p>
      <w:r>
        <w:rPr>
          <w:b w:val="0"/>
        </w:rPr>
        <w:t>Equal category weights produce a saving in 10 of 26 cases; UK import-value weights produce a saving in 17. The weightings disagree in sign in seven cases. Their ranges are −2.18% to +0.87% and −2.54% to +0.52%. No basket saving survives all tested cases, and neither weighting represents NEXT spend. [S08]</w:t>
      </w:r>
    </w:p>
    <w:p>
      <w:pPr>
        <w:pStyle w:val="Heading2"/>
      </w:pPr>
      <w:r>
        <w:t>China reduction addresses different starting positions</w:t>
      </w:r>
    </w:p>
    <w:p>
      <w:r>
        <w:rPr>
          <w:b w:val="0"/>
        </w:rPr>
        <w:t>China holds 36.6% of knitwear and 48.0% of dresses in the FY2025 ten-country mass baseline, but only 3.2% of cotton T-shirts and 6.9% of cotton shirts. Bangladesh holds 58.6% and 54.7% of those cotton baselines. Removing China’s small share while enlarging receivers leaves the dominant cotton partner unchanged. [S05, S08]</w:t>
      </w:r>
    </w:p>
    <w:p>
      <w:pPr>
        <w:pStyle w:val="Heading2"/>
      </w:pPr>
      <w:r>
        <w:t>Company exposure remains a separate measure</w:t>
      </w:r>
    </w:p>
    <w:p>
      <w:r>
        <w:rPr>
          <w:b w:val="0"/>
        </w:rPr>
        <w:t>The February Tier 1 list contains 1,478 official Site IDs and 661 review-resolved supplier/channel groups. These describe footprint dispersion, not procurement value, spare capacity or independent disruption risks. Historical measurement, brand and supplier-tier changes also prevent a defensible five-year like-for-like apparel allocation trend. [S01, S02]</w:t>
      </w:r>
    </w:p>
    <w:p>
      <w:pPr>
        <w:spacing w:after="140"/>
      </w:pPr>
      <w:r>
        <w:rPr>
          <w:b w:val="0"/>
          <w:color w:val="505050"/>
          <w:sz w:val="18"/>
        </w:rPr>
        <w:t>Lower trade-share HHI does not quantify lower disruption losses, better delivery or independent upstream supply. Any resilience premium requires evidence of the exposure it is intended to reduce.</w:t>
      </w:r>
    </w:p>
    <w:p>
      <w:r>
        <w:br w:type="page"/>
      </w:r>
    </w:p>
    <w:p>
      <w:pPr>
        <w:pStyle w:val="Heading1"/>
      </w:pPr>
      <w:r>
        <w:t>Knitwear mix choice changes the decision</w:t>
      </w:r>
    </w:p>
    <w:p>
      <w:r>
        <w:rPr>
          <w:b w:val="0"/>
        </w:rPr>
        <w:t>Turkey is the leading candidate for commercial validation among the tested receivers. It holds 16.35% of the knitwear baseline, against India’s 0.35% and Vietnam’s 0.88%. NEXT lists 76 Turkish Tier 1 sites across products. The trade presence and listed footprint support validation, but establish neither matched-product capability nor available capacity. [S02, S05, S08]</w:t>
      </w:r>
    </w:p>
    <w:tbl>
      <w:tblPr>
        <w:tblW w:type="auto" w:w="0"/>
        <w:jc w:val="center"/>
        <w:tblLayout w:type="fixed"/>
        <w:tblLook w:firstColumn="1" w:firstRow="1" w:lastColumn="0" w:lastRow="0" w:noHBand="0" w:noVBand="1" w:val="04A0"/>
      </w:tblPr>
      <w:tblGrid>
        <w:gridCol w:w="3384"/>
        <w:gridCol w:w="1152"/>
        <w:gridCol w:w="1440"/>
        <w:gridCol w:w="1296"/>
        <w:gridCol w:w="1440"/>
        <w:gridCol w:w="1512"/>
      </w:tblGrid>
      <w:tr>
        <w:trPr>
          <w:cantSplit/>
          <w:tblHeader/>
        </w:trPr>
        <w:tc>
          <w:tcPr>
            <w:tcW w:type="dxa" w:w="338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Case and mix</w:t>
            </w:r>
          </w:p>
        </w:tc>
        <w:tc>
          <w:tcPr>
            <w:tcW w:type="dxa" w:w="1152"/>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China shift</w:t>
            </w:r>
          </w:p>
        </w:tc>
        <w:tc>
          <w:tcPr>
            <w:tcW w:type="dxa" w:w="144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Cost change</w:t>
            </w:r>
          </w:p>
        </w:tc>
        <w:tc>
          <w:tcPr>
            <w:tcW w:type="dxa" w:w="1296"/>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HHI change</w:t>
            </w:r>
          </w:p>
        </w:tc>
        <w:tc>
          <w:tcPr>
            <w:tcW w:type="dxa" w:w="144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Max multiple</w:t>
            </w:r>
          </w:p>
        </w:tc>
        <w:tc>
          <w:tcPr>
            <w:tcW w:type="dxa" w:w="1512"/>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Cotton moves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 Presence weighted</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10.00pp</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-8.35%</w:t>
            </w:r>
          </w:p>
        </w:tc>
        <w:tc>
          <w:tcPr>
            <w:tcW w:type="dxa" w:w="12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-240.6</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1.57×</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Yes</w:t>
            </w:r>
          </w:p>
        </w:tc>
      </w:tr>
      <w:tr>
        <w:trPr>
          <w:cantSplit/>
        </w:trPr>
        <w:tc>
          <w:tcPr>
            <w:tcW w:type="dxa" w:w="338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25 Presence common</w:t>
            </w:r>
          </w:p>
        </w:tc>
        <w:tc>
          <w:tcPr>
            <w:tcW w:type="dxa" w:w="11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10.00pp</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-4.49%</w:t>
            </w:r>
          </w:p>
        </w:tc>
        <w:tc>
          <w:tcPr>
            <w:tcW w:type="dxa" w:w="129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-240.6</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1.57×</w:t>
            </w:r>
          </w:p>
        </w:tc>
        <w:tc>
          <w:tcPr>
            <w:tcW w:type="dxa" w:w="151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Yes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11 Turkey 75 Vietnam 25</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7.06pp</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-4.48%</w:t>
            </w:r>
          </w:p>
        </w:tc>
        <w:tc>
          <w:tcPr>
            <w:tcW w:type="dxa" w:w="12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-259.7</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3.00×</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No</w:t>
            </w:r>
          </w:p>
        </w:tc>
      </w:tr>
      <w:tr>
        <w:trPr>
          <w:cantSplit/>
        </w:trPr>
        <w:tc>
          <w:tcPr>
            <w:tcW w:type="dxa" w:w="338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26 Turkey 75 common</w:t>
            </w:r>
          </w:p>
        </w:tc>
        <w:tc>
          <w:tcPr>
            <w:tcW w:type="dxa" w:w="11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7.06pp</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-0.83%</w:t>
            </w:r>
          </w:p>
        </w:tc>
        <w:tc>
          <w:tcPr>
            <w:tcW w:type="dxa" w:w="129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-259.7</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3.00×</w:t>
            </w:r>
          </w:p>
        </w:tc>
        <w:tc>
          <w:tcPr>
            <w:tcW w:type="dxa" w:w="151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No</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24 Turkey 75 increment MFN</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7.06pp</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-3.85%</w:t>
            </w:r>
          </w:p>
        </w:tc>
        <w:tc>
          <w:tcPr>
            <w:tcW w:type="dxa" w:w="12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-259.7</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3.00×</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No</w:t>
            </w:r>
          </w:p>
        </w:tc>
      </w:tr>
      <w:tr>
        <w:trPr>
          <w:cantSplit/>
        </w:trPr>
        <w:tc>
          <w:tcPr>
            <w:tcW w:type="dxa" w:w="338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 Default mix</w:t>
            </w:r>
          </w:p>
        </w:tc>
        <w:tc>
          <w:tcPr>
            <w:tcW w:type="dxa" w:w="115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1.42pp</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-0.46%</w:t>
            </w:r>
          </w:p>
        </w:tc>
        <w:tc>
          <w:tcPr>
            <w:tcW w:type="dxa" w:w="129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-88.2</w:t>
            </w:r>
          </w:p>
        </w:tc>
        <w:tc>
          <w:tcPr>
            <w:tcW w:type="dxa" w:w="144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3.00×</w:t>
            </w:r>
          </w:p>
        </w:tc>
        <w:tc>
          <w:tcPr>
            <w:tcW w:type="dxa" w:w="151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Yes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16 Default common</w:t>
            </w:r>
          </w:p>
        </w:tc>
        <w:tc>
          <w:tcPr>
            <w:tcW w:type="dxa" w:w="11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1.42pp</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+0.024%</w:t>
            </w:r>
          </w:p>
        </w:tc>
        <w:tc>
          <w:tcPr>
            <w:tcW w:type="dxa" w:w="12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-88.2</w:t>
            </w:r>
          </w:p>
        </w:tc>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3.00×</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Yes</w:t>
            </w:r>
          </w:p>
        </w:tc>
      </w:tr>
    </w:tbl>
    <w:p>
      <w:pPr>
        <w:spacing w:after="140"/>
      </w:pPr>
      <w:r>
        <w:rPr>
          <w:b w:val="0"/>
          <w:color w:val="505050"/>
          <w:sz w:val="18"/>
        </w:rPr>
        <w:t>S08. Common means the common-month price screen. Cases 8/25 and 1/16 also transfer cotton; this table presents their knitwear results only. Cases 11/26/24 hold cotton unchanged. These are illustrative comparisons, not full-scenario recommendations.</w:t>
      </w:r>
    </w:p>
    <w:p>
      <w:pPr>
        <w:pStyle w:val="Heading2"/>
      </w:pPr>
      <w:r>
        <w:t>The default limit is conditional on its weights</w:t>
      </w:r>
    </w:p>
    <w:p>
      <w:r>
        <w:rPr>
          <w:b w:val="0"/>
        </w:rPr>
        <w:t>At 50% India weight, India’s 0.35% starting share under the 3× cap permits only 0.71pp of addition and limits the total transfer to 1.42pp. This is a valid constraint on that scenario, not a general limit on knitwear diversification. India’s small UK trade share does not establish its production capability. [S07, S08]</w:t>
      </w:r>
    </w:p>
    <w:p>
      <w:r>
        <w:rPr>
          <w:b w:val="0"/>
        </w:rPr>
        <w:t>Presence weighting instead allocates about 93% of the transfer to Turkey. It meets the 10pp request with a maximum receiver multiple of 1.57×. The 3× cap is non-binding at that request; Turkey’s 10pp addition limit would permit about 10.76pp total transfer at these weights. None of these limits verifies physical capacity. [S08]</w:t>
      </w:r>
    </w:p>
    <w:p>
      <w:pPr>
        <w:pStyle w:val="Heading2"/>
      </w:pPr>
      <w:r>
        <w:t>The concentration trade off is explicit</w:t>
      </w:r>
    </w:p>
    <w:p>
      <w:r>
        <w:rPr>
          <w:b w:val="0"/>
        </w:rPr>
        <w:t>Presence weighting moves Turkey from 16.35% to 25.64% and China from 36.61% to 26.61%. It retains more benchmark cost headroom than Turkey-75 under the tested price screen, but reduces HHI by less: 240.6 versus 259.7 points. Turkey and China become nearly equal, and one country receives most new volume. This is a choice of exposure, not proof of an optimal mix. [S08]</w:t>
      </w:r>
    </w:p>
    <w:p>
      <w:r>
        <w:br w:type="page"/>
      </w:r>
    </w:p>
    <w:p>
      <w:pPr>
        <w:pStyle w:val="Heading1"/>
      </w:pPr>
      <w:r>
        <w:t>Economic headroom determines validation priorities</w:t>
      </w:r>
    </w:p>
    <w:p>
      <w:r>
        <w:rPr>
          <w:b w:val="0"/>
        </w:rPr>
        <w:t>Headroom is the gap between China’s duty-paid benchmark and the weighted receiver benchmark per kilogram transferred. It changes with the mix and price basis. The maximum premium is that gap divided by the receiver benchmark, with other costs held constant. [S08]</w:t>
      </w:r>
    </w:p>
    <w:tbl>
      <w:tblPr>
        <w:tblW w:type="auto" w:w="0"/>
        <w:jc w:val="center"/>
        <w:tblLayout w:type="fixed"/>
        <w:tblLook w:firstColumn="1" w:firstRow="1" w:lastColumn="0" w:lastRow="0" w:noHBand="0" w:noVBand="1" w:val="04A0"/>
      </w:tblPr>
      <w:tblGrid>
        <w:gridCol w:w="5760"/>
        <w:gridCol w:w="2160"/>
        <w:gridCol w:w="2304"/>
      </w:tblGrid>
      <w:tr>
        <w:trPr>
          <w:cantSplit/>
          <w:tblHeader/>
        </w:trPr>
        <w:tc>
          <w:tcPr>
            <w:tcW w:type="dxa" w:w="576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Comparison</w:t>
            </w:r>
          </w:p>
        </w:tc>
        <w:tc>
          <w:tcPr>
            <w:tcW w:type="dxa" w:w="216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Headroom per kg</w:t>
            </w:r>
          </w:p>
        </w:tc>
        <w:tc>
          <w:tcPr>
            <w:tcW w:type="dxa" w:w="230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Maximum premium</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presence reported</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£11.59</w:t>
            </w:r>
          </w:p>
        </w:tc>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154.04%</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presence common</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£6.47</w:t>
            </w:r>
          </w:p>
        </w:tc>
        <w:tc>
          <w:tcPr>
            <w:tcW w:type="dxa" w:w="230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53.60%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Turkey 75 reported</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£8.80</w:t>
            </w:r>
          </w:p>
        </w:tc>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85.34%</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Turkey 75 common</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£1.69</w:t>
            </w:r>
          </w:p>
        </w:tc>
        <w:tc>
          <w:tcPr>
            <w:tcW w:type="dxa" w:w="230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10.04%</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Turkey 75 increment MFN</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£7.56</w:t>
            </w:r>
          </w:p>
        </w:tc>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65.48%</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default reported</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£4.54</w:t>
            </w:r>
          </w:p>
        </w:tc>
        <w:tc>
          <w:tcPr>
            <w:tcW w:type="dxa" w:w="230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31.13%</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Knitwear default common</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−£0.25</w:t>
            </w:r>
          </w:p>
        </w:tc>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−1.33%</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Dresses default reported</w:t>
            </w:r>
          </w:p>
        </w:tc>
        <w:tc>
          <w:tcPr>
            <w:tcW w:type="dxa" w:w="216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£1.35</w:t>
            </w:r>
          </w:p>
        </w:tc>
        <w:tc>
          <w:tcPr>
            <w:tcW w:type="dxa" w:w="230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4.56%</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Dresses default common</w:t>
            </w:r>
          </w:p>
        </w:tc>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£1.35</w:t>
            </w:r>
          </w:p>
        </w:tc>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4.56%</w:t>
            </w:r>
          </w:p>
        </w:tc>
      </w:tr>
    </w:tbl>
    <w:p>
      <w:pPr>
        <w:spacing w:after="140"/>
      </w:pPr>
      <w:r>
        <w:rPr>
          <w:b w:val="0"/>
          <w:color w:val="505050"/>
          <w:sz w:val="18"/>
        </w:rPr>
        <w:t>S08. Existing case inputs, eligible duties except the named incremental-MFN test, and zero added operating costs. A negative threshold means a reduction is needed to reach parity. These are conditional market benchmarks, not supplier allowances.</w:t>
      </w:r>
    </w:p>
    <w:p>
      <w:pPr>
        <w:pStyle w:val="Heading2"/>
      </w:pPr>
      <w:r>
        <w:t>Knitwear offers headroom through selected mixes</w:t>
      </w:r>
    </w:p>
    <w:p>
      <w:r>
        <w:rPr>
          <w:b w:val="0"/>
        </w:rPr>
        <w:t>Under the common-month screen, presence weighting retains £6.47/kg, Turkey-75 £1.69/kg and the default mix −£0.25/kg. The mix changes headroom by £6.72/kg within that same screen. Across the six reported/common knitwear comparisons, the span is £11.84/kg. Knitwear is not attractive independently of mix and price assumptions. [S08]</w:t>
      </w:r>
    </w:p>
    <w:p>
      <w:r>
        <w:rPr>
          <w:b w:val="0"/>
        </w:rPr>
        <w:t>Turkey’s border unit value rises from £6.61/kg reported to £10.77/kg over the three retained common months; Vietnam rises from £21.42 to £35.07/kg. Screening changes the observation set and may remove valid trade or change seasonality. It is not inherently conservative. Large gaps may reflect product, quality or transaction mix; their cause is not established. [S08]</w:t>
      </w:r>
    </w:p>
    <w:p>
      <w:pPr>
        <w:pStyle w:val="Heading2"/>
      </w:pPr>
      <w:r>
        <w:t>Dresses offer more concentration reduction on a thin margin</w:t>
      </w:r>
    </w:p>
    <w:p>
      <w:r>
        <w:rPr>
          <w:b w:val="0"/>
        </w:rPr>
        <w:t>The default 10pp dress transfer reduces HHI by 635.8 points at a −0.491% cost change. Its £1.35/kg and 4.56% headroom is unchanged by this screen because all six months are retained. A 5% receiver premium changes cost to +0.047%; incremental MFN treatment changes it to +0.765%. Stability across this screen does not remove price or origin risk. [S03, S08]</w:t>
      </w:r>
    </w:p>
    <w:p>
      <w:pPr>
        <w:spacing w:after="140"/>
      </w:pPr>
      <w:r>
        <w:rPr>
          <w:b w:val="0"/>
          <w:color w:val="505050"/>
          <w:sz w:val="18"/>
        </w:rPr>
        <w:t>Give selected knitwear options first priority on modelled headroom, while recognising the larger dress concentration benefit. The order has not been optimised; parallel validation is reasonable. Both categories require comparable quotes, capability, capacity, origin and mandatory-gate evidence.</w:t>
      </w:r>
    </w:p>
    <w:p>
      <w:r>
        <w:br w:type="page"/>
      </w:r>
    </w:p>
    <w:p>
      <w:pPr>
        <w:pStyle w:val="Heading1"/>
      </w:pPr>
      <w:r>
        <w:t>Cotton proposals close within the tested scope</w:t>
      </w:r>
    </w:p>
    <w:p>
      <w:pPr>
        <w:pStyle w:val="Heading2"/>
      </w:pPr>
      <w:r>
        <w:t>Do not proceed with the tested cotton shirt blend</w:t>
      </w:r>
    </w:p>
    <w:p>
      <w:r>
        <w:rPr>
          <w:b w:val="0"/>
        </w:rPr>
        <w:t>All 22 active cases increase cost and HHI. In the default case, China’s duty-paid benchmark is £24.29/kg against the receiver blend’s £28.26/kg duty-free benchmark. Headroom is −£3.98/kg, and a 14.07% receiver-price reduction is needed just to reach parity before added costs. There is no positive financing-day allowance. The negative £3,977 per 1,000 kg transition budget measures a deficit. [S08]</w:t>
      </w:r>
    </w:p>
    <w:p>
      <w:r>
        <w:rPr>
          <w:b w:val="0"/>
        </w:rPr>
        <w:t>Turkey’s £39.36/kg and Vietnam’s £29.90/kg benchmarks exceed China’s, while India’s £21.90/kg is lower. The blend result therefore does not exclude every alternative supplier or country. Close the tested proposal and reopen only on materially different comparable evidence. [S05, S08]</w:t>
      </w:r>
    </w:p>
    <w:p>
      <w:pPr>
        <w:pStyle w:val="Heading2"/>
      </w:pPr>
      <w:r>
        <w:t>Do not use the tested T shirt transfers as diversification</w:t>
      </w:r>
    </w:p>
    <w:p>
      <w:r>
        <w:rPr>
          <w:b w:val="0"/>
        </w:rPr>
        <w:t>Every active tested China transfer increases HHI. Cost results are mixed, so a separate cost opportunity would need its own appraisal. Close the tested concentration proposal. This decision does not resolve every way to diversify cotton sourcing. [S08]</w:t>
      </w:r>
    </w:p>
    <w:p>
      <w:pPr>
        <w:pStyle w:val="Heading2"/>
      </w:pPr>
      <w:r>
        <w:t>Bangladesh donor alternatives remain outside the model</w:t>
      </w:r>
    </w:p>
    <w:tbl>
      <w:tblPr>
        <w:tblW w:type="auto" w:w="0"/>
        <w:jc w:val="center"/>
        <w:tblLayout w:type="fixed"/>
        <w:tblLook w:firstColumn="1" w:firstRow="1" w:lastColumn="0" w:lastRow="0" w:noHBand="0" w:noVBand="1" w:val="04A0"/>
      </w:tblPr>
      <w:tblGrid>
        <w:gridCol w:w="3024"/>
        <w:gridCol w:w="1800"/>
        <w:gridCol w:w="1800"/>
        <w:gridCol w:w="1656"/>
        <w:gridCol w:w="1944"/>
      </w:tblGrid>
      <w:tr>
        <w:trPr>
          <w:cantSplit/>
          <w:tblHeader/>
        </w:trPr>
        <w:tc>
          <w:tcPr>
            <w:tcW w:type="dxa" w:w="302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Category and comparator</w:t>
            </w:r>
          </w:p>
        </w:tc>
        <w:tc>
          <w:tcPr>
            <w:tcW w:type="dxa" w:w="180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Comparator price</w:t>
            </w:r>
          </w:p>
        </w:tc>
        <w:tc>
          <w:tcPr>
            <w:tcW w:type="dxa" w:w="180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Bangladesh price</w:t>
            </w:r>
          </w:p>
        </w:tc>
        <w:tc>
          <w:tcPr>
            <w:tcW w:type="dxa" w:w="1656"/>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Comparator share</w:t>
            </w:r>
          </w:p>
        </w:tc>
        <w:tc>
          <w:tcPr>
            <w:tcW w:type="dxa" w:w="194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Maximum addition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Shirts to Pakistan</w:t>
            </w:r>
          </w:p>
        </w:tc>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£13.83/kg</w:t>
            </w:r>
          </w:p>
        </w:tc>
        <w:tc>
          <w:tcPr>
            <w:tcW w:type="dxa" w:w="180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£17.13/kg</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0.82%</w:t>
            </w:r>
          </w:p>
        </w:tc>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1.64pp</w:t>
            </w:r>
          </w:p>
        </w:tc>
      </w:tr>
      <w:tr>
        <w:trPr>
          <w:cantSplit/>
        </w:trPr>
        <w:tc>
          <w:tcPr>
            <w:tcW w:type="dxa" w:w="302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T-shirts to Morocco</w:t>
            </w:r>
          </w:p>
        </w:tc>
        <w:tc>
          <w:tcPr>
            <w:tcW w:type="dxa" w:w="180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£9.41/kg</w:t>
            </w:r>
          </w:p>
        </w:tc>
        <w:tc>
          <w:tcPr>
            <w:tcW w:type="dxa" w:w="180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£10.40/kg</w:t>
            </w:r>
          </w:p>
        </w:tc>
        <w:tc>
          <w:tcPr>
            <w:tcW w:type="dxa" w:w="1656"/>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1.68%</w:t>
            </w:r>
          </w:p>
        </w:tc>
        <w:tc>
          <w:tcPr>
            <w:tcW w:type="dxa" w:w="194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3.35pp</w:t>
            </w:r>
          </w:p>
        </w:tc>
      </w:tr>
    </w:tbl>
    <w:p>
      <w:pPr>
        <w:spacing w:after="140"/>
      </w:pPr>
      <w:r>
        <w:rPr>
          <w:b w:val="0"/>
          <w:color w:val="505050"/>
          <w:sz w:val="18"/>
        </w:rPr>
        <w:t>S05/S08. H1 2026 reported prices with archived eligible duties. Shares use FY2025 ten-country mass; maximum additions apply the existing model limits. These are benchmarks, not matched-product quotes.</w:t>
      </w:r>
    </w:p>
    <w:p>
      <w:r>
        <w:rPr>
          <w:b w:val="0"/>
        </w:rPr>
        <w:t>The lower benchmarks identify specific comparators for a different donor question. They do not establish an all-in cost or concentration outcome for a Bangladesh transfer. Bangladesh’s starting shares are 54.7% in shirts and 58.6% in T-shirts; the small comparator baselines restrict illustrative scale under the 3× rule. No additional donor scenario is required to close this appraisal.</w:t>
      </w:r>
    </w:p>
    <w:p>
      <w:pPr>
        <w:pStyle w:val="Heading2"/>
      </w:pPr>
      <w:r>
        <w:t>Use one commercial budget before implementation</w:t>
      </w:r>
    </w:p>
    <w:p>
      <w:r>
        <w:rPr>
          <w:b w:val="0"/>
        </w:rPr>
        <w:t>Reprice the actual proposed mix against the incumbent on matching specification, quantities and commercial terms. Include evidenced duties, incremental handling, transition and cash-cycle costs. Avoid double counting international freight already present in the border benchmark. Premium, duty and operating thresholds use the same headroom and cannot be added together. Cash-cycle thresholds are not delivery-time promises. [S08]</w:t>
      </w:r>
    </w:p>
    <w:p>
      <w:pPr>
        <w:spacing w:after="140"/>
      </w:pPr>
      <w:r>
        <w:rPr>
          <w:b w:val="0"/>
          <w:color w:val="505050"/>
          <w:sz w:val="18"/>
        </w:rPr>
        <w:t>Bangladesh and Cambodia also remain knitwear comparators, and Sri Lanka and Morocco dress comparators. They were not tested as WP009 receivers and have not been shown inferior or infeasible. Myanmar remains excluded. [S02, S05, S06]</w:t>
      </w:r>
    </w:p>
    <w:p>
      <w:r>
        <w:br w:type="page"/>
      </w:r>
    </w:p>
    <w:p>
      <w:pPr>
        <w:pStyle w:val="Heading1"/>
      </w:pPr>
      <w:r>
        <w:t>How to advance and when to stop</w:t>
      </w:r>
    </w:p>
    <w:tbl>
      <w:tblPr>
        <w:tblW w:type="auto" w:w="0"/>
        <w:jc w:val="center"/>
        <w:tblLayout w:type="fixed"/>
        <w:tblLook w:firstColumn="1" w:firstRow="1" w:lastColumn="0" w:lastRow="0" w:noHBand="0" w:noVBand="1" w:val="04A0"/>
      </w:tblPr>
      <w:tblGrid>
        <w:gridCol w:w="1944"/>
        <w:gridCol w:w="5112"/>
        <w:gridCol w:w="3168"/>
      </w:tblGrid>
      <w:tr>
        <w:trPr>
          <w:cantSplit/>
          <w:tblHeader/>
        </w:trPr>
        <w:tc>
          <w:tcPr>
            <w:tcW w:type="dxa" w:w="194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Stage</w:t>
            </w:r>
          </w:p>
        </w:tc>
        <w:tc>
          <w:tcPr>
            <w:tcW w:type="dxa" w:w="5112"/>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Required basis</w:t>
            </w:r>
          </w:p>
        </w:tc>
        <w:tc>
          <w:tcPr>
            <w:tcW w:type="dxa" w:w="3168"/>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Decision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1 Define the comparison</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Actual SKU demand, incumbent terms, candidate scope, review date and acceptance criteria.</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Set a bounded validation window.</w:t>
            </w:r>
          </w:p>
        </w:tc>
      </w:tr>
      <w:tr>
        <w:trPr>
          <w:cantSplit/>
        </w:trPr>
        <w:tc>
          <w:tcPr>
            <w:tcW w:type="dxa" w:w="194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2 Verify the candidate</w:t>
            </w:r>
          </w:p>
        </w:tc>
        <w:tc>
          <w:tcPr>
            <w:tcW w:type="dxa" w:w="511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Comparable quotes, product samples, origin, available capacity and all applicable RS gates.</w:t>
            </w:r>
          </w:p>
        </w:tc>
        <w:tc>
          <w:tcPr>
            <w:tcW w:type="dxa" w:w="316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Hold unresolved cases; no allocation clearance.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3 Approve a trial</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Joint downside, budget and agreed quality, delivery and exposure objectives.</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Size from actual demand and verified capacity.</w:t>
            </w:r>
          </w:p>
        </w:tc>
      </w:tr>
      <w:tr>
        <w:trPr>
          <w:cantSplit/>
        </w:trPr>
        <w:tc>
          <w:tcPr>
            <w:tcW w:type="dxa" w:w="194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4 Measure performance</w:t>
            </w:r>
          </w:p>
        </w:tc>
        <w:tc>
          <w:tcPr>
            <w:tcW w:type="dxa" w:w="5112"/>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Actual cost, quality, service, origin and worker-related findings over the agreed trial.</w:t>
            </w:r>
          </w:p>
        </w:tc>
        <w:tc>
          <w:tcPr>
            <w:tcW w:type="dxa" w:w="3168"/>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Hold expansion when a condition is missed.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5 Expand incrementally</w:t>
            </w:r>
          </w:p>
        </w:tc>
        <w:tc>
          <w:tcPr>
            <w:tcW w:type="dxa" w:w="51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Updated demand, capacity, economics, gate status and repeatable service.</w:t>
            </w:r>
          </w:p>
        </w:tc>
        <w:tc>
          <w:tcPr>
            <w:tcW w:type="dxa" w:w="31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Approve only the evidenced next increment.</w:t>
            </w:r>
          </w:p>
        </w:tc>
      </w:tr>
    </w:tbl>
    <w:p>
      <w:pPr>
        <w:spacing w:after="140"/>
      </w:pPr>
      <w:r>
        <w:rPr>
          <w:b w:val="0"/>
          <w:color w:val="505050"/>
          <w:sz w:val="18"/>
        </w:rPr>
        <w:t>Proposed responsibilities in the workbook are business-case functions, not a description of NEXT’s internal approval structure. [S06, S08]</w:t>
      </w:r>
    </w:p>
    <w:p>
      <w:pPr>
        <w:pStyle w:val="Heading2"/>
      </w:pPr>
      <w:r>
        <w:t>Close proposals that have no acceptable case</w:t>
      </w:r>
    </w:p>
    <w:p>
      <w:r>
        <w:rPr>
          <w:b w:val="0"/>
        </w:rPr>
        <w:t>At the agreed review date, record “do not proceed with the proposed reallocation” when no acceptable case remains. ST01–ST04 define four bases:</w:t>
      </w:r>
    </w:p>
    <w:p>
      <w:pPr>
        <w:pStyle w:val="ListBullet"/>
        <w:spacing w:after="80"/>
      </w:pPr>
      <w:r>
        <w:t>No candidate meets mandatory requirements within the evidence window and no further candidate is identified.</w:t>
      </w:r>
    </w:p>
    <w:p>
      <w:pPr>
        <w:pStyle w:val="ListBullet"/>
        <w:spacing w:after="80"/>
      </w:pPr>
      <w:r>
        <w:t>Comparable actual costs fail the agreed combined downside, with no separately evidenced and approved resilience case to justify the additional cost.</w:t>
      </w:r>
    </w:p>
    <w:p>
      <w:pPr>
        <w:pStyle w:val="ListBullet"/>
        <w:spacing w:after="80"/>
      </w:pPr>
      <w:r>
        <w:t>Verified available capacity cannot meet the worthwhile trial or allocation objective agreed before evaluation.</w:t>
      </w:r>
    </w:p>
    <w:p>
      <w:pPr>
        <w:pStyle w:val="ListBullet"/>
        <w:spacing w:after="80"/>
      </w:pPr>
      <w:r>
        <w:t>The intended concentration benefit disappears using actual procurement weights, or a material shared dependency remains.</w:t>
      </w:r>
    </w:p>
    <w:p>
      <w:r>
        <w:rPr>
          <w:b w:val="0"/>
        </w:rPr>
        <w:t>If neither synthetic proposal clears, stand down this proposed programme. Closure applies to the proposed transfer and does not establish incumbent optimality or compliance. Reopen only on a specified material change in candidates, quotes, costs, capacity, exposure, policy or authoritative origin/gate evidence.</w:t>
      </w:r>
    </w:p>
    <w:p>
      <w:pPr>
        <w:pStyle w:val="Heading2"/>
      </w:pPr>
      <w:r>
        <w:t>Mandatory evidence remains a condition of proceeding</w:t>
      </w:r>
    </w:p>
    <w:p>
      <w:r>
        <w:rPr>
          <w:b w:val="0"/>
        </w:rPr>
        <w:t>All eight WP007 gates apply where relevant. The 11 “site not audited” and five “can’t find on SC” annotations remain Pending evidence reviews. SC is undefined, and unannotated sites are not automatically cleared. A confirmed mandatory failure excludes new allocation; Pending or unresolved Conditional preconditions prevent clearance. Myanmar’s restriction remains. [S06]</w:t>
      </w:r>
    </w:p>
    <w:p>
      <w:pPr>
        <w:spacing w:after="140"/>
      </w:pPr>
      <w:r>
        <w:rPr>
          <w:b w:val="0"/>
          <w:color w:val="505050"/>
          <w:sz w:val="18"/>
        </w:rPr>
        <w:t>T01–T10 in the workbook link cost, origin, capacity, quality, worker, exposure and evidence changes to action. Policy transitions require reassessment from official notices rather than an assumed tariff cliff. [S03, S09, S10]</w:t>
      </w:r>
    </w:p>
    <w:p>
      <w:r>
        <w:br w:type="page"/>
      </w:r>
    </w:p>
    <w:p>
      <w:pPr>
        <w:pStyle w:val="Heading1"/>
      </w:pPr>
      <w:r>
        <w:t>Hypotheses and causal interpretation</w:t>
      </w:r>
    </w:p>
    <w:p>
      <w:r>
        <w:rPr>
          <w:b w:val="0"/>
        </w:rPr>
        <w:t>Each hypothesis remains Partially tested against its original support and rejection criteria. The unresolved elements differ, and none prevents closing the public-data options assessment.</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Hypothesis</w:t>
            </w:r>
          </w:p>
        </w:tc>
        <w:tc>
          <w:tcPr>
            <w:tcW w:type="dxa" w:w="7200"/>
            <w:vAlign w:val="center"/>
            <w:shd w:fill="23394D"/>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color w:val="FFFFFF"/>
                <w:sz w:val="18"/>
              </w:rPr>
              <w:t>Assessment and unresolved elements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H1 Dispersion reduces fragility</w:t>
            </w:r>
          </w:p>
        </w:tc>
        <w:tc>
          <w:tcPr>
            <w:tcW w:type="dxa" w:w="720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Partially tested. Footprint dispersion is established. Exposure weights, independent upstream dependencies and disruption channels are needed to quantify risk reduction.</w:t>
            </w:r>
          </w:p>
        </w:tc>
      </w:tr>
      <w:tr>
        <w:trPr>
          <w:cantSplit/>
        </w:trPr>
        <w:tc>
          <w:tcPr>
            <w:tcW w:type="dxa" w:w="302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H2 India becomes more competitive</w:t>
            </w:r>
          </w:p>
        </w:tc>
        <w:tc>
          <w:tcPr>
            <w:tcW w:type="dxa" w:w="720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Partially tested. The conditional tariff mechanism is supported. Product match, origin entitlement, quote economics, capacity and clearance remain unresolved.</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H3 Bangladesh remains a scale market</w:t>
            </w:r>
          </w:p>
        </w:tc>
        <w:tc>
          <w:tcPr>
            <w:tcW w:type="dxa" w:w="720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Partially tested. Cotton trade scale supports its strategic relevance. Mandatory gates and matched supplier economics remain unresolved.</w:t>
            </w:r>
          </w:p>
        </w:tc>
      </w:tr>
      <w:tr>
        <w:trPr>
          <w:cantSplit/>
        </w:trPr>
        <w:tc>
          <w:tcPr>
            <w:tcW w:type="dxa" w:w="3024"/>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H4 Phased reallocation is optimal</w:t>
            </w:r>
          </w:p>
        </w:tc>
        <w:tc>
          <w:tcPr>
            <w:tcW w:type="dxa" w:w="7200"/>
            <w:vAlign w:val="center"/>
            <w:shd w:fill="EFF4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Partially tested. Selective validation is justified, but optimality is not demonstrated. Proxy caps do not establish capacity, and wholesale withdrawal was not comprehensively compared.</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H5 China is hardest to displace in synthetics</w:t>
            </w:r>
          </w:p>
        </w:tc>
        <w:tc>
          <w:tcPr>
            <w:tcW w:type="dxa" w:w="720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before="0" w:line="240" w:lineRule="auto"/>
            </w:pPr>
            <w:r>
              <w:rPr>
                <w:rFonts w:ascii="Arial" w:hAnsi="Arial"/>
                <w:b w:val="0"/>
                <w:color w:val="000000"/>
                <w:sz w:val="18"/>
              </w:rPr>
              <w:t>Partially tested. Benchmark economics challenge the claim: costs fall in 24/26 knitwear and 21/26 dress cases. Product, quality and capability equivalence remain unproven, so the full rejection criterion is not met.</w:t>
            </w:r>
          </w:p>
        </w:tc>
      </w:tr>
    </w:tbl>
    <w:p>
      <w:pPr>
        <w:spacing w:after="140"/>
      </w:pPr>
      <w:r>
        <w:rPr>
          <w:b w:val="0"/>
          <w:color w:val="505050"/>
          <w:sz w:val="18"/>
        </w:rPr>
        <w:t>S01–S08. The tested cotton-shirt blend does not establish that China is hardest to displace across that category; India’s individual benchmark is lower than China’s.</w:t>
      </w:r>
    </w:p>
    <w:p>
      <w:pPr>
        <w:pStyle w:val="Heading2"/>
      </w:pPr>
      <w:r>
        <w:t>The chapter comparison does not identify a tariff effect</w:t>
      </w:r>
    </w:p>
    <w:p>
      <w:r>
        <w:rPr>
          <w:b w:val="0"/>
        </w:rPr>
        <w:t>WP004 compares H1 2026 with H1 2025 chapter-level mass. India’s HS62-minus-HS61 growth difference is +17.4pp. Cambodia’s +13.5pp and Pakistan’s +43.7pp placebo differences undermine attributing India’s result to its chapter-specific graduation. Vietnam’s +47.5pp is a supporting comparison, but continued UKVFTA staging on some lines prevents treating it as a clean untreated control. [S03]</w:t>
      </w:r>
    </w:p>
    <w:p>
      <w:r>
        <w:rPr>
          <w:b w:val="0"/>
        </w:rPr>
        <w:t>The placebo evidence undermined the simple identification strategy. No causal tariff effect is estimated from this chapter split. The effect remains unestimated by this design; the analysis does not establish that the tariff change had no effect. A failure of causal identification is distinct from rejecting H2 or H5. [S03]</w:t>
      </w:r>
    </w:p>
    <w:p>
      <w:pPr>
        <w:spacing w:after="140"/>
      </w:pPr>
      <w:r>
        <w:rPr>
          <w:b w:val="0"/>
          <w:color w:val="505050"/>
          <w:sz w:val="18"/>
        </w:rPr>
        <w:t>This is separate from the later CETA scenario. Trade observations end in June 2026, before the 15 July policy date used in the archived model, and cannot demonstrate post-CETA behaviour. [S03, S05, S08]</w:t>
      </w:r>
    </w:p>
    <w:p>
      <w:r>
        <w:br w:type="page"/>
      </w:r>
    </w:p>
    <w:p>
      <w:pPr>
        <w:pStyle w:val="Heading1"/>
      </w:pPr>
      <w:r>
        <w:t>Evidence basis and sources</w:t>
      </w:r>
    </w:p>
    <w:p>
      <w:r>
        <w:rPr>
          <w:b w:val="0"/>
        </w:rPr>
        <w:t>This recommendation uses the completed WP001–WP009 evidence and the same 26 saved scenarios. It resolves which tested options should advance or close. Actual NEXT allocation quantities, supplier savings and disruption-loss benefits remain outside what these public data establish. WP means work package, a project stage; the source notes below map the codes to their evidence.</w:t>
      </w:r>
    </w:p>
    <w:p>
      <w:r>
        <w:rPr>
          <w:b w:val="0"/>
        </w:rPr>
        <w:t>HMRC partner country describes dispatch rather than proven manufacturing origin. Border unit values include product and transaction mix. The 35% recipient ceiling, 10pp maximum addition and 3× baseline cap are scenario limits. The cases are not a probability sample, exhaustive optimisation or a complete set of simultaneous adverse stresses.</w:t>
      </w:r>
    </w:p>
    <w:p>
      <w:pPr>
        <w:pStyle w:val="Heading2"/>
      </w:pPr>
      <w:r>
        <w:t>Source index</w:t>
      </w:r>
    </w:p>
    <w:p>
      <w:pPr>
        <w:spacing w:after="140"/>
      </w:pPr>
      <w:r>
        <w:rPr>
          <w:b w:val="0"/>
          <w:color w:val="505050"/>
          <w:sz w:val="18"/>
        </w:rPr>
        <w:t>S01  WP001–WP002 scope and history. Research_Question_and_Scope.md and governance/Reporting_Boundaries.md reproduce the original question, disclosure-boundary evidence and scope decision D010. External sources are listed in governance/Source_Register.md.</w:t>
      </w:r>
    </w:p>
    <w:p>
      <w:pPr>
        <w:spacing w:after="140"/>
      </w:pPr>
      <w:r>
        <w:rPr>
          <w:b w:val="0"/>
          <w:color w:val="505050"/>
          <w:sz w:val="18"/>
        </w:rPr>
        <w:t>S02  WP003 Tier 1 footprint. February 2026 supplier-footprint workbook: README, country_summary, site_master and supplier groups.</w:t>
      </w:r>
    </w:p>
    <w:p>
      <w:pPr>
        <w:spacing w:after="140"/>
      </w:pPr>
      <w:r>
        <w:rPr>
          <w:b w:val="0"/>
          <w:color w:val="505050"/>
          <w:sz w:val="18"/>
        </w:rPr>
        <w:t>S03  WP004 category and tariff lock. Tariff_Matrix, Origin_Rules, Natural_Experiment and category/APPAREL screens. Legal rates are not refreshed in WP010.</w:t>
      </w:r>
    </w:p>
    <w:p>
      <w:pPr>
        <w:spacing w:after="140"/>
      </w:pPr>
      <w:r>
        <w:rPr>
          <w:b w:val="0"/>
          <w:color w:val="505050"/>
          <w:sz w:val="18"/>
        </w:rPr>
        <w:t>S04  WP005 governed monthly evidence. Partner and World input CSVs retained in the WP006 delivery; 37 partner and two World REVIEW observations.</w:t>
      </w:r>
    </w:p>
    <w:p>
      <w:pPr>
        <w:spacing w:after="140"/>
      </w:pPr>
      <w:r>
        <w:rPr>
          <w:b w:val="0"/>
          <w:color w:val="505050"/>
          <w:sz w:val="18"/>
        </w:rPr>
        <w:t>S05  WP006 SQL outputs. Reported partner-period trade and growth exports, footprint exports, QC summary and rebuild evidence.</w:t>
      </w:r>
    </w:p>
    <w:p>
      <w:pPr>
        <w:spacing w:after="140"/>
      </w:pPr>
      <w:r>
        <w:rPr>
          <w:b w:val="0"/>
          <w:color w:val="505050"/>
          <w:sz w:val="18"/>
        </w:rPr>
        <w:t>S06  WP007 responsible sourcing. Responsible_Sourcing_Gates v1.0: Gate_Matrix, Site_Review and Evidence, including D008/D020.</w:t>
      </w:r>
    </w:p>
    <w:p>
      <w:pPr>
        <w:spacing w:after="140"/>
      </w:pPr>
      <w:r>
        <w:rPr>
          <w:b w:val="0"/>
          <w:color w:val="505050"/>
          <w:sz w:val="18"/>
        </w:rPr>
        <w:t>S07  WP008 scenario baseline. Cost_and_Sourcing_Scenarios v1.1: Assumptions, Cost_Model, Candidate_Gates and QC_Checks.</w:t>
      </w:r>
    </w:p>
    <w:p>
      <w:pPr>
        <w:spacing w:after="140"/>
      </w:pPr>
      <w:r>
        <w:rPr>
          <w:b w:val="0"/>
          <w:color w:val="505050"/>
          <w:sz w:val="18"/>
        </w:rPr>
        <w:t>S08  WP009 sensitivity and thresholds. Sensitivity_and_Break_Even v1.1: all 26 saved cases, Source_Data, Monthly_Data, Model, Assumptions and Break_Even.</w:t>
      </w:r>
    </w:p>
    <w:p>
      <w:pPr>
        <w:spacing w:after="140"/>
      </w:pPr>
      <w:r>
        <w:rPr>
          <w:b w:val="0"/>
          <w:color w:val="505050"/>
          <w:sz w:val="18"/>
        </w:rPr>
        <w:t>S09  UK preference transition guidance. GOV.UK, Preference tiers under the Developing Countries Trading Scheme, section 3. Accessed 19 September 2026.</w:t>
      </w:r>
    </w:p>
    <w:p>
      <w:pPr>
        <w:spacing w:after="140"/>
      </w:pPr>
      <w:r>
        <w:rPr>
          <w:b w:val="0"/>
          <w:color w:val="505050"/>
          <w:sz w:val="18"/>
        </w:rPr>
        <w:t>S10  Conditional tariff and origin framework. UK–India CETA Annex 2A and Annex 3A. Eligibility must be evidenced for the actual product chain.</w:t>
      </w:r>
    </w:p>
    <w:p>
      <w:pPr>
        <w:pStyle w:val="Heading2"/>
      </w:pPr>
      <w:r>
        <w:t>Trace the recommendation</w:t>
      </w:r>
    </w:p>
    <w:p>
      <w:r>
        <w:rPr>
          <w:b w:val="0"/>
        </w:rPr>
        <w:t>The companion workbook provides category decisions, mix-specific headroom, country benchmarks, stop conditions, hypothesis assessments and answers to all 32 Issue Tree questions. Evidence retains full source filenames, locators, official URLs, snapshot values and file fingerprints.</w:t>
      </w:r>
    </w:p>
    <w:p>
      <w:pPr>
        <w:spacing w:after="140"/>
      </w:pPr>
      <w:r>
        <w:rPr>
          <w:b w:val="0"/>
          <w:color w:val="505050"/>
          <w:sz w:val="18"/>
        </w:rPr>
        <w:t>The recommendation workbook contains 30 checks comparing its conclusions and added comparisons with the underlying scenario evidence. WP009 contains 37 default-case checks. WP006 passed a fresh SQL rebuild, and all ten rebuilt exports matched the originals byte-for-byte. The supporting workbooks are included in the portfolio.</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WP010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sourcing recommendation</dc:title>
  <dc:subject>WP010 category decisions and conditions for implementation</dc:subject>
  <dc:creator/>
  <cp:keywords/>
  <dc:description/>
  <cp:lastModifiedBy/>
  <cp:revision>1</cp:revision>
  <dcterms:created xsi:type="dcterms:W3CDTF">2013-12-23T23:15:00Z</dcterms:created>
  <dcterms:modified xsi:type="dcterms:W3CDTF">2013-12-23T23:15:00Z</dcterms:modified>
  <cp:category/>
</cp:coreProperties>
</file>