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91f666" w:val="clear"/>
        <w:spacing w:line="276" w:lineRule="auto"/>
        <w:jc w:val="center"/>
        <w:rPr>
          <w:rFonts w:ascii="Georgia" w:cs="Georgia" w:eastAsia="Georgia" w:hAnsi="Georgia"/>
          <w:b w:val="1"/>
          <w:color w:val="3b2170"/>
          <w:sz w:val="40"/>
          <w:szCs w:val="40"/>
        </w:rPr>
      </w:pPr>
      <w:r w:rsidDel="00000000" w:rsidR="00000000" w:rsidRPr="00000000">
        <w:rPr>
          <w:rFonts w:ascii="Georgia" w:cs="Georgia" w:eastAsia="Georgia" w:hAnsi="Georgia"/>
          <w:b w:val="1"/>
          <w:color w:val="3b2170"/>
          <w:sz w:val="40"/>
          <w:szCs w:val="40"/>
          <w:rtl w:val="0"/>
        </w:rPr>
        <w:t xml:space="preserve">GUIDELINES FOR THE PREPARATION OF B. Tech (CSE) MINI PROJECT REPORT</w:t>
      </w:r>
    </w:p>
    <w:p w:rsidR="00000000" w:rsidDel="00000000" w:rsidP="00000000" w:rsidRDefault="00000000" w:rsidRPr="00000000" w14:paraId="00000002">
      <w:pPr>
        <w:shd w:fill="ffffff" w:val="clea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3">
      <w:pPr>
        <w:shd w:fill="ffffff" w:val="clear"/>
        <w:rPr>
          <w:rFonts w:ascii="Georgia" w:cs="Georgia" w:eastAsia="Georgia" w:hAnsi="Georgia"/>
          <w:color w:val="333333"/>
          <w:sz w:val="23"/>
          <w:szCs w:val="23"/>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sz w:val="24"/>
          <w:szCs w:val="24"/>
          <w:highlight w:val="whit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eport should be typed neatly only on one side of the paper with 1.5-line spacing on a A4 size bond paper (210 x 297 mm). The margins should be: Left – 1.25″, Right – 1″, Top and Bottom – 0.75″.</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Chapters (to be numbered in Arabic)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containing Introduction-, which usually specifies the scope of work and its importance and relation to previous work and the present developments, Main body of the report divided appropriately into chapters, sections and subsections. The chapters, sections and subsections may be numbered in the decimal form for e.g. Chapter 2, sections as 2.1, 2.2 etc., and subsections as 2.2.3, 2.5.1 etc.</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chapter number must be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left justified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16,Type: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Followed by the title of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chapter centered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18,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section/subsection numbers along with their headings must be left justified with section number and its heading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14,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subsection and its heading in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12, Type: Bold)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The body or the text of the report should have (style: Times New Roman, font size 12, alignment: Justify), Line Spacing 1.5</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figures and tables must be numbered chapter wise for e.g.: </w:t>
      </w: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Fig. 2.1 Block diagram of a serial binary adder, Table 3.1 Primitive flow table, etc.</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(style: Times New Roman, font size: 10, Type: Bold)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equations must be numbered chapter wise in decimal form for 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V = IZ ………. (3.2)</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references should be numbered serially in the order of their occurrence in the text and their numbers should be indicated within square brackets for e.g. [3]. The section on references should list them in serial order in the following format.</w:t>
      </w:r>
      <w:r w:rsidDel="00000000" w:rsidR="00000000" w:rsidRPr="00000000">
        <w:rPr>
          <w:rtl w:val="0"/>
        </w:rPr>
      </w:r>
    </w:p>
    <w:p w:rsidR="00000000" w:rsidDel="00000000" w:rsidP="00000000" w:rsidRDefault="00000000" w:rsidRPr="00000000" w14:paraId="0000000B">
      <w:pPr>
        <w:spacing w:line="360" w:lineRule="auto"/>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 K. Kanhere and S. T. Birchfied, “Real-time incremental segmentation and tracking of vehicles at low camera angles using stable features,” IEEE Trans. Intell. Transp. Syst., vol. 9, no. 1, pp.148-160, March 2008</w:t>
      </w:r>
    </w:p>
    <w:p w:rsidR="00000000" w:rsidDel="00000000" w:rsidP="00000000" w:rsidRDefault="00000000" w:rsidRPr="00000000" w14:paraId="0000000C">
      <w:pPr>
        <w:spacing w:line="360" w:lineRule="auto"/>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 Onoguchi, “Moving object detection using a cross correlation between a short accumulated histogram and a long accumulated histogram”, Proc.   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Int. Conf. on Pattern Recognition, Hong Kong, August 20 - 24, 2006, vol. 4, pp. 896 – 899</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GCFOnazd2EBDzYhmV+KkeD0pwg==">CgMxLjA4AHIhMUxwR19DUWZTX1N6VzZoRWZIZ2NnLVVSQ0FlWUZrdldD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InternalTags</vt:lpwstr>
  </property>
  <property fmtid="{D5CDD505-2E9C-101B-9397-08002B2CF9AE}" pid="3" name="ContentTypeId">
    <vt:lpwstr>0x0101006EDDDB5EE6D98C44930B742096920B300400F5B6D36B3EF94B4E9A635CDF2A18F5B8</vt:lpwstr>
  </property>
  <property fmtid="{D5CDD505-2E9C-101B-9397-08002B2CF9AE}" pid="4" name="LocalizationTags">
    <vt:lpwstr>LocalizationTags</vt:lpwstr>
  </property>
  <property fmtid="{D5CDD505-2E9C-101B-9397-08002B2CF9AE}" pid="5" name="CampaignTags">
    <vt:lpwstr>CampaignTags</vt:lpwstr>
  </property>
  <property fmtid="{D5CDD505-2E9C-101B-9397-08002B2CF9AE}" pid="6" name="ScenarioTags">
    <vt:lpwstr>ScenarioTags</vt:lpwstr>
  </property>
  <property fmtid="{D5CDD505-2E9C-101B-9397-08002B2CF9AE}" pid="7" name="FeatureTags">
    <vt:lpwstr>FeatureTags</vt:lpwstr>
  </property>
</Properties>
</file>